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D9" w:rsidRPr="00F8652D" w:rsidRDefault="006F4A70" w:rsidP="00F8652D">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F8652D">
        <w:rPr>
          <w:rFonts w:ascii="Times New Roman" w:hAnsi="Times New Roman" w:cs="Times New Roman"/>
          <w:b/>
          <w:bCs/>
          <w:sz w:val="20"/>
          <w:szCs w:val="20"/>
        </w:rPr>
        <w:t xml:space="preserve">Risk </w:t>
      </w:r>
      <w:r w:rsidR="00560115" w:rsidRPr="00F8652D">
        <w:rPr>
          <w:rFonts w:ascii="Times New Roman" w:hAnsi="Times New Roman" w:cs="Times New Roman"/>
          <w:b/>
          <w:bCs/>
          <w:sz w:val="20"/>
          <w:szCs w:val="20"/>
        </w:rPr>
        <w:t>Predictors</w:t>
      </w:r>
      <w:r w:rsidR="00520406" w:rsidRPr="00F8652D">
        <w:rPr>
          <w:rFonts w:ascii="Times New Roman" w:hAnsi="Times New Roman" w:cs="Times New Roman"/>
          <w:b/>
          <w:bCs/>
          <w:sz w:val="20"/>
          <w:szCs w:val="20"/>
        </w:rPr>
        <w:t xml:space="preserve"> </w:t>
      </w:r>
      <w:r w:rsidR="00560115" w:rsidRPr="00F8652D">
        <w:rPr>
          <w:rFonts w:ascii="Times New Roman" w:hAnsi="Times New Roman" w:cs="Times New Roman"/>
          <w:b/>
          <w:bCs/>
          <w:sz w:val="20"/>
          <w:szCs w:val="20"/>
        </w:rPr>
        <w:t xml:space="preserve">for </w:t>
      </w:r>
      <w:r w:rsidRPr="00F8652D">
        <w:rPr>
          <w:rFonts w:ascii="Times New Roman" w:hAnsi="Times New Roman" w:cs="Times New Roman"/>
          <w:b/>
          <w:bCs/>
          <w:sz w:val="20"/>
          <w:szCs w:val="20"/>
        </w:rPr>
        <w:t xml:space="preserve">De Novo Hepatocellular Carcinomas </w:t>
      </w:r>
      <w:r w:rsidR="00560115" w:rsidRPr="00F8652D">
        <w:rPr>
          <w:rFonts w:ascii="Times New Roman" w:hAnsi="Times New Roman" w:cs="Times New Roman"/>
          <w:b/>
          <w:bCs/>
          <w:sz w:val="20"/>
          <w:szCs w:val="20"/>
        </w:rPr>
        <w:t xml:space="preserve">in </w:t>
      </w:r>
      <w:r w:rsidR="00E5523D" w:rsidRPr="00F8652D">
        <w:rPr>
          <w:rFonts w:ascii="Times New Roman" w:hAnsi="Times New Roman" w:cs="Times New Roman"/>
          <w:b/>
          <w:bCs/>
          <w:sz w:val="20"/>
          <w:szCs w:val="20"/>
        </w:rPr>
        <w:t>Chronic hepatitis C</w:t>
      </w:r>
      <w:r w:rsidR="00520406" w:rsidRPr="00F8652D">
        <w:rPr>
          <w:rFonts w:ascii="Times New Roman" w:hAnsi="Times New Roman" w:cs="Times New Roman"/>
          <w:b/>
          <w:bCs/>
          <w:sz w:val="20"/>
          <w:szCs w:val="20"/>
        </w:rPr>
        <w:t xml:space="preserve"> </w:t>
      </w:r>
      <w:r w:rsidR="00560115" w:rsidRPr="00F8652D">
        <w:rPr>
          <w:rFonts w:ascii="Times New Roman" w:hAnsi="Times New Roman" w:cs="Times New Roman"/>
          <w:b/>
          <w:bCs/>
          <w:sz w:val="20"/>
          <w:szCs w:val="20"/>
        </w:rPr>
        <w:t xml:space="preserve">Treated </w:t>
      </w:r>
      <w:r w:rsidRPr="00F8652D">
        <w:rPr>
          <w:rFonts w:ascii="Times New Roman" w:hAnsi="Times New Roman" w:cs="Times New Roman"/>
          <w:b/>
          <w:bCs/>
          <w:sz w:val="20"/>
          <w:szCs w:val="20"/>
        </w:rPr>
        <w:t>Patients</w:t>
      </w:r>
      <w:r w:rsidR="00E5523D" w:rsidRPr="00F8652D">
        <w:rPr>
          <w:rFonts w:ascii="Times New Roman" w:hAnsi="Times New Roman" w:cs="Times New Roman"/>
          <w:b/>
          <w:bCs/>
          <w:sz w:val="20"/>
          <w:szCs w:val="20"/>
        </w:rPr>
        <w:t xml:space="preserve"> who</w:t>
      </w:r>
      <w:r w:rsidR="00520406" w:rsidRPr="00F8652D">
        <w:rPr>
          <w:rFonts w:ascii="Times New Roman" w:hAnsi="Times New Roman" w:cs="Times New Roman"/>
          <w:b/>
          <w:bCs/>
          <w:sz w:val="20"/>
          <w:szCs w:val="20"/>
        </w:rPr>
        <w:t xml:space="preserve"> </w:t>
      </w:r>
      <w:r w:rsidR="00560115" w:rsidRPr="00F8652D">
        <w:rPr>
          <w:rFonts w:ascii="Times New Roman" w:hAnsi="Times New Roman" w:cs="Times New Roman"/>
          <w:b/>
          <w:bCs/>
          <w:sz w:val="20"/>
          <w:szCs w:val="20"/>
        </w:rPr>
        <w:t>Achieved</w:t>
      </w:r>
      <w:r w:rsidR="00520406" w:rsidRPr="00F8652D">
        <w:rPr>
          <w:rFonts w:ascii="Times New Roman" w:hAnsi="Times New Roman" w:cs="Times New Roman"/>
          <w:b/>
          <w:bCs/>
          <w:sz w:val="20"/>
          <w:szCs w:val="20"/>
        </w:rPr>
        <w:t xml:space="preserve"> </w:t>
      </w:r>
      <w:r w:rsidRPr="00F8652D">
        <w:rPr>
          <w:rFonts w:ascii="Times New Roman" w:hAnsi="Times New Roman" w:cs="Times New Roman"/>
          <w:b/>
          <w:bCs/>
          <w:sz w:val="20"/>
          <w:szCs w:val="20"/>
        </w:rPr>
        <w:t xml:space="preserve">Sustained </w:t>
      </w:r>
      <w:r w:rsidR="00AC7AF5" w:rsidRPr="00F8652D">
        <w:rPr>
          <w:rFonts w:ascii="Times New Roman" w:hAnsi="Times New Roman" w:cs="Times New Roman"/>
          <w:b/>
          <w:bCs/>
          <w:sz w:val="20"/>
          <w:szCs w:val="20"/>
        </w:rPr>
        <w:t>Virologic</w:t>
      </w:r>
      <w:r w:rsidRPr="00F8652D">
        <w:rPr>
          <w:rFonts w:ascii="Times New Roman" w:hAnsi="Times New Roman" w:cs="Times New Roman"/>
          <w:b/>
          <w:bCs/>
          <w:sz w:val="20"/>
          <w:szCs w:val="20"/>
        </w:rPr>
        <w:t xml:space="preserve"> Response</w:t>
      </w:r>
      <w:r w:rsidR="00560115" w:rsidRPr="00F8652D">
        <w:rPr>
          <w:rFonts w:ascii="Times New Roman" w:hAnsi="Times New Roman" w:cs="Times New Roman"/>
          <w:b/>
          <w:bCs/>
          <w:sz w:val="20"/>
          <w:szCs w:val="20"/>
        </w:rPr>
        <w:t>:</w:t>
      </w:r>
      <w:r w:rsidR="007D5A2A" w:rsidRPr="00F8652D">
        <w:rPr>
          <w:rFonts w:ascii="Times New Roman" w:hAnsi="Times New Roman" w:cs="Times New Roman" w:hint="eastAsia"/>
          <w:b/>
          <w:bCs/>
          <w:sz w:val="20"/>
          <w:szCs w:val="20"/>
          <w:lang w:eastAsia="zh-CN"/>
        </w:rPr>
        <w:t xml:space="preserve"> </w:t>
      </w:r>
      <w:r w:rsidR="00AC7AF5" w:rsidRPr="00F8652D">
        <w:rPr>
          <w:rFonts w:ascii="Times New Roman" w:hAnsi="Times New Roman" w:cs="Times New Roman"/>
          <w:b/>
          <w:bCs/>
          <w:sz w:val="20"/>
          <w:szCs w:val="20"/>
        </w:rPr>
        <w:t xml:space="preserve">a </w:t>
      </w:r>
      <w:r w:rsidRPr="00F8652D">
        <w:rPr>
          <w:rFonts w:ascii="Times New Roman" w:hAnsi="Times New Roman" w:cs="Times New Roman"/>
          <w:b/>
          <w:bCs/>
          <w:sz w:val="20"/>
          <w:szCs w:val="20"/>
        </w:rPr>
        <w:t>Retrospective Study</w:t>
      </w:r>
    </w:p>
    <w:p w:rsidR="00B44AD9" w:rsidRPr="00F8652D" w:rsidRDefault="00B44AD9" w:rsidP="00F8652D">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B44AD9" w:rsidRPr="00F8652D" w:rsidRDefault="006C0468" w:rsidP="00F8652D">
      <w:pPr>
        <w:autoSpaceDE w:val="0"/>
        <w:autoSpaceDN w:val="0"/>
        <w:bidi w:val="0"/>
        <w:adjustRightInd w:val="0"/>
        <w:snapToGrid w:val="0"/>
        <w:spacing w:after="0" w:line="240" w:lineRule="auto"/>
        <w:jc w:val="center"/>
        <w:rPr>
          <w:rFonts w:ascii="Times New Roman" w:hAnsi="Times New Roman" w:cs="Times New Roman"/>
          <w:sz w:val="20"/>
          <w:szCs w:val="20"/>
        </w:rPr>
      </w:pPr>
      <w:r w:rsidRPr="00F8652D">
        <w:rPr>
          <w:rFonts w:ascii="Times New Roman" w:hAnsi="Times New Roman" w:cs="Times New Roman"/>
          <w:sz w:val="20"/>
          <w:szCs w:val="20"/>
        </w:rPr>
        <w:t xml:space="preserve">Abdallah A. </w:t>
      </w:r>
      <w:bookmarkStart w:id="0" w:name="_GoBack"/>
      <w:bookmarkEnd w:id="0"/>
      <w:r w:rsidR="004D3CC8" w:rsidRPr="00F8652D">
        <w:rPr>
          <w:rFonts w:ascii="Times New Roman" w:hAnsi="Times New Roman" w:cs="Times New Roman"/>
          <w:sz w:val="20"/>
          <w:szCs w:val="20"/>
        </w:rPr>
        <w:t>Elsawy</w:t>
      </w:r>
      <w:r w:rsidR="00520406" w:rsidRPr="00F8652D">
        <w:rPr>
          <w:rFonts w:ascii="Times New Roman" w:eastAsia="Calibri" w:hAnsi="Times New Roman" w:cs="Times New Roman"/>
          <w:color w:val="000000" w:themeColor="text1"/>
          <w:sz w:val="20"/>
          <w:szCs w:val="20"/>
          <w:vertAlign w:val="superscript"/>
          <w:lang w:bidi="ar-EG"/>
        </w:rPr>
        <w:t>1</w:t>
      </w:r>
      <w:r w:rsidR="004D3CC8" w:rsidRPr="00F8652D">
        <w:rPr>
          <w:rFonts w:ascii="Times New Roman" w:hAnsi="Times New Roman" w:cs="Times New Roman"/>
          <w:sz w:val="20"/>
          <w:szCs w:val="20"/>
        </w:rPr>
        <w:t xml:space="preserve"> and</w:t>
      </w:r>
      <w:r w:rsidR="00520406" w:rsidRPr="00F8652D">
        <w:rPr>
          <w:rFonts w:ascii="Times New Roman" w:hAnsi="Times New Roman" w:cs="Times New Roman"/>
          <w:sz w:val="20"/>
          <w:szCs w:val="20"/>
        </w:rPr>
        <w:t xml:space="preserve"> </w:t>
      </w:r>
      <w:r w:rsidRPr="00F8652D">
        <w:rPr>
          <w:rFonts w:ascii="Times New Roman" w:hAnsi="Times New Roman" w:cs="Times New Roman"/>
          <w:sz w:val="20"/>
          <w:szCs w:val="20"/>
        </w:rPr>
        <w:t>Omnia Abd</w:t>
      </w:r>
      <w:r w:rsidR="00F969A2">
        <w:rPr>
          <w:rFonts w:ascii="Times New Roman" w:hAnsi="Times New Roman" w:cs="Times New Roman" w:hint="eastAsia"/>
          <w:sz w:val="20"/>
          <w:szCs w:val="20"/>
          <w:lang w:eastAsia="zh-CN"/>
        </w:rPr>
        <w:t xml:space="preserve"> </w:t>
      </w:r>
      <w:r w:rsidRPr="00F8652D">
        <w:rPr>
          <w:rFonts w:ascii="Times New Roman" w:hAnsi="Times New Roman" w:cs="Times New Roman"/>
          <w:sz w:val="20"/>
          <w:szCs w:val="20"/>
        </w:rPr>
        <w:t>Elfattah</w:t>
      </w:r>
      <w:r w:rsidR="00520406" w:rsidRPr="00F8652D">
        <w:rPr>
          <w:rFonts w:ascii="Times New Roman" w:eastAsia="Calibri" w:hAnsi="Times New Roman" w:cs="Times New Roman"/>
          <w:color w:val="000000" w:themeColor="text1"/>
          <w:sz w:val="20"/>
          <w:szCs w:val="20"/>
          <w:vertAlign w:val="superscript"/>
          <w:lang w:bidi="ar-EG"/>
        </w:rPr>
        <w:t>2</w:t>
      </w:r>
    </w:p>
    <w:p w:rsidR="00B44AD9" w:rsidRPr="00F8652D" w:rsidRDefault="00B44AD9" w:rsidP="00F8652D">
      <w:pPr>
        <w:autoSpaceDE w:val="0"/>
        <w:autoSpaceDN w:val="0"/>
        <w:bidi w:val="0"/>
        <w:adjustRightInd w:val="0"/>
        <w:snapToGrid w:val="0"/>
        <w:spacing w:after="0" w:line="240" w:lineRule="auto"/>
        <w:jc w:val="center"/>
        <w:rPr>
          <w:rFonts w:ascii="Times New Roman" w:hAnsi="Times New Roman" w:cs="Times New Roman"/>
          <w:sz w:val="20"/>
          <w:szCs w:val="20"/>
        </w:rPr>
      </w:pPr>
    </w:p>
    <w:p w:rsidR="005318C4" w:rsidRPr="00F8652D" w:rsidRDefault="005318C4" w:rsidP="00F8652D">
      <w:pPr>
        <w:bidi w:val="0"/>
        <w:snapToGrid w:val="0"/>
        <w:spacing w:after="0" w:line="240" w:lineRule="auto"/>
        <w:jc w:val="center"/>
        <w:rPr>
          <w:rFonts w:ascii="Times New Roman" w:eastAsia="Calibri" w:hAnsi="Times New Roman" w:cs="Times New Roman"/>
          <w:color w:val="000000" w:themeColor="text1"/>
          <w:sz w:val="20"/>
          <w:szCs w:val="20"/>
          <w:lang w:bidi="ar-EG"/>
        </w:rPr>
      </w:pPr>
      <w:r w:rsidRPr="00F8652D">
        <w:rPr>
          <w:rFonts w:ascii="Times New Roman" w:eastAsia="Calibri" w:hAnsi="Times New Roman" w:cs="Times New Roman"/>
          <w:color w:val="000000" w:themeColor="text1"/>
          <w:sz w:val="20"/>
          <w:szCs w:val="20"/>
          <w:lang w:bidi="ar-EG"/>
        </w:rPr>
        <w:t>Departments of Internal Medicine</w:t>
      </w:r>
      <w:r w:rsidRPr="00F8652D">
        <w:rPr>
          <w:rFonts w:ascii="Times New Roman" w:eastAsia="Calibri" w:hAnsi="Times New Roman" w:cs="Times New Roman"/>
          <w:color w:val="000000" w:themeColor="text1"/>
          <w:sz w:val="20"/>
          <w:szCs w:val="20"/>
          <w:vertAlign w:val="superscript"/>
          <w:lang w:bidi="ar-EG"/>
        </w:rPr>
        <w:t>1</w:t>
      </w:r>
      <w:r w:rsidRPr="00F8652D">
        <w:rPr>
          <w:rFonts w:ascii="Times New Roman" w:eastAsia="Calibri" w:hAnsi="Times New Roman" w:cs="Times New Roman"/>
          <w:color w:val="000000" w:themeColor="text1"/>
          <w:sz w:val="20"/>
          <w:szCs w:val="20"/>
          <w:lang w:bidi="ar-EG"/>
        </w:rPr>
        <w:t xml:space="preserve"> and Clinical Oncology</w:t>
      </w:r>
      <w:r w:rsidRPr="00F8652D">
        <w:rPr>
          <w:rFonts w:ascii="Times New Roman" w:eastAsia="Calibri" w:hAnsi="Times New Roman" w:cs="Times New Roman"/>
          <w:color w:val="000000" w:themeColor="text1"/>
          <w:sz w:val="20"/>
          <w:szCs w:val="20"/>
          <w:vertAlign w:val="superscript"/>
          <w:lang w:bidi="ar-EG"/>
        </w:rPr>
        <w:t>2</w:t>
      </w:r>
      <w:r w:rsidRPr="00F8652D">
        <w:rPr>
          <w:rFonts w:ascii="Times New Roman" w:eastAsia="Calibri" w:hAnsi="Times New Roman" w:cs="Times New Roman"/>
          <w:color w:val="000000" w:themeColor="text1"/>
          <w:sz w:val="20"/>
          <w:szCs w:val="20"/>
          <w:lang w:bidi="ar-EG"/>
        </w:rPr>
        <w:t>, Tanta University, Tanta, Egypt</w:t>
      </w:r>
    </w:p>
    <w:p w:rsidR="00B44AD9" w:rsidRPr="00F8652D" w:rsidRDefault="00B07990" w:rsidP="00F8652D">
      <w:pPr>
        <w:autoSpaceDE w:val="0"/>
        <w:autoSpaceDN w:val="0"/>
        <w:bidi w:val="0"/>
        <w:adjustRightInd w:val="0"/>
        <w:snapToGrid w:val="0"/>
        <w:spacing w:after="0" w:line="240" w:lineRule="auto"/>
        <w:jc w:val="center"/>
        <w:rPr>
          <w:rFonts w:ascii="Times New Roman" w:hAnsi="Times New Roman" w:cs="Times New Roman"/>
          <w:b/>
          <w:bCs/>
          <w:sz w:val="20"/>
          <w:szCs w:val="20"/>
        </w:rPr>
      </w:pPr>
      <w:hyperlink r:id="rId8" w:history="1">
        <w:r w:rsidR="00071132" w:rsidRPr="00F8652D">
          <w:rPr>
            <w:rStyle w:val="Hyperlink"/>
            <w:rFonts w:ascii="Times New Roman" w:hAnsi="Times New Roman" w:cs="Times New Roman"/>
            <w:sz w:val="20"/>
            <w:szCs w:val="20"/>
          </w:rPr>
          <w:t>omniaabdelfattah@yahoo.com</w:t>
        </w:r>
      </w:hyperlink>
      <w:r w:rsidR="00071132" w:rsidRPr="00F8652D">
        <w:rPr>
          <w:rFonts w:ascii="Times New Roman" w:hAnsi="Times New Roman" w:cs="Times New Roman"/>
          <w:b/>
          <w:bCs/>
          <w:sz w:val="20"/>
          <w:szCs w:val="20"/>
        </w:rPr>
        <w:t xml:space="preserve"> </w:t>
      </w:r>
    </w:p>
    <w:p w:rsidR="00B44AD9" w:rsidRPr="00F8652D" w:rsidRDefault="00B44AD9" w:rsidP="00F8652D">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D91FA9" w:rsidRPr="00F8652D" w:rsidRDefault="00C978FB"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F8652D">
        <w:rPr>
          <w:rFonts w:ascii="Times New Roman" w:eastAsia="Calibri" w:hAnsi="Times New Roman" w:cs="Times New Roman"/>
          <w:b/>
          <w:bCs/>
          <w:sz w:val="20"/>
          <w:szCs w:val="20"/>
        </w:rPr>
        <w:t>Abstract</w:t>
      </w:r>
      <w:r w:rsidR="00520406" w:rsidRPr="00F8652D">
        <w:rPr>
          <w:rFonts w:ascii="Times New Roman" w:eastAsia="Calibri" w:hAnsi="Times New Roman" w:cs="Times New Roman"/>
          <w:b/>
          <w:bCs/>
          <w:sz w:val="20"/>
          <w:szCs w:val="20"/>
        </w:rPr>
        <w:t xml:space="preserve">: </w:t>
      </w:r>
      <w:r w:rsidR="00A06FB6" w:rsidRPr="00F8652D">
        <w:rPr>
          <w:rFonts w:ascii="Times New Roman" w:eastAsia="Calibri" w:hAnsi="Times New Roman" w:cs="Times New Roman"/>
          <w:b/>
          <w:bCs/>
          <w:sz w:val="20"/>
          <w:szCs w:val="20"/>
        </w:rPr>
        <w:t>Background and study aim:</w:t>
      </w:r>
      <w:r w:rsidR="00520406" w:rsidRPr="00F8652D">
        <w:rPr>
          <w:rFonts w:ascii="Times New Roman" w:hAnsi="Times New Roman" w:cs="Times New Roman"/>
          <w:sz w:val="20"/>
          <w:szCs w:val="20"/>
        </w:rPr>
        <w:t xml:space="preserve"> </w:t>
      </w:r>
      <w:r w:rsidR="00A06FB6" w:rsidRPr="00F8652D">
        <w:rPr>
          <w:rFonts w:ascii="Times New Roman" w:hAnsi="Times New Roman" w:cs="Times New Roman"/>
          <w:sz w:val="20"/>
          <w:szCs w:val="20"/>
        </w:rPr>
        <w:t>Recently,</w:t>
      </w:r>
      <w:r w:rsidR="009B7F33" w:rsidRPr="00F8652D">
        <w:rPr>
          <w:rFonts w:ascii="Times New Roman" w:hAnsi="Times New Roman" w:cs="Times New Roman"/>
          <w:sz w:val="20"/>
          <w:szCs w:val="20"/>
        </w:rPr>
        <w:t xml:space="preserve"> the occurrence of de novo or recurrence of </w:t>
      </w:r>
      <w:r w:rsidR="003F28AD" w:rsidRPr="00F8652D">
        <w:rPr>
          <w:rFonts w:ascii="Times New Roman" w:hAnsi="Times New Roman" w:cs="Times New Roman"/>
          <w:sz w:val="20"/>
          <w:szCs w:val="20"/>
        </w:rPr>
        <w:t>HCC</w:t>
      </w:r>
      <w:r w:rsidR="009B7F33" w:rsidRPr="00F8652D">
        <w:rPr>
          <w:rFonts w:ascii="Times New Roman" w:hAnsi="Times New Roman" w:cs="Times New Roman"/>
          <w:sz w:val="20"/>
          <w:szCs w:val="20"/>
        </w:rPr>
        <w:t xml:space="preserve"> in HCV </w:t>
      </w:r>
      <w:r w:rsidR="00E76733" w:rsidRPr="00F8652D">
        <w:rPr>
          <w:rFonts w:ascii="Times New Roman" w:hAnsi="Times New Roman" w:cs="Times New Roman"/>
          <w:sz w:val="20"/>
          <w:szCs w:val="20"/>
        </w:rPr>
        <w:t>patients</w:t>
      </w:r>
      <w:r w:rsidR="003F28AD" w:rsidRPr="00F8652D">
        <w:rPr>
          <w:rFonts w:ascii="Times New Roman" w:hAnsi="Times New Roman" w:cs="Times New Roman"/>
          <w:sz w:val="20"/>
          <w:szCs w:val="20"/>
        </w:rPr>
        <w:t>,</w:t>
      </w:r>
      <w:r w:rsidR="00E76733" w:rsidRPr="00F8652D">
        <w:rPr>
          <w:rFonts w:ascii="Times New Roman" w:hAnsi="Times New Roman" w:cs="Times New Roman"/>
          <w:sz w:val="20"/>
          <w:szCs w:val="20"/>
        </w:rPr>
        <w:t xml:space="preserve"> who treated with </w:t>
      </w:r>
      <w:r w:rsidR="009B7F33" w:rsidRPr="00F8652D">
        <w:rPr>
          <w:rFonts w:ascii="Times New Roman" w:hAnsi="Times New Roman" w:cs="Times New Roman"/>
          <w:sz w:val="20"/>
          <w:szCs w:val="20"/>
        </w:rPr>
        <w:t>direct acting antivirals</w:t>
      </w:r>
      <w:r w:rsidR="003F28AD" w:rsidRPr="00F8652D">
        <w:rPr>
          <w:rFonts w:ascii="Times New Roman" w:hAnsi="Times New Roman" w:cs="Times New Roman"/>
          <w:sz w:val="20"/>
          <w:szCs w:val="20"/>
        </w:rPr>
        <w:t>,</w:t>
      </w:r>
      <w:r w:rsidR="00520406" w:rsidRPr="00F8652D">
        <w:rPr>
          <w:rFonts w:ascii="Times New Roman" w:hAnsi="Times New Roman" w:cs="Times New Roman"/>
          <w:sz w:val="20"/>
          <w:szCs w:val="20"/>
        </w:rPr>
        <w:t xml:space="preserve"> </w:t>
      </w:r>
      <w:r w:rsidR="00A06FB6" w:rsidRPr="00F8652D">
        <w:rPr>
          <w:rFonts w:ascii="Times New Roman" w:hAnsi="Times New Roman" w:cs="Times New Roman"/>
          <w:sz w:val="20"/>
          <w:szCs w:val="20"/>
        </w:rPr>
        <w:t>has gained</w:t>
      </w:r>
      <w:r w:rsidR="00AE4736" w:rsidRPr="00F8652D">
        <w:rPr>
          <w:rFonts w:ascii="Times New Roman" w:hAnsi="Times New Roman" w:cs="Times New Roman"/>
          <w:sz w:val="20"/>
          <w:szCs w:val="20"/>
        </w:rPr>
        <w:t xml:space="preserve"> a </w:t>
      </w:r>
      <w:r w:rsidR="00453E18" w:rsidRPr="00F8652D">
        <w:rPr>
          <w:rFonts w:ascii="Times New Roman" w:hAnsi="Times New Roman" w:cs="Times New Roman"/>
          <w:sz w:val="20"/>
          <w:szCs w:val="20"/>
        </w:rPr>
        <w:t>rising</w:t>
      </w:r>
      <w:r w:rsidR="004F7515">
        <w:rPr>
          <w:rFonts w:ascii="Times New Roman" w:hAnsi="Times New Roman" w:cs="Times New Roman" w:hint="eastAsia"/>
          <w:sz w:val="20"/>
          <w:szCs w:val="20"/>
          <w:lang w:eastAsia="zh-CN"/>
        </w:rPr>
        <w:t xml:space="preserve"> </w:t>
      </w:r>
      <w:r w:rsidR="00992E10" w:rsidRPr="00F8652D">
        <w:rPr>
          <w:rFonts w:ascii="Times New Roman" w:hAnsi="Times New Roman" w:cs="Times New Roman"/>
          <w:sz w:val="20"/>
          <w:szCs w:val="20"/>
        </w:rPr>
        <w:t>interest</w:t>
      </w:r>
      <w:r w:rsidR="004F7515">
        <w:rPr>
          <w:rFonts w:ascii="Times New Roman" w:hAnsi="Times New Roman" w:cs="Times New Roman" w:hint="eastAsia"/>
          <w:sz w:val="20"/>
          <w:szCs w:val="20"/>
          <w:lang w:eastAsia="zh-CN"/>
        </w:rPr>
        <w:t xml:space="preserve"> </w:t>
      </w:r>
      <w:r w:rsidR="00453E18" w:rsidRPr="00F8652D">
        <w:rPr>
          <w:rFonts w:ascii="Times New Roman" w:hAnsi="Times New Roman" w:cs="Times New Roman"/>
          <w:sz w:val="20"/>
          <w:szCs w:val="20"/>
        </w:rPr>
        <w:t>in</w:t>
      </w:r>
      <w:r w:rsidR="00AE4736" w:rsidRPr="00F8652D">
        <w:rPr>
          <w:rFonts w:ascii="Times New Roman" w:hAnsi="Times New Roman" w:cs="Times New Roman"/>
          <w:sz w:val="20"/>
          <w:szCs w:val="20"/>
        </w:rPr>
        <w:t xml:space="preserve"> clinical application</w:t>
      </w:r>
      <w:r w:rsidR="00E76733" w:rsidRPr="00F8652D">
        <w:rPr>
          <w:rFonts w:ascii="Times New Roman" w:hAnsi="Times New Roman" w:cs="Times New Roman"/>
          <w:sz w:val="20"/>
          <w:szCs w:val="20"/>
        </w:rPr>
        <w:t>. There are wide debates about the possible role of these treatments in this respect.</w:t>
      </w:r>
      <w:r w:rsidR="00520406" w:rsidRPr="00F8652D">
        <w:rPr>
          <w:rFonts w:ascii="Times New Roman" w:hAnsi="Times New Roman" w:cs="Times New Roman"/>
          <w:sz w:val="20"/>
          <w:szCs w:val="20"/>
          <w:lang w:bidi="ar-EG"/>
        </w:rPr>
        <w:t xml:space="preserve"> </w:t>
      </w:r>
      <w:r w:rsidR="00B7736E" w:rsidRPr="00F8652D">
        <w:rPr>
          <w:rFonts w:ascii="Times New Roman" w:hAnsi="Times New Roman" w:cs="Times New Roman"/>
          <w:sz w:val="20"/>
          <w:szCs w:val="20"/>
          <w:lang w:bidi="ar-EG"/>
        </w:rPr>
        <w:t>The recent published studies</w:t>
      </w:r>
      <w:r w:rsidR="00520406" w:rsidRPr="00F8652D">
        <w:rPr>
          <w:rFonts w:ascii="Times New Roman" w:hAnsi="Times New Roman" w:cs="Times New Roman"/>
          <w:sz w:val="20"/>
          <w:szCs w:val="20"/>
          <w:lang w:bidi="ar-EG"/>
        </w:rPr>
        <w:t xml:space="preserve"> </w:t>
      </w:r>
      <w:r w:rsidR="00C720C5" w:rsidRPr="00F8652D">
        <w:rPr>
          <w:rFonts w:ascii="Times New Roman" w:hAnsi="Times New Roman" w:cs="Times New Roman"/>
          <w:sz w:val="20"/>
          <w:szCs w:val="20"/>
          <w:lang w:bidi="ar-EG"/>
        </w:rPr>
        <w:t>regard</w:t>
      </w:r>
      <w:r w:rsidR="00B7736E" w:rsidRPr="00F8652D">
        <w:rPr>
          <w:rFonts w:ascii="Times New Roman" w:hAnsi="Times New Roman" w:cs="Times New Roman"/>
          <w:sz w:val="20"/>
          <w:szCs w:val="20"/>
          <w:lang w:bidi="ar-EG"/>
        </w:rPr>
        <w:t>ing the risk of developing HCC after treatment with DAA conclu</w:t>
      </w:r>
      <w:r w:rsidR="003F28AD" w:rsidRPr="00F8652D">
        <w:rPr>
          <w:rFonts w:ascii="Times New Roman" w:hAnsi="Times New Roman" w:cs="Times New Roman"/>
          <w:sz w:val="20"/>
          <w:szCs w:val="20"/>
          <w:lang w:bidi="ar-EG"/>
        </w:rPr>
        <w:t>ded that achieving SVR with DAA</w:t>
      </w:r>
      <w:r w:rsidR="00B7736E" w:rsidRPr="00F8652D">
        <w:rPr>
          <w:rFonts w:ascii="Times New Roman" w:hAnsi="Times New Roman" w:cs="Times New Roman"/>
          <w:sz w:val="20"/>
          <w:szCs w:val="20"/>
          <w:lang w:bidi="ar-EG"/>
        </w:rPr>
        <w:t xml:space="preserve"> regimens was associated with a si</w:t>
      </w:r>
      <w:r w:rsidR="003F28AD" w:rsidRPr="00F8652D">
        <w:rPr>
          <w:rFonts w:ascii="Times New Roman" w:hAnsi="Times New Roman" w:cs="Times New Roman"/>
          <w:sz w:val="20"/>
          <w:szCs w:val="20"/>
          <w:lang w:bidi="ar-EG"/>
        </w:rPr>
        <w:t>gnificant risk reduction of HCC, h</w:t>
      </w:r>
      <w:r w:rsidR="00B7736E" w:rsidRPr="00F8652D">
        <w:rPr>
          <w:rFonts w:ascii="Times New Roman" w:hAnsi="Times New Roman" w:cs="Times New Roman"/>
          <w:sz w:val="20"/>
          <w:szCs w:val="20"/>
          <w:lang w:bidi="ar-EG"/>
        </w:rPr>
        <w:t>owever, this risk remained high in patients with advanced fibrosis, thus demanding continuous surveillance strategies in this population.</w:t>
      </w:r>
      <w:r w:rsidR="00520406" w:rsidRPr="00F8652D">
        <w:rPr>
          <w:rFonts w:ascii="Times New Roman" w:hAnsi="Times New Roman" w:cs="Times New Roman"/>
          <w:sz w:val="20"/>
          <w:szCs w:val="20"/>
          <w:lang w:bidi="ar-EG"/>
        </w:rPr>
        <w:t xml:space="preserve"> </w:t>
      </w:r>
      <w:r w:rsidR="00A06FB6" w:rsidRPr="00F8652D">
        <w:rPr>
          <w:rFonts w:ascii="Times New Roman" w:hAnsi="Times New Roman" w:cs="Times New Roman"/>
          <w:sz w:val="20"/>
          <w:szCs w:val="20"/>
        </w:rPr>
        <w:t xml:space="preserve">The aim of this study </w:t>
      </w:r>
      <w:r w:rsidR="00F81A70" w:rsidRPr="00F8652D">
        <w:rPr>
          <w:rFonts w:ascii="Times New Roman" w:hAnsi="Times New Roman" w:cs="Times New Roman"/>
          <w:sz w:val="20"/>
          <w:szCs w:val="20"/>
        </w:rPr>
        <w:t>is</w:t>
      </w:r>
      <w:r w:rsidR="00A06FB6" w:rsidRPr="00F8652D">
        <w:rPr>
          <w:rFonts w:ascii="Times New Roman" w:hAnsi="Times New Roman" w:cs="Times New Roman"/>
          <w:sz w:val="20"/>
          <w:szCs w:val="20"/>
        </w:rPr>
        <w:t xml:space="preserve"> to evaluate</w:t>
      </w:r>
      <w:r w:rsidR="00520406" w:rsidRPr="00F8652D">
        <w:rPr>
          <w:rFonts w:ascii="Times New Roman" w:hAnsi="Times New Roman" w:cs="Times New Roman"/>
          <w:sz w:val="20"/>
          <w:szCs w:val="20"/>
        </w:rPr>
        <w:t xml:space="preserve"> </w:t>
      </w:r>
      <w:r w:rsidR="00E76733" w:rsidRPr="00F8652D">
        <w:rPr>
          <w:rFonts w:ascii="Times New Roman" w:hAnsi="Times New Roman" w:cs="Times New Roman"/>
          <w:sz w:val="20"/>
          <w:szCs w:val="20"/>
        </w:rPr>
        <w:t xml:space="preserve">possible risk </w:t>
      </w:r>
      <w:r w:rsidR="00F81A70" w:rsidRPr="00F8652D">
        <w:rPr>
          <w:rFonts w:ascii="Times New Roman" w:hAnsi="Times New Roman" w:cs="Times New Roman"/>
          <w:sz w:val="20"/>
          <w:szCs w:val="20"/>
        </w:rPr>
        <w:t>predictors</w:t>
      </w:r>
      <w:r w:rsidR="00E76733" w:rsidRPr="00F8652D">
        <w:rPr>
          <w:rFonts w:ascii="Times New Roman" w:hAnsi="Times New Roman" w:cs="Times New Roman"/>
          <w:sz w:val="20"/>
          <w:szCs w:val="20"/>
        </w:rPr>
        <w:t xml:space="preserve"> related to de novo HCC in HCV patients who achieved</w:t>
      </w:r>
      <w:r w:rsidR="00520406" w:rsidRPr="00F8652D">
        <w:rPr>
          <w:rFonts w:ascii="Times New Roman" w:hAnsi="Times New Roman" w:cs="Times New Roman"/>
          <w:sz w:val="20"/>
          <w:szCs w:val="20"/>
        </w:rPr>
        <w:t xml:space="preserve"> </w:t>
      </w:r>
      <w:r w:rsidR="003F28AD" w:rsidRPr="00F8652D">
        <w:rPr>
          <w:rFonts w:ascii="Times New Roman" w:hAnsi="Times New Roman" w:cs="Times New Roman"/>
          <w:sz w:val="20"/>
          <w:szCs w:val="20"/>
        </w:rPr>
        <w:t>SVR</w:t>
      </w:r>
      <w:r w:rsidR="00117D92" w:rsidRPr="00F8652D">
        <w:rPr>
          <w:rFonts w:ascii="Times New Roman" w:hAnsi="Times New Roman" w:cs="Times New Roman"/>
          <w:sz w:val="20"/>
          <w:szCs w:val="20"/>
        </w:rPr>
        <w:t xml:space="preserve"> to either DAAs or peg-IFN regimens</w:t>
      </w:r>
      <w:r w:rsidR="00AE4736" w:rsidRPr="00F8652D">
        <w:rPr>
          <w:rFonts w:ascii="Times New Roman" w:hAnsi="Times New Roman" w:cs="Times New Roman"/>
          <w:sz w:val="20"/>
          <w:szCs w:val="20"/>
        </w:rPr>
        <w:t>.</w:t>
      </w:r>
      <w:r w:rsidR="00520406" w:rsidRPr="00F8652D">
        <w:rPr>
          <w:rFonts w:ascii="Times New Roman" w:hAnsi="Times New Roman" w:cs="Times New Roman"/>
          <w:b/>
          <w:bCs/>
          <w:sz w:val="20"/>
          <w:szCs w:val="20"/>
        </w:rPr>
        <w:t xml:space="preserve"> </w:t>
      </w:r>
      <w:r w:rsidR="00A06FB6" w:rsidRPr="00F8652D">
        <w:rPr>
          <w:rFonts w:ascii="Times New Roman" w:hAnsi="Times New Roman" w:cs="Times New Roman"/>
          <w:b/>
          <w:bCs/>
          <w:sz w:val="20"/>
          <w:szCs w:val="20"/>
        </w:rPr>
        <w:t>Patients and methods:</w:t>
      </w:r>
      <w:r w:rsidR="00520406" w:rsidRPr="00F8652D">
        <w:rPr>
          <w:rFonts w:ascii="Times New Roman" w:hAnsi="Times New Roman" w:cs="Times New Roman"/>
          <w:sz w:val="20"/>
          <w:szCs w:val="20"/>
        </w:rPr>
        <w:t xml:space="preserve"> </w:t>
      </w:r>
      <w:r w:rsidR="007C05C9" w:rsidRPr="00F8652D">
        <w:rPr>
          <w:rFonts w:ascii="Times New Roman" w:hAnsi="Times New Roman" w:cs="Times New Roman"/>
          <w:sz w:val="20"/>
          <w:szCs w:val="20"/>
        </w:rPr>
        <w:t>Seven hundred and fifty treate</w:t>
      </w:r>
      <w:r w:rsidR="00F81A70" w:rsidRPr="00F8652D">
        <w:rPr>
          <w:rFonts w:ascii="Times New Roman" w:hAnsi="Times New Roman" w:cs="Times New Roman"/>
          <w:sz w:val="20"/>
          <w:szCs w:val="20"/>
        </w:rPr>
        <w:t xml:space="preserve">d HCV patients, </w:t>
      </w:r>
      <w:r w:rsidR="007C05C9" w:rsidRPr="00F8652D">
        <w:rPr>
          <w:rFonts w:ascii="Times New Roman" w:hAnsi="Times New Roman" w:cs="Times New Roman"/>
          <w:sz w:val="20"/>
          <w:szCs w:val="20"/>
        </w:rPr>
        <w:t xml:space="preserve">who achieved </w:t>
      </w:r>
      <w:r w:rsidR="004A1ED3" w:rsidRPr="00F8652D">
        <w:rPr>
          <w:rFonts w:ascii="Times New Roman" w:hAnsi="Times New Roman" w:cs="Times New Roman"/>
          <w:sz w:val="20"/>
          <w:szCs w:val="20"/>
        </w:rPr>
        <w:t>SVR</w:t>
      </w:r>
      <w:r w:rsidR="007C05C9" w:rsidRPr="00F8652D">
        <w:rPr>
          <w:rFonts w:ascii="Times New Roman" w:hAnsi="Times New Roman" w:cs="Times New Roman"/>
          <w:sz w:val="20"/>
          <w:szCs w:val="20"/>
        </w:rPr>
        <w:t>,</w:t>
      </w:r>
      <w:r w:rsidR="00117D92" w:rsidRPr="00F8652D">
        <w:rPr>
          <w:rFonts w:ascii="Times New Roman" w:hAnsi="Times New Roman" w:cs="Times New Roman"/>
          <w:sz w:val="20"/>
          <w:szCs w:val="20"/>
        </w:rPr>
        <w:t xml:space="preserve"> were retrospectively included. They were divided to two groups, </w:t>
      </w:r>
      <w:r w:rsidR="006B2F7E" w:rsidRPr="00F8652D">
        <w:rPr>
          <w:rFonts w:ascii="Times New Roman" w:hAnsi="Times New Roman" w:cs="Times New Roman"/>
          <w:sz w:val="20"/>
          <w:szCs w:val="20"/>
        </w:rPr>
        <w:t>group</w:t>
      </w:r>
      <w:r w:rsidR="00117D92" w:rsidRPr="00F8652D">
        <w:rPr>
          <w:rFonts w:ascii="Times New Roman" w:hAnsi="Times New Roman" w:cs="Times New Roman"/>
          <w:sz w:val="20"/>
          <w:szCs w:val="20"/>
        </w:rPr>
        <w:t>1 included 150 patients proved to have denovo HCC</w:t>
      </w:r>
      <w:r w:rsidR="007C05C9" w:rsidRPr="00F8652D">
        <w:rPr>
          <w:rFonts w:ascii="Times New Roman" w:hAnsi="Times New Roman" w:cs="Times New Roman"/>
          <w:sz w:val="20"/>
          <w:szCs w:val="20"/>
        </w:rPr>
        <w:t xml:space="preserve"> after treatment, and group2 included 600 patients did not prove to have HCC after treatment</w:t>
      </w:r>
      <w:r w:rsidR="00A06FB6" w:rsidRPr="00F8652D">
        <w:rPr>
          <w:rFonts w:ascii="Times New Roman" w:hAnsi="Times New Roman" w:cs="Times New Roman"/>
          <w:sz w:val="20"/>
          <w:szCs w:val="20"/>
        </w:rPr>
        <w:t>.</w:t>
      </w:r>
      <w:r w:rsidR="006D3469" w:rsidRPr="00F8652D">
        <w:rPr>
          <w:rFonts w:ascii="Times New Roman" w:hAnsi="Times New Roman" w:cs="Times New Roman"/>
          <w:sz w:val="20"/>
          <w:szCs w:val="20"/>
        </w:rPr>
        <w:t xml:space="preserve"> All patients </w:t>
      </w:r>
      <w:r w:rsidR="00767E63" w:rsidRPr="00F8652D">
        <w:rPr>
          <w:rFonts w:ascii="Times New Roman" w:hAnsi="Times New Roman" w:cs="Times New Roman"/>
          <w:sz w:val="20"/>
          <w:szCs w:val="20"/>
        </w:rPr>
        <w:t>were</w:t>
      </w:r>
      <w:r w:rsidR="00520406" w:rsidRPr="00F8652D">
        <w:rPr>
          <w:rFonts w:ascii="Times New Roman" w:hAnsi="Times New Roman" w:cs="Times New Roman"/>
          <w:sz w:val="20"/>
          <w:szCs w:val="20"/>
        </w:rPr>
        <w:t xml:space="preserve"> </w:t>
      </w:r>
      <w:r w:rsidR="006D3469" w:rsidRPr="00F8652D">
        <w:rPr>
          <w:rFonts w:ascii="Times New Roman" w:hAnsi="Times New Roman" w:cs="Times New Roman"/>
          <w:sz w:val="20"/>
          <w:szCs w:val="20"/>
        </w:rPr>
        <w:t xml:space="preserve">investigated as </w:t>
      </w:r>
      <w:r w:rsidR="00C720C5" w:rsidRPr="00F8652D">
        <w:rPr>
          <w:rFonts w:ascii="Times New Roman" w:hAnsi="Times New Roman" w:cs="Times New Roman"/>
          <w:sz w:val="20"/>
          <w:szCs w:val="20"/>
        </w:rPr>
        <w:t>regards</w:t>
      </w:r>
      <w:r w:rsidR="004E4D97" w:rsidRPr="00F8652D">
        <w:rPr>
          <w:rFonts w:ascii="Times New Roman" w:hAnsi="Times New Roman" w:cs="Times New Roman"/>
          <w:sz w:val="20"/>
          <w:szCs w:val="20"/>
        </w:rPr>
        <w:t xml:space="preserve"> the </w:t>
      </w:r>
      <w:r w:rsidR="00F81A70" w:rsidRPr="00F8652D">
        <w:rPr>
          <w:rFonts w:ascii="Times New Roman" w:hAnsi="Times New Roman" w:cs="Times New Roman"/>
          <w:sz w:val="20"/>
          <w:szCs w:val="20"/>
        </w:rPr>
        <w:t xml:space="preserve">degree of </w:t>
      </w:r>
      <w:r w:rsidR="004E4D97" w:rsidRPr="00F8652D">
        <w:rPr>
          <w:rFonts w:ascii="Times New Roman" w:hAnsi="Times New Roman" w:cs="Times New Roman"/>
          <w:sz w:val="20"/>
          <w:szCs w:val="20"/>
        </w:rPr>
        <w:t xml:space="preserve">liver </w:t>
      </w:r>
      <w:r w:rsidR="00F81A70" w:rsidRPr="00F8652D">
        <w:rPr>
          <w:rFonts w:ascii="Times New Roman" w:hAnsi="Times New Roman" w:cs="Times New Roman"/>
          <w:sz w:val="20"/>
          <w:szCs w:val="20"/>
        </w:rPr>
        <w:t>fibrosis using FIB4 score</w:t>
      </w:r>
      <w:r w:rsidR="007C05C9" w:rsidRPr="00F8652D">
        <w:rPr>
          <w:rFonts w:ascii="Times New Roman" w:hAnsi="Times New Roman" w:cs="Times New Roman"/>
          <w:sz w:val="20"/>
          <w:szCs w:val="20"/>
        </w:rPr>
        <w:t xml:space="preserve">, </w:t>
      </w:r>
      <w:r w:rsidR="00A070C2" w:rsidRPr="00F8652D">
        <w:rPr>
          <w:rFonts w:ascii="Times New Roman" w:hAnsi="Times New Roman" w:cs="Times New Roman"/>
          <w:sz w:val="20"/>
          <w:szCs w:val="20"/>
        </w:rPr>
        <w:t>the</w:t>
      </w:r>
      <w:r w:rsidR="004E4D97" w:rsidRPr="00F8652D">
        <w:rPr>
          <w:rFonts w:ascii="Times New Roman" w:hAnsi="Times New Roman" w:cs="Times New Roman"/>
          <w:sz w:val="20"/>
          <w:szCs w:val="20"/>
        </w:rPr>
        <w:t xml:space="preserve"> severity of liver dysfunction </w:t>
      </w:r>
      <w:r w:rsidR="00A070C2" w:rsidRPr="00F8652D">
        <w:rPr>
          <w:rFonts w:ascii="Times New Roman" w:hAnsi="Times New Roman" w:cs="Times New Roman"/>
          <w:sz w:val="20"/>
          <w:szCs w:val="20"/>
        </w:rPr>
        <w:t>using</w:t>
      </w:r>
      <w:r w:rsidR="00767E63" w:rsidRPr="00F8652D">
        <w:rPr>
          <w:rFonts w:ascii="Times New Roman" w:hAnsi="Times New Roman" w:cs="Times New Roman"/>
          <w:sz w:val="20"/>
          <w:szCs w:val="20"/>
        </w:rPr>
        <w:t xml:space="preserve"> Child Pugh and MELD scores</w:t>
      </w:r>
      <w:r w:rsidR="004E4D97" w:rsidRPr="00F8652D">
        <w:rPr>
          <w:rFonts w:ascii="Times New Roman" w:hAnsi="Times New Roman" w:cs="Times New Roman"/>
          <w:sz w:val="20"/>
          <w:szCs w:val="20"/>
        </w:rPr>
        <w:t>,</w:t>
      </w:r>
      <w:r w:rsidR="00F81A70" w:rsidRPr="00F8652D">
        <w:rPr>
          <w:rFonts w:ascii="Times New Roman" w:hAnsi="Times New Roman" w:cs="Times New Roman"/>
          <w:sz w:val="20"/>
          <w:szCs w:val="20"/>
        </w:rPr>
        <w:t xml:space="preserve"> DM</w:t>
      </w:r>
      <w:r w:rsidR="00945E9B" w:rsidRPr="00F8652D">
        <w:rPr>
          <w:rFonts w:ascii="Times New Roman" w:hAnsi="Times New Roman" w:cs="Times New Roman"/>
          <w:sz w:val="20"/>
          <w:szCs w:val="20"/>
        </w:rPr>
        <w:t xml:space="preserve"> and </w:t>
      </w:r>
      <w:r w:rsidR="00655509" w:rsidRPr="00F8652D">
        <w:rPr>
          <w:rFonts w:ascii="Times New Roman" w:hAnsi="Times New Roman" w:cs="Times New Roman"/>
          <w:sz w:val="20"/>
          <w:szCs w:val="20"/>
        </w:rPr>
        <w:t>HCV treatment</w:t>
      </w:r>
      <w:r w:rsidR="00B575E7" w:rsidRPr="00F8652D">
        <w:rPr>
          <w:rFonts w:ascii="Times New Roman" w:hAnsi="Times New Roman" w:cs="Times New Roman"/>
          <w:sz w:val="20"/>
          <w:szCs w:val="20"/>
        </w:rPr>
        <w:t xml:space="preserve"> regimens either DAAs or Peg-</w:t>
      </w:r>
      <w:r w:rsidR="004E4D97" w:rsidRPr="00F8652D">
        <w:rPr>
          <w:rFonts w:ascii="Times New Roman" w:hAnsi="Times New Roman" w:cs="Times New Roman"/>
          <w:sz w:val="20"/>
          <w:szCs w:val="20"/>
        </w:rPr>
        <w:t>IFN</w:t>
      </w:r>
      <w:r w:rsidR="00317BF1" w:rsidRPr="00F8652D">
        <w:rPr>
          <w:rFonts w:ascii="Times New Roman" w:hAnsi="Times New Roman" w:cs="Times New Roman" w:hint="eastAsia"/>
          <w:sz w:val="20"/>
          <w:szCs w:val="20"/>
          <w:lang w:eastAsia="zh-CN"/>
        </w:rPr>
        <w:t>.</w:t>
      </w:r>
      <w:r w:rsidR="004E4D97" w:rsidRPr="00F8652D">
        <w:rPr>
          <w:rFonts w:ascii="Times New Roman" w:hAnsi="Times New Roman" w:cs="Times New Roman"/>
          <w:sz w:val="20"/>
          <w:szCs w:val="20"/>
        </w:rPr>
        <w:t xml:space="preserve"> </w:t>
      </w:r>
      <w:r w:rsidR="00A06FB6" w:rsidRPr="00F8652D">
        <w:rPr>
          <w:rFonts w:ascii="Times New Roman" w:hAnsi="Times New Roman" w:cs="Times New Roman"/>
          <w:b/>
          <w:bCs/>
          <w:sz w:val="20"/>
          <w:szCs w:val="20"/>
        </w:rPr>
        <w:t>Results:</w:t>
      </w:r>
      <w:r w:rsidR="00317BF1" w:rsidRPr="00F8652D">
        <w:rPr>
          <w:rFonts w:ascii="Times New Roman" w:hAnsi="Times New Roman" w:cs="Times New Roman" w:hint="eastAsia"/>
          <w:b/>
          <w:bCs/>
          <w:sz w:val="20"/>
          <w:szCs w:val="20"/>
          <w:lang w:eastAsia="zh-CN"/>
        </w:rPr>
        <w:t xml:space="preserve"> </w:t>
      </w:r>
      <w:r w:rsidR="00CD0025" w:rsidRPr="00F8652D">
        <w:rPr>
          <w:rFonts w:ascii="Times New Roman" w:hAnsi="Times New Roman" w:cs="Times New Roman"/>
          <w:sz w:val="20"/>
          <w:szCs w:val="20"/>
          <w:lang w:bidi="ar-EG"/>
        </w:rPr>
        <w:t>FIB4 score had a high significant risk for HCC by multivariable logistic regression (p value =0.0001 and Odds ratio =1.626 with 95% CI=1.347-1.964)</w:t>
      </w:r>
      <w:r w:rsidR="00CD0025" w:rsidRPr="00F8652D">
        <w:rPr>
          <w:rFonts w:ascii="Times New Roman" w:hAnsi="Times New Roman" w:cs="Times New Roman"/>
          <w:b/>
          <w:bCs/>
          <w:sz w:val="20"/>
          <w:szCs w:val="20"/>
          <w:lang w:bidi="ar-EG"/>
        </w:rPr>
        <w:t xml:space="preserve">. </w:t>
      </w:r>
      <w:r w:rsidR="00CD0025" w:rsidRPr="00F8652D">
        <w:rPr>
          <w:rFonts w:ascii="Times New Roman" w:hAnsi="Times New Roman" w:cs="Times New Roman"/>
          <w:sz w:val="20"/>
          <w:szCs w:val="20"/>
          <w:lang w:bidi="ar-EG"/>
        </w:rPr>
        <w:t>Child</w:t>
      </w:r>
      <w:r w:rsidR="00A33D6B" w:rsidRPr="00F8652D">
        <w:rPr>
          <w:rFonts w:ascii="Times New Roman" w:hAnsi="Times New Roman" w:cs="Times New Roman"/>
          <w:sz w:val="20"/>
          <w:szCs w:val="20"/>
          <w:lang w:bidi="ar-EG"/>
        </w:rPr>
        <w:t xml:space="preserve"> Pugh</w:t>
      </w:r>
      <w:r w:rsidR="00CD0025" w:rsidRPr="00F8652D">
        <w:rPr>
          <w:rFonts w:ascii="Times New Roman" w:hAnsi="Times New Roman" w:cs="Times New Roman"/>
          <w:sz w:val="20"/>
          <w:szCs w:val="20"/>
          <w:lang w:bidi="ar-EG"/>
        </w:rPr>
        <w:t xml:space="preserve"> score had a high significant risk for HCC (p value =0.0001 and Odds ratio =1.426 with 95% CI=1.172-1.734).</w:t>
      </w:r>
      <w:r w:rsidR="00317BF1" w:rsidRPr="00F8652D">
        <w:rPr>
          <w:rFonts w:ascii="Times New Roman" w:hAnsi="Times New Roman" w:cs="Times New Roman" w:hint="eastAsia"/>
          <w:sz w:val="20"/>
          <w:szCs w:val="20"/>
          <w:lang w:eastAsia="zh-CN" w:bidi="ar-EG"/>
        </w:rPr>
        <w:t xml:space="preserve"> </w:t>
      </w:r>
      <w:r w:rsidR="00CD0025" w:rsidRPr="00F8652D">
        <w:rPr>
          <w:rFonts w:ascii="Times New Roman" w:hAnsi="Times New Roman" w:cs="Times New Roman"/>
          <w:sz w:val="20"/>
          <w:szCs w:val="20"/>
          <w:lang w:bidi="ar-EG"/>
        </w:rPr>
        <w:t>The MELD score had a high significant risk for HCC (p value =0.028 and Odds ratio =1.124 with 95% CI=1.013-1.246).</w:t>
      </w:r>
      <w:r w:rsidR="00317BF1" w:rsidRPr="00F8652D">
        <w:rPr>
          <w:rFonts w:ascii="Times New Roman" w:hAnsi="Times New Roman" w:cs="Times New Roman" w:hint="eastAsia"/>
          <w:sz w:val="20"/>
          <w:szCs w:val="20"/>
          <w:lang w:eastAsia="zh-CN" w:bidi="ar-EG"/>
        </w:rPr>
        <w:t xml:space="preserve"> </w:t>
      </w:r>
      <w:r w:rsidR="00CD0025" w:rsidRPr="00F8652D">
        <w:rPr>
          <w:rFonts w:ascii="Times New Roman" w:hAnsi="Times New Roman" w:cs="Times New Roman"/>
          <w:sz w:val="20"/>
          <w:szCs w:val="20"/>
          <w:lang w:bidi="ar-EG"/>
        </w:rPr>
        <w:t>However, after adjustment of the risk estimate of DM by multivariable logistic regression, we found that DM had a non-significant risk for HCC (p value =0.431 and Odds ratio =1.2 with 95% CI=0.762-1.891).</w:t>
      </w:r>
      <w:r w:rsidR="00317BF1" w:rsidRPr="00F8652D">
        <w:rPr>
          <w:rFonts w:ascii="Times New Roman" w:hAnsi="Times New Roman" w:cs="Times New Roman" w:hint="eastAsia"/>
          <w:sz w:val="20"/>
          <w:szCs w:val="20"/>
          <w:lang w:eastAsia="zh-CN" w:bidi="ar-EG"/>
        </w:rPr>
        <w:t xml:space="preserve"> </w:t>
      </w:r>
      <w:r w:rsidR="00CB3910" w:rsidRPr="00F8652D">
        <w:rPr>
          <w:rFonts w:ascii="Times New Roman" w:hAnsi="Times New Roman" w:cs="Times New Roman"/>
          <w:sz w:val="20"/>
          <w:szCs w:val="20"/>
          <w:lang w:bidi="ar-EG"/>
        </w:rPr>
        <w:t>HCV patients who were treated by DAAs had lower -however non significant- risk for HCC (p value =0.639 an</w:t>
      </w:r>
      <w:r w:rsidR="00546C66" w:rsidRPr="00F8652D">
        <w:rPr>
          <w:rFonts w:ascii="Times New Roman" w:hAnsi="Times New Roman" w:cs="Times New Roman"/>
          <w:sz w:val="20"/>
          <w:szCs w:val="20"/>
          <w:lang w:bidi="ar-EG"/>
        </w:rPr>
        <w:t>d Odds ratio =0.898</w:t>
      </w:r>
      <w:r w:rsidR="00317BF1" w:rsidRPr="00F8652D">
        <w:rPr>
          <w:rFonts w:ascii="Times New Roman" w:hAnsi="Times New Roman" w:cs="Times New Roman" w:hint="eastAsia"/>
          <w:sz w:val="20"/>
          <w:szCs w:val="20"/>
          <w:lang w:eastAsia="zh-CN" w:bidi="ar-EG"/>
        </w:rPr>
        <w:t xml:space="preserve"> </w:t>
      </w:r>
      <w:r w:rsidR="00546C66" w:rsidRPr="00F8652D">
        <w:rPr>
          <w:rFonts w:ascii="Times New Roman" w:hAnsi="Times New Roman" w:cs="Times New Roman"/>
          <w:sz w:val="20"/>
          <w:szCs w:val="20"/>
          <w:lang w:bidi="ar-EG"/>
        </w:rPr>
        <w:t>with 95% CI=</w:t>
      </w:r>
      <w:r w:rsidR="00CB3910" w:rsidRPr="00F8652D">
        <w:rPr>
          <w:rFonts w:ascii="Times New Roman" w:hAnsi="Times New Roman" w:cs="Times New Roman"/>
          <w:sz w:val="20"/>
          <w:szCs w:val="20"/>
          <w:lang w:bidi="ar-EG"/>
        </w:rPr>
        <w:t>0.572-1.409).</w:t>
      </w:r>
      <w:r w:rsidR="00317BF1" w:rsidRPr="00F8652D">
        <w:rPr>
          <w:rFonts w:ascii="Times New Roman" w:hAnsi="Times New Roman" w:cs="Times New Roman" w:hint="eastAsia"/>
          <w:sz w:val="20"/>
          <w:szCs w:val="20"/>
          <w:lang w:eastAsia="zh-CN" w:bidi="ar-EG"/>
        </w:rPr>
        <w:t xml:space="preserve"> </w:t>
      </w:r>
      <w:r w:rsidR="00A06FB6" w:rsidRPr="00F8652D">
        <w:rPr>
          <w:rFonts w:ascii="Times New Roman" w:hAnsi="Times New Roman" w:cs="Times New Roman"/>
          <w:b/>
          <w:bCs/>
          <w:sz w:val="20"/>
          <w:szCs w:val="20"/>
          <w:lang w:bidi="ar-EG"/>
        </w:rPr>
        <w:t>Conclusion:</w:t>
      </w:r>
      <w:r w:rsidR="00520406" w:rsidRPr="00F8652D">
        <w:rPr>
          <w:rFonts w:ascii="Times New Roman" w:hAnsi="Times New Roman" w:cs="Times New Roman"/>
          <w:sz w:val="20"/>
          <w:szCs w:val="20"/>
        </w:rPr>
        <w:t xml:space="preserve"> </w:t>
      </w:r>
      <w:r w:rsidR="00997582" w:rsidRPr="00F8652D">
        <w:rPr>
          <w:rFonts w:ascii="Times New Roman" w:hAnsi="Times New Roman" w:cs="Times New Roman"/>
          <w:sz w:val="20"/>
          <w:szCs w:val="20"/>
        </w:rPr>
        <w:t>H</w:t>
      </w:r>
      <w:r w:rsidR="00C22653" w:rsidRPr="00F8652D">
        <w:rPr>
          <w:rFonts w:ascii="Times New Roman" w:hAnsi="Times New Roman" w:cs="Times New Roman"/>
          <w:sz w:val="20"/>
          <w:szCs w:val="20"/>
        </w:rPr>
        <w:t xml:space="preserve">igher grades of liver fibrosis using FIB4 score and advanced liver dysfunction using either MELD or Child Pugh scores are </w:t>
      </w:r>
      <w:r w:rsidR="00997582" w:rsidRPr="00F8652D">
        <w:rPr>
          <w:rFonts w:ascii="Times New Roman" w:hAnsi="Times New Roman" w:cs="Times New Roman"/>
          <w:sz w:val="20"/>
          <w:szCs w:val="20"/>
        </w:rPr>
        <w:t>independent</w:t>
      </w:r>
      <w:r w:rsidR="00C22653" w:rsidRPr="00F8652D">
        <w:rPr>
          <w:rFonts w:ascii="Times New Roman" w:hAnsi="Times New Roman" w:cs="Times New Roman"/>
          <w:sz w:val="20"/>
          <w:szCs w:val="20"/>
        </w:rPr>
        <w:t xml:space="preserve"> risk predictors for </w:t>
      </w:r>
      <w:r w:rsidR="000A2F0D" w:rsidRPr="00F8652D">
        <w:rPr>
          <w:rFonts w:ascii="Times New Roman" w:hAnsi="Times New Roman" w:cs="Times New Roman"/>
          <w:sz w:val="20"/>
          <w:szCs w:val="20"/>
        </w:rPr>
        <w:t>d</w:t>
      </w:r>
      <w:r w:rsidR="00C22653" w:rsidRPr="00F8652D">
        <w:rPr>
          <w:rFonts w:ascii="Times New Roman" w:hAnsi="Times New Roman" w:cs="Times New Roman"/>
          <w:sz w:val="20"/>
          <w:szCs w:val="20"/>
        </w:rPr>
        <w:t>e novo HCC in HCV patients treated by either DAAs or Peg-IFN who achieved SVR.</w:t>
      </w:r>
      <w:r w:rsidR="00581FBE" w:rsidRPr="00F8652D">
        <w:rPr>
          <w:rFonts w:ascii="Times New Roman" w:hAnsi="Times New Roman" w:cs="Times New Roman" w:hint="eastAsia"/>
          <w:sz w:val="20"/>
          <w:szCs w:val="20"/>
          <w:lang w:eastAsia="zh-CN"/>
        </w:rPr>
        <w:t xml:space="preserve"> </w:t>
      </w:r>
      <w:r w:rsidR="00CB3910" w:rsidRPr="00F8652D">
        <w:rPr>
          <w:rFonts w:ascii="Times New Roman" w:hAnsi="Times New Roman" w:cs="Times New Roman"/>
          <w:sz w:val="20"/>
          <w:szCs w:val="20"/>
          <w:lang w:bidi="ar-EG"/>
        </w:rPr>
        <w:t>DAAs had lower -however non significant- risk for HCC.</w:t>
      </w:r>
    </w:p>
    <w:p w:rsidR="00F8652D" w:rsidRPr="00F8652D" w:rsidRDefault="00F8652D" w:rsidP="00F8652D">
      <w:pPr>
        <w:autoSpaceDE w:val="0"/>
        <w:autoSpaceDN w:val="0"/>
        <w:bidi w:val="0"/>
        <w:adjustRightInd w:val="0"/>
        <w:snapToGrid w:val="0"/>
        <w:spacing w:after="0" w:line="240" w:lineRule="auto"/>
        <w:jc w:val="both"/>
        <w:rPr>
          <w:rFonts w:ascii="Times New Roman" w:hAnsi="Times New Roman" w:cs="Times New Roman"/>
          <w:sz w:val="20"/>
          <w:szCs w:val="20"/>
        </w:rPr>
      </w:pPr>
      <w:r w:rsidRPr="00F8652D">
        <w:rPr>
          <w:rFonts w:ascii="Times New Roman" w:hAnsi="Times New Roman" w:cs="Times New Roman" w:hint="eastAsia"/>
          <w:b/>
          <w:sz w:val="20"/>
          <w:szCs w:val="20"/>
          <w:lang w:val="en-GB"/>
        </w:rPr>
        <w:t>[</w:t>
      </w:r>
      <w:r w:rsidRPr="00F8652D">
        <w:rPr>
          <w:rFonts w:ascii="Times New Roman" w:hAnsi="Times New Roman" w:cs="Times New Roman"/>
          <w:sz w:val="20"/>
          <w:szCs w:val="20"/>
        </w:rPr>
        <w:t>Abdallah A. Elsawy and Omnia Abd</w:t>
      </w:r>
      <w:r w:rsidR="00F969A2">
        <w:rPr>
          <w:rFonts w:ascii="Times New Roman" w:hAnsi="Times New Roman" w:cs="Times New Roman" w:hint="eastAsia"/>
          <w:sz w:val="20"/>
          <w:szCs w:val="20"/>
          <w:lang w:eastAsia="zh-CN"/>
        </w:rPr>
        <w:t xml:space="preserve"> </w:t>
      </w:r>
      <w:r w:rsidRPr="00F8652D">
        <w:rPr>
          <w:rFonts w:ascii="Times New Roman" w:hAnsi="Times New Roman" w:cs="Times New Roman"/>
          <w:sz w:val="20"/>
          <w:szCs w:val="20"/>
        </w:rPr>
        <w:t xml:space="preserve">Elfattah. </w:t>
      </w:r>
      <w:r w:rsidRPr="00F8652D">
        <w:rPr>
          <w:rFonts w:ascii="Times New Roman" w:hAnsi="Times New Roman" w:cs="Times New Roman"/>
          <w:b/>
          <w:bCs/>
          <w:sz w:val="20"/>
          <w:szCs w:val="20"/>
        </w:rPr>
        <w:t>Risk Predictors for De Novo Hepatocellular Carcinomas in Chronic hepatitis C Treated Patients who Achieved Sustained Virologic Response:</w:t>
      </w:r>
      <w:r w:rsidRPr="00F8652D">
        <w:rPr>
          <w:rFonts w:ascii="Times New Roman" w:hAnsi="Times New Roman" w:cs="Times New Roman" w:hint="eastAsia"/>
          <w:b/>
          <w:bCs/>
          <w:sz w:val="20"/>
          <w:szCs w:val="20"/>
          <w:lang w:eastAsia="zh-CN"/>
        </w:rPr>
        <w:t xml:space="preserve"> </w:t>
      </w:r>
      <w:r w:rsidRPr="00F8652D">
        <w:rPr>
          <w:rFonts w:ascii="Times New Roman" w:hAnsi="Times New Roman" w:cs="Times New Roman"/>
          <w:b/>
          <w:bCs/>
          <w:sz w:val="20"/>
          <w:szCs w:val="20"/>
        </w:rPr>
        <w:t>a Retrospective Study</w:t>
      </w:r>
      <w:r w:rsidRPr="00F8652D">
        <w:rPr>
          <w:rFonts w:ascii="Times New Roman" w:eastAsia="Times New Roman" w:hAnsi="Times New Roman" w:cs="Times New Roman"/>
          <w:b/>
          <w:bCs/>
          <w:sz w:val="20"/>
          <w:szCs w:val="20"/>
          <w:lang w:bidi="fa-IR"/>
        </w:rPr>
        <w:t>.</w:t>
      </w:r>
      <w:r w:rsidRPr="00F8652D">
        <w:rPr>
          <w:rFonts w:ascii="Times New Roman" w:hAnsi="Times New Roman" w:cs="Times New Roman"/>
          <w:i/>
          <w:sz w:val="20"/>
          <w:szCs w:val="20"/>
        </w:rPr>
        <w:t xml:space="preserve"> Cancer Biology</w:t>
      </w:r>
      <w:r w:rsidRPr="00F8652D">
        <w:rPr>
          <w:rFonts w:ascii="Times New Roman" w:hAnsi="Times New Roman" w:cs="Times New Roman"/>
          <w:sz w:val="20"/>
          <w:szCs w:val="20"/>
        </w:rPr>
        <w:t xml:space="preserve"> 201</w:t>
      </w:r>
      <w:r w:rsidRPr="00F8652D">
        <w:rPr>
          <w:rFonts w:ascii="Times New Roman" w:hAnsi="Times New Roman" w:cs="Times New Roman" w:hint="eastAsia"/>
          <w:sz w:val="20"/>
          <w:szCs w:val="20"/>
        </w:rPr>
        <w:t>9</w:t>
      </w:r>
      <w:r w:rsidRPr="00F8652D">
        <w:rPr>
          <w:rFonts w:ascii="Times New Roman" w:hAnsi="Times New Roman" w:cs="Times New Roman"/>
          <w:sz w:val="20"/>
          <w:szCs w:val="20"/>
        </w:rPr>
        <w:t>;</w:t>
      </w:r>
      <w:r w:rsidRPr="00F8652D">
        <w:rPr>
          <w:rFonts w:ascii="Times New Roman" w:hAnsi="Times New Roman" w:cs="Times New Roman" w:hint="eastAsia"/>
          <w:sz w:val="20"/>
          <w:szCs w:val="20"/>
        </w:rPr>
        <w:t>9</w:t>
      </w:r>
      <w:r w:rsidRPr="00F8652D">
        <w:rPr>
          <w:rFonts w:ascii="Times New Roman" w:hAnsi="Times New Roman" w:cs="Times New Roman"/>
          <w:sz w:val="20"/>
          <w:szCs w:val="20"/>
        </w:rPr>
        <w:t>(</w:t>
      </w:r>
      <w:r w:rsidRPr="00F8652D">
        <w:rPr>
          <w:rFonts w:ascii="Times New Roman" w:hAnsi="Times New Roman" w:cs="Times New Roman" w:hint="eastAsia"/>
          <w:sz w:val="20"/>
          <w:szCs w:val="20"/>
        </w:rPr>
        <w:t>1</w:t>
      </w:r>
      <w:r w:rsidRPr="00F8652D">
        <w:rPr>
          <w:rFonts w:ascii="Times New Roman" w:hAnsi="Times New Roman" w:cs="Times New Roman"/>
          <w:sz w:val="20"/>
          <w:szCs w:val="20"/>
        </w:rPr>
        <w:t>):</w:t>
      </w:r>
      <w:r w:rsidR="0060709A">
        <w:rPr>
          <w:rFonts w:ascii="Times New Roman" w:hAnsi="Times New Roman" w:cs="Times New Roman"/>
          <w:noProof/>
          <w:color w:val="000000"/>
          <w:sz w:val="20"/>
          <w:szCs w:val="20"/>
        </w:rPr>
        <w:t>60-65</w:t>
      </w:r>
      <w:r w:rsidRPr="00F8652D">
        <w:rPr>
          <w:rFonts w:ascii="Times New Roman" w:hAnsi="Times New Roman" w:cs="Times New Roman"/>
          <w:sz w:val="20"/>
          <w:szCs w:val="20"/>
        </w:rPr>
        <w:t xml:space="preserve">]. </w:t>
      </w:r>
      <w:r w:rsidRPr="00F8652D">
        <w:rPr>
          <w:rStyle w:val="msonormal0"/>
          <w:rFonts w:ascii="Times New Roman" w:eastAsia="宋" w:hAnsi="Times New Roman" w:cs="Times New Roman"/>
          <w:sz w:val="20"/>
          <w:szCs w:val="20"/>
        </w:rPr>
        <w:t>ISSN: 2150-1041 (print); ISSN: 2150-105X (online)</w:t>
      </w:r>
      <w:r w:rsidRPr="00F8652D">
        <w:rPr>
          <w:rFonts w:ascii="Times New Roman" w:hAnsi="Times New Roman" w:cs="Times New Roman"/>
          <w:sz w:val="20"/>
          <w:szCs w:val="20"/>
        </w:rPr>
        <w:t xml:space="preserve">. </w:t>
      </w:r>
      <w:hyperlink r:id="rId9" w:history="1">
        <w:r w:rsidRPr="00F8652D">
          <w:rPr>
            <w:rStyle w:val="Hyperlink"/>
            <w:rFonts w:ascii="Times New Roman" w:hAnsi="Times New Roman" w:cs="Times New Roman"/>
            <w:color w:val="0000FF"/>
            <w:sz w:val="20"/>
            <w:szCs w:val="20"/>
          </w:rPr>
          <w:t>http://www.cancerbio.net</w:t>
        </w:r>
      </w:hyperlink>
      <w:r w:rsidRPr="00F8652D">
        <w:rPr>
          <w:rFonts w:ascii="Times New Roman" w:hAnsi="Times New Roman" w:cs="Times New Roman"/>
          <w:sz w:val="20"/>
          <w:szCs w:val="20"/>
        </w:rPr>
        <w:t>.</w:t>
      </w:r>
      <w:r w:rsidRPr="00F8652D">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8</w:t>
      </w:r>
      <w:r w:rsidRPr="00F8652D">
        <w:rPr>
          <w:rFonts w:ascii="Times New Roman" w:hAnsi="Times New Roman" w:cs="Times New Roman" w:hint="eastAsia"/>
          <w:sz w:val="20"/>
          <w:szCs w:val="20"/>
        </w:rPr>
        <w:t xml:space="preserve">. </w:t>
      </w:r>
      <w:r w:rsidRPr="00F8652D">
        <w:rPr>
          <w:rFonts w:ascii="Times New Roman" w:hAnsi="Times New Roman" w:cs="Times New Roman"/>
          <w:color w:val="000000"/>
          <w:sz w:val="20"/>
          <w:szCs w:val="20"/>
          <w:shd w:val="clear" w:color="auto" w:fill="FFFFFF"/>
        </w:rPr>
        <w:t>doi:</w:t>
      </w:r>
      <w:hyperlink r:id="rId10" w:history="1">
        <w:r w:rsidRPr="00F8652D">
          <w:rPr>
            <w:rStyle w:val="Hyperlink"/>
            <w:rFonts w:ascii="Times New Roman" w:hAnsi="Times New Roman" w:cs="Times New Roman"/>
            <w:color w:val="0000FF"/>
            <w:sz w:val="20"/>
            <w:szCs w:val="20"/>
            <w:shd w:val="clear" w:color="auto" w:fill="FFFFFF"/>
          </w:rPr>
          <w:t>10.7537/mars</w:t>
        </w:r>
        <w:r w:rsidRPr="00F8652D">
          <w:rPr>
            <w:rStyle w:val="Hyperlink"/>
            <w:rFonts w:ascii="Times New Roman" w:hAnsi="Times New Roman" w:cs="Times New Roman" w:hint="eastAsia"/>
            <w:color w:val="0000FF"/>
            <w:sz w:val="20"/>
            <w:szCs w:val="20"/>
            <w:shd w:val="clear" w:color="auto" w:fill="FFFFFF"/>
          </w:rPr>
          <w:t>cbj0901</w:t>
        </w:r>
        <w:r w:rsidRPr="00F8652D">
          <w:rPr>
            <w:rStyle w:val="Hyperlink"/>
            <w:rFonts w:ascii="Times New Roman" w:hAnsi="Times New Roman" w:cs="Times New Roman"/>
            <w:color w:val="0000FF"/>
            <w:sz w:val="20"/>
            <w:szCs w:val="20"/>
            <w:shd w:val="clear" w:color="auto" w:fill="FFFFFF"/>
          </w:rPr>
          <w:t>1</w:t>
        </w:r>
        <w:r w:rsidRPr="00F8652D">
          <w:rPr>
            <w:rStyle w:val="Hyperlink"/>
            <w:rFonts w:ascii="Times New Roman" w:hAnsi="Times New Roman" w:cs="Times New Roman" w:hint="eastAsia"/>
            <w:color w:val="0000FF"/>
            <w:sz w:val="20"/>
            <w:szCs w:val="20"/>
            <w:shd w:val="clear" w:color="auto" w:fill="FFFFFF"/>
          </w:rPr>
          <w:t>9.</w:t>
        </w:r>
        <w:r w:rsidRPr="00F8652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8</w:t>
        </w:r>
      </w:hyperlink>
      <w:r w:rsidRPr="00F8652D">
        <w:rPr>
          <w:rFonts w:ascii="Times New Roman" w:hAnsi="Times New Roman" w:cs="Times New Roman"/>
          <w:color w:val="000000"/>
          <w:sz w:val="20"/>
          <w:szCs w:val="20"/>
          <w:shd w:val="clear" w:color="auto" w:fill="FFFFFF"/>
        </w:rPr>
        <w:t>.</w:t>
      </w:r>
    </w:p>
    <w:p w:rsidR="00520406" w:rsidRPr="00B44AD9" w:rsidRDefault="00520406" w:rsidP="00F8652D">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45117F" w:rsidRPr="00B44AD9" w:rsidRDefault="00CF7839" w:rsidP="00F8652D">
      <w:pPr>
        <w:shd w:val="clear" w:color="auto" w:fill="FFFFFF"/>
        <w:bidi w:val="0"/>
        <w:snapToGrid w:val="0"/>
        <w:spacing w:after="0" w:line="240" w:lineRule="auto"/>
        <w:jc w:val="both"/>
        <w:rPr>
          <w:rFonts w:ascii="Times New Roman" w:hAnsi="Times New Roman" w:cs="Times New Roman"/>
          <w:b/>
          <w:bCs/>
          <w:sz w:val="20"/>
          <w:szCs w:val="20"/>
          <w:lang w:eastAsia="de-DE"/>
        </w:rPr>
      </w:pPr>
      <w:r w:rsidRPr="00B44AD9">
        <w:rPr>
          <w:rFonts w:ascii="Times New Roman" w:hAnsi="Times New Roman" w:cs="Times New Roman"/>
          <w:b/>
          <w:bCs/>
          <w:sz w:val="20"/>
          <w:szCs w:val="20"/>
          <w:lang w:eastAsia="de-DE"/>
        </w:rPr>
        <w:t>Key words:</w:t>
      </w:r>
      <w:r w:rsidR="00520406" w:rsidRPr="00B44AD9">
        <w:rPr>
          <w:rFonts w:ascii="Times New Roman" w:hAnsi="Times New Roman" w:cs="Times New Roman"/>
          <w:b/>
          <w:bCs/>
          <w:sz w:val="20"/>
          <w:szCs w:val="20"/>
          <w:lang w:eastAsia="de-DE"/>
        </w:rPr>
        <w:t xml:space="preserve"> </w:t>
      </w:r>
      <w:r w:rsidR="003C6E4E" w:rsidRPr="00B44AD9">
        <w:rPr>
          <w:rFonts w:ascii="Times New Roman" w:hAnsi="Times New Roman" w:cs="Times New Roman"/>
          <w:sz w:val="20"/>
          <w:szCs w:val="20"/>
          <w:lang w:eastAsia="de-DE"/>
        </w:rPr>
        <w:t>D</w:t>
      </w:r>
      <w:r w:rsidR="007B6FD7" w:rsidRPr="00B44AD9">
        <w:rPr>
          <w:rFonts w:ascii="Times New Roman" w:hAnsi="Times New Roman" w:cs="Times New Roman"/>
          <w:sz w:val="20"/>
          <w:szCs w:val="20"/>
          <w:lang w:eastAsia="de-DE"/>
        </w:rPr>
        <w:t>irect acting antivirals</w:t>
      </w:r>
      <w:r w:rsidR="00187746" w:rsidRPr="00B44AD9">
        <w:rPr>
          <w:rFonts w:ascii="Times New Roman" w:eastAsia="Calibri" w:hAnsi="Times New Roman" w:cs="Times New Roman"/>
          <w:sz w:val="20"/>
          <w:szCs w:val="20"/>
          <w:lang w:bidi="ar-EG"/>
        </w:rPr>
        <w:t xml:space="preserve">, </w:t>
      </w:r>
      <w:r w:rsidR="00BA088F" w:rsidRPr="00B44AD9">
        <w:rPr>
          <w:rFonts w:ascii="Times New Roman" w:eastAsia="Calibri" w:hAnsi="Times New Roman" w:cs="Times New Roman"/>
          <w:sz w:val="20"/>
          <w:szCs w:val="20"/>
        </w:rPr>
        <w:t>Hepatocellular</w:t>
      </w:r>
      <w:r w:rsidR="003C6E4E" w:rsidRPr="00B44AD9">
        <w:rPr>
          <w:rFonts w:ascii="Times New Roman" w:eastAsia="Calibri" w:hAnsi="Times New Roman" w:cs="Times New Roman"/>
          <w:sz w:val="20"/>
          <w:szCs w:val="20"/>
        </w:rPr>
        <w:t xml:space="preserve"> carcinomas</w:t>
      </w:r>
      <w:r w:rsidR="00187746" w:rsidRPr="00B44AD9">
        <w:rPr>
          <w:rFonts w:ascii="Times New Roman" w:hAnsi="Times New Roman" w:cs="Times New Roman"/>
          <w:sz w:val="20"/>
          <w:szCs w:val="20"/>
          <w:shd w:val="clear" w:color="auto" w:fill="FFFFFF"/>
        </w:rPr>
        <w:t xml:space="preserve">, </w:t>
      </w:r>
      <w:r w:rsidR="007B6FD7" w:rsidRPr="00B44AD9">
        <w:rPr>
          <w:rFonts w:ascii="Times New Roman" w:hAnsi="Times New Roman" w:cs="Times New Roman"/>
          <w:sz w:val="20"/>
          <w:szCs w:val="20"/>
          <w:shd w:val="clear" w:color="auto" w:fill="FFFFFF"/>
        </w:rPr>
        <w:t>R</w:t>
      </w:r>
      <w:r w:rsidR="003C6E4E" w:rsidRPr="00B44AD9">
        <w:rPr>
          <w:rFonts w:ascii="Times New Roman" w:hAnsi="Times New Roman" w:cs="Times New Roman"/>
          <w:sz w:val="20"/>
          <w:szCs w:val="20"/>
          <w:shd w:val="clear" w:color="auto" w:fill="FFFFFF"/>
        </w:rPr>
        <w:t>isk factors</w:t>
      </w:r>
    </w:p>
    <w:p w:rsidR="000A2F0D" w:rsidRPr="00B44AD9" w:rsidRDefault="000A2F0D" w:rsidP="00F8652D">
      <w:pPr>
        <w:shd w:val="clear" w:color="auto" w:fill="FFFFFF"/>
        <w:bidi w:val="0"/>
        <w:snapToGrid w:val="0"/>
        <w:spacing w:after="0" w:line="240" w:lineRule="auto"/>
        <w:jc w:val="both"/>
        <w:rPr>
          <w:rFonts w:ascii="Times New Roman" w:hAnsi="Times New Roman" w:cs="Times New Roman"/>
          <w:b/>
          <w:bCs/>
          <w:i/>
          <w:iCs/>
          <w:sz w:val="20"/>
          <w:szCs w:val="14"/>
          <w:lang w:eastAsia="de-DE"/>
        </w:rPr>
      </w:pPr>
    </w:p>
    <w:p w:rsidR="00F8652D" w:rsidRDefault="00F8652D" w:rsidP="00F8652D">
      <w:pPr>
        <w:shd w:val="clear" w:color="auto" w:fill="FFFFFF"/>
        <w:bidi w:val="0"/>
        <w:snapToGrid w:val="0"/>
        <w:spacing w:after="0" w:line="240" w:lineRule="auto"/>
        <w:jc w:val="both"/>
        <w:rPr>
          <w:rFonts w:ascii="Times New Roman" w:eastAsia="Calibri" w:hAnsi="Times New Roman" w:cs="Times New Roman"/>
          <w:b/>
          <w:bCs/>
          <w:sz w:val="20"/>
          <w:szCs w:val="20"/>
        </w:rPr>
        <w:sectPr w:rsidR="00F8652D" w:rsidSect="0060709A">
          <w:headerReference w:type="default" r:id="rId11"/>
          <w:footerReference w:type="default" r:id="rId12"/>
          <w:type w:val="continuous"/>
          <w:pgSz w:w="12242" w:h="15842" w:code="1"/>
          <w:pgMar w:top="1440" w:right="1440" w:bottom="1440" w:left="1440" w:header="720" w:footer="720" w:gutter="0"/>
          <w:pgNumType w:start="60"/>
          <w:cols w:space="720"/>
          <w:docGrid w:linePitch="360"/>
        </w:sectPr>
      </w:pPr>
    </w:p>
    <w:p w:rsidR="0045117F"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lastRenderedPageBreak/>
        <w:t xml:space="preserve">1. </w:t>
      </w:r>
      <w:r w:rsidR="0045117F" w:rsidRPr="00B44AD9">
        <w:rPr>
          <w:rFonts w:ascii="Times New Roman" w:eastAsia="Calibri" w:hAnsi="Times New Roman" w:cs="Times New Roman"/>
          <w:b/>
          <w:bCs/>
          <w:sz w:val="20"/>
          <w:szCs w:val="20"/>
        </w:rPr>
        <w:t>Introduction:</w:t>
      </w:r>
    </w:p>
    <w:p w:rsidR="00A60A08" w:rsidRPr="00B44AD9" w:rsidRDefault="00A60A08"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 xml:space="preserve">In Egypt, HCC is considered to be one of the commonest cancers </w:t>
      </w:r>
      <w:r w:rsidRPr="00B44AD9">
        <w:rPr>
          <w:rFonts w:ascii="Times New Roman" w:hAnsi="Times New Roman" w:cs="Times New Roman"/>
          <w:b/>
          <w:bCs/>
          <w:sz w:val="20"/>
          <w:szCs w:val="20"/>
          <w:lang w:bidi="ar-EG"/>
        </w:rPr>
        <w:t>(1,2)</w:t>
      </w:r>
      <w:r w:rsidRPr="00B44AD9">
        <w:rPr>
          <w:rFonts w:ascii="Times New Roman" w:hAnsi="Times New Roman" w:cs="Times New Roman"/>
          <w:sz w:val="20"/>
          <w:szCs w:val="20"/>
          <w:lang w:bidi="ar-EG"/>
        </w:rPr>
        <w:t xml:space="preserve">. Worldwide, an approximate more than 170 million people have HCV infection. HCV prevalence is highest in Egypt </w:t>
      </w:r>
      <w:r w:rsidR="00AC7AF5" w:rsidRPr="00B44AD9">
        <w:rPr>
          <w:rFonts w:ascii="Times New Roman" w:hAnsi="Times New Roman" w:cs="Times New Roman"/>
          <w:sz w:val="20"/>
          <w:szCs w:val="20"/>
          <w:lang w:bidi="ar-EG"/>
        </w:rPr>
        <w:t>of</w:t>
      </w:r>
      <w:r w:rsidR="00520406" w:rsidRPr="00B44AD9">
        <w:rPr>
          <w:rFonts w:ascii="Times New Roman" w:hAnsi="Times New Roman" w:cs="Times New Roman"/>
          <w:sz w:val="20"/>
          <w:szCs w:val="20"/>
          <w:lang w:bidi="ar-EG"/>
        </w:rPr>
        <w:t xml:space="preserve"> </w:t>
      </w:r>
      <w:r w:rsidR="00C22653" w:rsidRPr="00B44AD9">
        <w:rPr>
          <w:rFonts w:ascii="Times New Roman" w:hAnsi="Times New Roman" w:cs="Times New Roman"/>
          <w:sz w:val="20"/>
          <w:szCs w:val="20"/>
          <w:lang w:bidi="ar-EG"/>
        </w:rPr>
        <w:t xml:space="preserve">more than </w:t>
      </w:r>
      <w:r w:rsidRPr="00B44AD9">
        <w:rPr>
          <w:rFonts w:ascii="Times New Roman" w:hAnsi="Times New Roman" w:cs="Times New Roman"/>
          <w:sz w:val="20"/>
          <w:szCs w:val="20"/>
          <w:lang w:bidi="ar-EG"/>
        </w:rPr>
        <w:t>15% of the general population which is one of the major causes of chronic liver diseas</w:t>
      </w:r>
      <w:r w:rsidR="00B44AD9" w:rsidRPr="00B44AD9">
        <w:rPr>
          <w:rFonts w:ascii="Times New Roman" w:hAnsi="Times New Roman" w:cs="Times New Roman"/>
          <w:sz w:val="20"/>
          <w:szCs w:val="20"/>
          <w:lang w:bidi="ar-EG"/>
        </w:rPr>
        <w:t xml:space="preserve">e </w:t>
      </w:r>
      <w:r w:rsidR="00B44AD9" w:rsidRPr="00B44AD9">
        <w:rPr>
          <w:rFonts w:ascii="Times New Roman" w:hAnsi="Times New Roman" w:cs="Times New Roman"/>
          <w:b/>
          <w:bCs/>
          <w:sz w:val="20"/>
          <w:szCs w:val="20"/>
          <w:lang w:bidi="ar-EG"/>
        </w:rPr>
        <w:t>(</w:t>
      </w:r>
      <w:r w:rsidRPr="00B44AD9">
        <w:rPr>
          <w:rFonts w:ascii="Times New Roman" w:hAnsi="Times New Roman" w:cs="Times New Roman"/>
          <w:b/>
          <w:bCs/>
          <w:sz w:val="20"/>
          <w:szCs w:val="20"/>
          <w:lang w:bidi="ar-EG"/>
        </w:rPr>
        <w:t>3,4)</w:t>
      </w:r>
      <w:r w:rsidR="00F8652D" w:rsidRPr="00B44AD9">
        <w:rPr>
          <w:rFonts w:ascii="Times New Roman" w:hAnsi="Times New Roman" w:cs="Times New Roman"/>
          <w:sz w:val="20"/>
          <w:szCs w:val="20"/>
          <w:lang w:bidi="ar-EG"/>
        </w:rPr>
        <w:t>.</w:t>
      </w:r>
      <w:r w:rsidR="00F8652D">
        <w:rPr>
          <w:rFonts w:ascii="Times New Roman" w:hAnsi="Times New Roman" w:cs="Times New Roman"/>
          <w:sz w:val="20"/>
          <w:szCs w:val="20"/>
          <w:lang w:bidi="ar-EG"/>
        </w:rPr>
        <w:t xml:space="preserve"> </w:t>
      </w:r>
      <w:r w:rsidR="00F8652D" w:rsidRPr="00B44AD9">
        <w:rPr>
          <w:rFonts w:ascii="Times New Roman" w:hAnsi="Times New Roman" w:cs="Times New Roman"/>
          <w:sz w:val="20"/>
          <w:szCs w:val="20"/>
          <w:lang w:bidi="ar-EG"/>
        </w:rPr>
        <w:t>G</w:t>
      </w:r>
      <w:r w:rsidRPr="00B44AD9">
        <w:rPr>
          <w:rFonts w:ascii="Times New Roman" w:hAnsi="Times New Roman" w:cs="Times New Roman"/>
          <w:sz w:val="20"/>
          <w:szCs w:val="20"/>
          <w:lang w:bidi="ar-EG"/>
        </w:rPr>
        <w:t>enerally</w:t>
      </w:r>
      <w:r w:rsidR="00AC7AF5" w:rsidRPr="00B44AD9">
        <w:rPr>
          <w:rFonts w:ascii="Times New Roman" w:hAnsi="Times New Roman" w:cs="Times New Roman"/>
          <w:sz w:val="20"/>
          <w:szCs w:val="20"/>
          <w:lang w:bidi="ar-EG"/>
        </w:rPr>
        <w:t>,</w:t>
      </w:r>
      <w:r w:rsidR="00520406" w:rsidRPr="00B44AD9">
        <w:rPr>
          <w:rFonts w:ascii="Times New Roman" w:hAnsi="Times New Roman" w:cs="Times New Roman"/>
          <w:sz w:val="20"/>
          <w:szCs w:val="20"/>
          <w:lang w:bidi="ar-EG"/>
        </w:rPr>
        <w:t xml:space="preserve"> </w:t>
      </w:r>
      <w:r w:rsidR="00AC7AF5" w:rsidRPr="00B44AD9">
        <w:rPr>
          <w:rFonts w:ascii="Times New Roman" w:hAnsi="Times New Roman" w:cs="Times New Roman"/>
          <w:sz w:val="20"/>
          <w:szCs w:val="20"/>
          <w:lang w:bidi="ar-EG"/>
        </w:rPr>
        <w:t>hepatocellular carcinomas</w:t>
      </w:r>
      <w:r w:rsidRPr="00B44AD9">
        <w:rPr>
          <w:rFonts w:ascii="Times New Roman" w:hAnsi="Times New Roman" w:cs="Times New Roman"/>
          <w:sz w:val="20"/>
          <w:szCs w:val="20"/>
          <w:lang w:bidi="ar-EG"/>
        </w:rPr>
        <w:t xml:space="preserve"> have an inferior prognosis due to late diagnosis and lack of efficient </w:t>
      </w:r>
      <w:r w:rsidR="001A04E7" w:rsidRPr="00B44AD9">
        <w:rPr>
          <w:rFonts w:ascii="Times New Roman" w:hAnsi="Times New Roman" w:cs="Times New Roman"/>
          <w:sz w:val="20"/>
          <w:szCs w:val="20"/>
          <w:lang w:bidi="ar-EG"/>
        </w:rPr>
        <w:t>treatment option</w:t>
      </w:r>
      <w:r w:rsidR="00B44AD9" w:rsidRPr="00B44AD9">
        <w:rPr>
          <w:rFonts w:ascii="Times New Roman" w:hAnsi="Times New Roman" w:cs="Times New Roman"/>
          <w:sz w:val="20"/>
          <w:szCs w:val="20"/>
          <w:lang w:bidi="ar-EG"/>
        </w:rPr>
        <w:t xml:space="preserve">s </w:t>
      </w:r>
      <w:r w:rsidR="00B44AD9" w:rsidRPr="00B44AD9">
        <w:rPr>
          <w:rFonts w:ascii="Times New Roman" w:hAnsi="Times New Roman" w:cs="Times New Roman"/>
          <w:b/>
          <w:bCs/>
          <w:sz w:val="20"/>
          <w:szCs w:val="20"/>
          <w:lang w:bidi="ar-EG"/>
        </w:rPr>
        <w:t>(</w:t>
      </w:r>
      <w:r w:rsidRPr="00B44AD9">
        <w:rPr>
          <w:rFonts w:ascii="Times New Roman" w:hAnsi="Times New Roman" w:cs="Times New Roman"/>
          <w:b/>
          <w:bCs/>
          <w:sz w:val="20"/>
          <w:szCs w:val="20"/>
          <w:lang w:bidi="ar-EG"/>
        </w:rPr>
        <w:t>5)</w:t>
      </w:r>
      <w:r w:rsidRPr="00B44AD9">
        <w:rPr>
          <w:rFonts w:ascii="Times New Roman" w:hAnsi="Times New Roman" w:cs="Times New Roman"/>
          <w:sz w:val="20"/>
          <w:szCs w:val="20"/>
          <w:lang w:bidi="ar-EG"/>
        </w:rPr>
        <w:t>.</w:t>
      </w:r>
      <w:r w:rsidR="00B44AD9" w:rsidRPr="00B44AD9">
        <w:rPr>
          <w:rFonts w:ascii="Times New Roman" w:hAnsi="Times New Roman" w:cs="Times New Roman"/>
          <w:sz w:val="20"/>
          <w:szCs w:val="20"/>
          <w:lang w:bidi="ar-EG"/>
        </w:rPr>
        <w:t xml:space="preserve"> </w:t>
      </w:r>
      <w:r w:rsidRPr="00B44AD9">
        <w:rPr>
          <w:rFonts w:ascii="Times New Roman" w:hAnsi="Times New Roman" w:cs="Times New Roman"/>
          <w:sz w:val="20"/>
          <w:szCs w:val="20"/>
          <w:lang w:bidi="ar-EG"/>
        </w:rPr>
        <w:t xml:space="preserve">Accordingly, early diagnosis of HCC in cirrhotic patients is essential </w:t>
      </w:r>
      <w:r w:rsidRPr="00B44AD9">
        <w:rPr>
          <w:rFonts w:ascii="Times New Roman" w:hAnsi="Times New Roman" w:cs="Times New Roman"/>
          <w:b/>
          <w:bCs/>
          <w:sz w:val="20"/>
          <w:szCs w:val="20"/>
          <w:lang w:bidi="ar-EG"/>
        </w:rPr>
        <w:t>(6)</w:t>
      </w:r>
      <w:r w:rsidRPr="00B44AD9">
        <w:rPr>
          <w:rFonts w:ascii="Times New Roman" w:hAnsi="Times New Roman" w:cs="Times New Roman"/>
          <w:sz w:val="20"/>
          <w:szCs w:val="20"/>
          <w:lang w:bidi="ar-EG"/>
        </w:rPr>
        <w:t xml:space="preserve">. Data from Europe and North America have been published </w:t>
      </w:r>
      <w:r w:rsidR="00F969A2" w:rsidRPr="00B44AD9">
        <w:rPr>
          <w:rFonts w:ascii="Times New Roman" w:hAnsi="Times New Roman" w:cs="Times New Roman"/>
          <w:sz w:val="20"/>
          <w:szCs w:val="20"/>
          <w:lang w:bidi="ar-EG"/>
        </w:rPr>
        <w:t>regarding</w:t>
      </w:r>
      <w:r w:rsidRPr="00B44AD9">
        <w:rPr>
          <w:rFonts w:ascii="Times New Roman" w:hAnsi="Times New Roman" w:cs="Times New Roman"/>
          <w:sz w:val="20"/>
          <w:szCs w:val="20"/>
          <w:lang w:bidi="ar-EG"/>
        </w:rPr>
        <w:t xml:space="preserve"> the risk of developing HCC after treatment with DAA concluded that achieving SVR with DAAs regimens was associated with a significant risk reduction of HCC. However, this risk remained high in patients with advanced fibrosis, thus demanding continuous surveillance strategies in this populatio</w:t>
      </w:r>
      <w:r w:rsidR="00B44AD9" w:rsidRPr="00B44AD9">
        <w:rPr>
          <w:rFonts w:ascii="Times New Roman" w:hAnsi="Times New Roman" w:cs="Times New Roman"/>
          <w:sz w:val="20"/>
          <w:szCs w:val="20"/>
          <w:lang w:bidi="ar-EG"/>
        </w:rPr>
        <w:t xml:space="preserve">n </w:t>
      </w:r>
      <w:r w:rsidR="00B44AD9" w:rsidRPr="00B44AD9">
        <w:rPr>
          <w:rFonts w:ascii="Times New Roman" w:hAnsi="Times New Roman" w:cs="Times New Roman"/>
          <w:b/>
          <w:bCs/>
          <w:sz w:val="20"/>
          <w:szCs w:val="20"/>
          <w:lang w:bidi="ar-EG"/>
        </w:rPr>
        <w:t>(</w:t>
      </w:r>
      <w:r w:rsidRPr="00B44AD9">
        <w:rPr>
          <w:rFonts w:ascii="Times New Roman" w:hAnsi="Times New Roman" w:cs="Times New Roman"/>
          <w:b/>
          <w:bCs/>
          <w:sz w:val="20"/>
          <w:szCs w:val="20"/>
          <w:lang w:bidi="ar-EG"/>
        </w:rPr>
        <w:t>7,8)</w:t>
      </w:r>
      <w:r w:rsidRPr="00B44AD9">
        <w:rPr>
          <w:rFonts w:ascii="Times New Roman" w:hAnsi="Times New Roman" w:cs="Times New Roman"/>
          <w:sz w:val="20"/>
          <w:szCs w:val="20"/>
          <w:lang w:bidi="ar-EG"/>
        </w:rPr>
        <w:t>.</w:t>
      </w:r>
    </w:p>
    <w:p w:rsidR="00A60A08" w:rsidRPr="00B44AD9" w:rsidRDefault="00A60A08"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lastRenderedPageBreak/>
        <w:t xml:space="preserve">Our aim of this study </w:t>
      </w:r>
      <w:r w:rsidR="00C22653" w:rsidRPr="00B44AD9">
        <w:rPr>
          <w:rFonts w:ascii="Times New Roman" w:hAnsi="Times New Roman" w:cs="Times New Roman"/>
          <w:sz w:val="20"/>
          <w:szCs w:val="20"/>
          <w:lang w:bidi="ar-EG"/>
        </w:rPr>
        <w:t>is</w:t>
      </w:r>
      <w:r w:rsidRPr="00B44AD9">
        <w:rPr>
          <w:rFonts w:ascii="Times New Roman" w:hAnsi="Times New Roman" w:cs="Times New Roman"/>
          <w:sz w:val="20"/>
          <w:szCs w:val="20"/>
          <w:lang w:bidi="ar-EG"/>
        </w:rPr>
        <w:t xml:space="preserve"> to evaluate possible risk </w:t>
      </w:r>
      <w:r w:rsidR="00C22653" w:rsidRPr="00B44AD9">
        <w:rPr>
          <w:rFonts w:ascii="Times New Roman" w:hAnsi="Times New Roman" w:cs="Times New Roman"/>
          <w:sz w:val="20"/>
          <w:szCs w:val="20"/>
          <w:lang w:bidi="ar-EG"/>
        </w:rPr>
        <w:t>predictors</w:t>
      </w:r>
      <w:r w:rsidRPr="00B44AD9">
        <w:rPr>
          <w:rFonts w:ascii="Times New Roman" w:hAnsi="Times New Roman" w:cs="Times New Roman"/>
          <w:sz w:val="20"/>
          <w:szCs w:val="20"/>
          <w:lang w:bidi="ar-EG"/>
        </w:rPr>
        <w:t xml:space="preserve"> related to de novo HCC in HCV patients wh</w:t>
      </w:r>
      <w:r w:rsidR="00AC7AF5" w:rsidRPr="00B44AD9">
        <w:rPr>
          <w:rFonts w:ascii="Times New Roman" w:hAnsi="Times New Roman" w:cs="Times New Roman"/>
          <w:sz w:val="20"/>
          <w:szCs w:val="20"/>
          <w:lang w:bidi="ar-EG"/>
        </w:rPr>
        <w:t>o achieved sustained virologic</w:t>
      </w:r>
      <w:r w:rsidRPr="00B44AD9">
        <w:rPr>
          <w:rFonts w:ascii="Times New Roman" w:hAnsi="Times New Roman" w:cs="Times New Roman"/>
          <w:sz w:val="20"/>
          <w:szCs w:val="20"/>
          <w:lang w:bidi="ar-EG"/>
        </w:rPr>
        <w:t xml:space="preserve"> response to either the new DAAs or peg-IFN regimens.</w:t>
      </w:r>
    </w:p>
    <w:p w:rsidR="00520406"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12"/>
        </w:rPr>
      </w:pPr>
    </w:p>
    <w:p w:rsidR="00B44E9D"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t xml:space="preserve">2. </w:t>
      </w:r>
      <w:r w:rsidR="00B44E9D" w:rsidRPr="00B44AD9">
        <w:rPr>
          <w:rFonts w:ascii="Times New Roman" w:eastAsia="Calibri" w:hAnsi="Times New Roman" w:cs="Times New Roman"/>
          <w:b/>
          <w:bCs/>
          <w:sz w:val="20"/>
          <w:szCs w:val="20"/>
        </w:rPr>
        <w:t xml:space="preserve">Patients and methods: </w:t>
      </w:r>
    </w:p>
    <w:p w:rsidR="00F52170" w:rsidRPr="00B44AD9" w:rsidRDefault="00B44E9D"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eastAsia="Times New Roman" w:hAnsi="Times New Roman" w:cs="Times New Roman"/>
          <w:bCs/>
          <w:sz w:val="20"/>
          <w:szCs w:val="20"/>
        </w:rPr>
        <w:t xml:space="preserve">This </w:t>
      </w:r>
      <w:r w:rsidR="00B575E7" w:rsidRPr="00B44AD9">
        <w:rPr>
          <w:rFonts w:ascii="Times New Roman" w:eastAsia="Times New Roman" w:hAnsi="Times New Roman" w:cs="Times New Roman"/>
          <w:bCs/>
          <w:sz w:val="20"/>
          <w:szCs w:val="20"/>
        </w:rPr>
        <w:t>retrospective case control study</w:t>
      </w:r>
      <w:r w:rsidRPr="00B44AD9">
        <w:rPr>
          <w:rFonts w:ascii="Times New Roman" w:eastAsia="Times New Roman" w:hAnsi="Times New Roman" w:cs="Times New Roman"/>
          <w:bCs/>
          <w:sz w:val="20"/>
          <w:szCs w:val="20"/>
        </w:rPr>
        <w:t xml:space="preserve"> was </w:t>
      </w:r>
      <w:r w:rsidRPr="00B44AD9">
        <w:rPr>
          <w:rFonts w:ascii="Times New Roman" w:eastAsia="Calibri" w:hAnsi="Times New Roman" w:cs="Times New Roman"/>
          <w:sz w:val="20"/>
          <w:szCs w:val="20"/>
        </w:rPr>
        <w:t>performed</w:t>
      </w:r>
      <w:r w:rsidRPr="00B44AD9">
        <w:rPr>
          <w:rFonts w:ascii="Times New Roman" w:eastAsia="Times New Roman" w:hAnsi="Times New Roman" w:cs="Times New Roman"/>
          <w:bCs/>
          <w:sz w:val="20"/>
          <w:szCs w:val="20"/>
        </w:rPr>
        <w:t xml:space="preserve"> at</w:t>
      </w:r>
      <w:r w:rsidR="004F7515">
        <w:rPr>
          <w:rFonts w:ascii="Times New Roman" w:hAnsi="Times New Roman" w:cs="Times New Roman" w:hint="eastAsia"/>
          <w:bCs/>
          <w:sz w:val="20"/>
          <w:szCs w:val="20"/>
          <w:lang w:eastAsia="zh-CN"/>
        </w:rPr>
        <w:t xml:space="preserve"> </w:t>
      </w:r>
      <w:r w:rsidR="009D0D5A" w:rsidRPr="00B44AD9">
        <w:rPr>
          <w:rFonts w:ascii="Times New Roman" w:eastAsia="Times New Roman" w:hAnsi="Times New Roman" w:cs="Times New Roman"/>
          <w:bCs/>
          <w:sz w:val="20"/>
          <w:szCs w:val="20"/>
        </w:rPr>
        <w:t>both Clinical</w:t>
      </w:r>
      <w:r w:rsidR="00CA5747" w:rsidRPr="00B44AD9">
        <w:rPr>
          <w:rFonts w:ascii="Times New Roman" w:eastAsia="Times New Roman" w:hAnsi="Times New Roman" w:cs="Times New Roman"/>
          <w:bCs/>
          <w:sz w:val="20"/>
          <w:szCs w:val="20"/>
        </w:rPr>
        <w:t xml:space="preserve"> O</w:t>
      </w:r>
      <w:r w:rsidR="00B575E7" w:rsidRPr="00B44AD9">
        <w:rPr>
          <w:rFonts w:ascii="Times New Roman" w:eastAsia="Times New Roman" w:hAnsi="Times New Roman" w:cs="Times New Roman"/>
          <w:bCs/>
          <w:sz w:val="20"/>
          <w:szCs w:val="20"/>
        </w:rPr>
        <w:t xml:space="preserve">ncology </w:t>
      </w:r>
      <w:r w:rsidR="00CA5747" w:rsidRPr="00B44AD9">
        <w:rPr>
          <w:rFonts w:ascii="Times New Roman" w:eastAsia="Times New Roman" w:hAnsi="Times New Roman" w:cs="Times New Roman"/>
          <w:bCs/>
          <w:sz w:val="20"/>
          <w:szCs w:val="20"/>
        </w:rPr>
        <w:t>D</w:t>
      </w:r>
      <w:r w:rsidR="00B575E7" w:rsidRPr="00B44AD9">
        <w:rPr>
          <w:rFonts w:ascii="Times New Roman" w:eastAsia="Times New Roman" w:hAnsi="Times New Roman" w:cs="Times New Roman"/>
          <w:bCs/>
          <w:sz w:val="20"/>
          <w:szCs w:val="20"/>
        </w:rPr>
        <w:t>epartment and the</w:t>
      </w:r>
      <w:r w:rsidR="00520406" w:rsidRPr="00B44AD9">
        <w:rPr>
          <w:rFonts w:ascii="Times New Roman" w:eastAsia="Times New Roman" w:hAnsi="Times New Roman" w:cs="Times New Roman"/>
          <w:bCs/>
          <w:sz w:val="20"/>
          <w:szCs w:val="20"/>
        </w:rPr>
        <w:t xml:space="preserve"> </w:t>
      </w:r>
      <w:r w:rsidR="00B575E7" w:rsidRPr="00B44AD9">
        <w:rPr>
          <w:rFonts w:ascii="Times New Roman" w:eastAsia="Times New Roman" w:hAnsi="Times New Roman" w:cs="Times New Roman"/>
          <w:bCs/>
          <w:sz w:val="20"/>
          <w:szCs w:val="20"/>
        </w:rPr>
        <w:t>He</w:t>
      </w:r>
      <w:r w:rsidRPr="00B44AD9">
        <w:rPr>
          <w:rFonts w:ascii="Times New Roman" w:eastAsia="Times New Roman" w:hAnsi="Times New Roman" w:cs="Times New Roman"/>
          <w:bCs/>
          <w:sz w:val="20"/>
          <w:szCs w:val="20"/>
        </w:rPr>
        <w:t xml:space="preserve">patology Unit of Internal Medicine </w:t>
      </w:r>
      <w:r w:rsidR="00520406" w:rsidRPr="00B44AD9">
        <w:rPr>
          <w:rFonts w:ascii="Times New Roman" w:eastAsia="Times New Roman" w:hAnsi="Times New Roman" w:cs="Times New Roman"/>
          <w:bCs/>
          <w:sz w:val="20"/>
          <w:szCs w:val="20"/>
        </w:rPr>
        <w:t>Department at</w:t>
      </w:r>
      <w:r w:rsidRPr="00B44AD9">
        <w:rPr>
          <w:rFonts w:ascii="Times New Roman" w:eastAsia="Times New Roman" w:hAnsi="Times New Roman" w:cs="Times New Roman"/>
          <w:bCs/>
          <w:sz w:val="20"/>
          <w:szCs w:val="20"/>
        </w:rPr>
        <w:t xml:space="preserve"> Tanta University Hospitals. </w:t>
      </w:r>
    </w:p>
    <w:p w:rsidR="001162B3" w:rsidRPr="00B44AD9" w:rsidRDefault="001162B3"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 xml:space="preserve">We retrospectively analyzed </w:t>
      </w:r>
      <w:r w:rsidR="00B575E7" w:rsidRPr="00B44AD9">
        <w:rPr>
          <w:rFonts w:ascii="Times New Roman" w:hAnsi="Times New Roman" w:cs="Times New Roman"/>
          <w:sz w:val="20"/>
          <w:szCs w:val="20"/>
        </w:rPr>
        <w:t xml:space="preserve">Seven hundred </w:t>
      </w:r>
      <w:r w:rsidR="006C5AA0" w:rsidRPr="00B44AD9">
        <w:rPr>
          <w:rFonts w:ascii="Times New Roman" w:hAnsi="Times New Roman" w:cs="Times New Roman"/>
          <w:sz w:val="20"/>
          <w:szCs w:val="20"/>
        </w:rPr>
        <w:t xml:space="preserve">and fifty treated HCV patients, </w:t>
      </w:r>
      <w:r w:rsidR="00B575E7" w:rsidRPr="00B44AD9">
        <w:rPr>
          <w:rFonts w:ascii="Times New Roman" w:hAnsi="Times New Roman" w:cs="Times New Roman"/>
          <w:sz w:val="20"/>
          <w:szCs w:val="20"/>
        </w:rPr>
        <w:t xml:space="preserve">who achieved sustained </w:t>
      </w:r>
      <w:r w:rsidR="00AC7AF5" w:rsidRPr="00B44AD9">
        <w:rPr>
          <w:rFonts w:ascii="Times New Roman" w:hAnsi="Times New Roman" w:cs="Times New Roman"/>
          <w:sz w:val="20"/>
          <w:szCs w:val="20"/>
        </w:rPr>
        <w:t>virologic</w:t>
      </w:r>
      <w:r w:rsidR="00B575E7" w:rsidRPr="00B44AD9">
        <w:rPr>
          <w:rFonts w:ascii="Times New Roman" w:hAnsi="Times New Roman" w:cs="Times New Roman"/>
          <w:sz w:val="20"/>
          <w:szCs w:val="20"/>
        </w:rPr>
        <w:t xml:space="preserve"> response</w:t>
      </w:r>
      <w:r w:rsidR="00520406" w:rsidRPr="00B44AD9">
        <w:rPr>
          <w:rFonts w:ascii="Times New Roman" w:hAnsi="Times New Roman" w:cs="Times New Roman"/>
          <w:sz w:val="20"/>
          <w:szCs w:val="20"/>
        </w:rPr>
        <w:t xml:space="preserve"> </w:t>
      </w:r>
      <w:r w:rsidR="006C5AA0" w:rsidRPr="00B44AD9">
        <w:rPr>
          <w:rFonts w:ascii="Times New Roman" w:hAnsi="Times New Roman" w:cs="Times New Roman"/>
          <w:sz w:val="20"/>
          <w:szCs w:val="20"/>
        </w:rPr>
        <w:t>to either the new DAAs or Peg-IFN</w:t>
      </w:r>
      <w:r w:rsidR="00B575E7" w:rsidRPr="00B44AD9">
        <w:rPr>
          <w:rFonts w:ascii="Times New Roman" w:hAnsi="Times New Roman" w:cs="Times New Roman"/>
          <w:sz w:val="20"/>
          <w:szCs w:val="20"/>
        </w:rPr>
        <w:t xml:space="preserve">, </w:t>
      </w:r>
      <w:r w:rsidRPr="00B44AD9">
        <w:rPr>
          <w:rFonts w:ascii="Times New Roman" w:hAnsi="Times New Roman" w:cs="Times New Roman"/>
          <w:sz w:val="20"/>
          <w:szCs w:val="20"/>
        </w:rPr>
        <w:t xml:space="preserve">who visited our outpatient HCC screening clinic in the period from January </w:t>
      </w:r>
      <w:r w:rsidR="00DA7C48" w:rsidRPr="00B44AD9">
        <w:rPr>
          <w:rFonts w:ascii="Times New Roman" w:hAnsi="Times New Roman" w:cs="Times New Roman"/>
          <w:sz w:val="20"/>
          <w:szCs w:val="20"/>
        </w:rPr>
        <w:t>2014</w:t>
      </w:r>
      <w:r w:rsidRPr="00B44AD9">
        <w:rPr>
          <w:rFonts w:ascii="Times New Roman" w:hAnsi="Times New Roman" w:cs="Times New Roman"/>
          <w:sz w:val="20"/>
          <w:szCs w:val="20"/>
        </w:rPr>
        <w:t xml:space="preserve"> to December 201</w:t>
      </w:r>
      <w:r w:rsidR="00DA7C48" w:rsidRPr="00B44AD9">
        <w:rPr>
          <w:rFonts w:ascii="Times New Roman" w:hAnsi="Times New Roman" w:cs="Times New Roman"/>
          <w:sz w:val="20"/>
          <w:szCs w:val="20"/>
        </w:rPr>
        <w:t>8</w:t>
      </w:r>
      <w:r w:rsidR="00F52170" w:rsidRPr="00B44AD9">
        <w:rPr>
          <w:rFonts w:ascii="Times New Roman" w:hAnsi="Times New Roman" w:cs="Times New Roman"/>
          <w:sz w:val="20"/>
          <w:szCs w:val="20"/>
        </w:rPr>
        <w:t xml:space="preserve"> and who fulfilled the inclusion and exclusion criteria of this study</w:t>
      </w:r>
      <w:r w:rsidRPr="00B44AD9">
        <w:rPr>
          <w:rFonts w:ascii="Times New Roman" w:hAnsi="Times New Roman" w:cs="Times New Roman"/>
          <w:sz w:val="20"/>
          <w:szCs w:val="20"/>
        </w:rPr>
        <w:t xml:space="preserve">. </w:t>
      </w:r>
    </w:p>
    <w:p w:rsidR="009B1A38" w:rsidRPr="00B44AD9" w:rsidRDefault="001162B3"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T</w:t>
      </w:r>
      <w:r w:rsidR="00B575E7" w:rsidRPr="00B44AD9">
        <w:rPr>
          <w:rFonts w:ascii="Times New Roman" w:hAnsi="Times New Roman" w:cs="Times New Roman"/>
          <w:sz w:val="20"/>
          <w:szCs w:val="20"/>
        </w:rPr>
        <w:t>hey were divided to two groups</w:t>
      </w:r>
      <w:r w:rsidR="009D4E2E" w:rsidRPr="00B44AD9">
        <w:rPr>
          <w:rFonts w:ascii="Times New Roman" w:hAnsi="Times New Roman" w:cs="Times New Roman"/>
          <w:sz w:val="20"/>
          <w:szCs w:val="20"/>
        </w:rPr>
        <w:t xml:space="preserve"> as </w:t>
      </w:r>
      <w:r w:rsidR="00C720C5" w:rsidRPr="00B44AD9">
        <w:rPr>
          <w:rFonts w:ascii="Times New Roman" w:hAnsi="Times New Roman" w:cs="Times New Roman"/>
          <w:sz w:val="20"/>
          <w:szCs w:val="20"/>
        </w:rPr>
        <w:t>regards</w:t>
      </w:r>
      <w:r w:rsidR="009D4E2E" w:rsidRPr="00B44AD9">
        <w:rPr>
          <w:rFonts w:ascii="Times New Roman" w:hAnsi="Times New Roman" w:cs="Times New Roman"/>
          <w:sz w:val="20"/>
          <w:szCs w:val="20"/>
        </w:rPr>
        <w:t xml:space="preserve"> the occurrence of de novo HCC.</w:t>
      </w:r>
      <w:r w:rsidR="00B44AD9" w:rsidRPr="00B44AD9">
        <w:rPr>
          <w:rFonts w:ascii="Times New Roman" w:hAnsi="Times New Roman" w:cs="Times New Roman"/>
          <w:sz w:val="20"/>
          <w:szCs w:val="20"/>
        </w:rPr>
        <w:t xml:space="preserve"> </w:t>
      </w:r>
      <w:r w:rsidR="009D4E2E" w:rsidRPr="00B44AD9">
        <w:rPr>
          <w:rFonts w:ascii="Times New Roman" w:hAnsi="Times New Roman" w:cs="Times New Roman"/>
          <w:sz w:val="20"/>
          <w:szCs w:val="20"/>
        </w:rPr>
        <w:t xml:space="preserve">Firstly, we selected </w:t>
      </w:r>
      <w:r w:rsidR="009D4E2E" w:rsidRPr="00B44AD9">
        <w:rPr>
          <w:rFonts w:ascii="Times New Roman" w:hAnsi="Times New Roman" w:cs="Times New Roman"/>
          <w:sz w:val="20"/>
          <w:szCs w:val="20"/>
        </w:rPr>
        <w:lastRenderedPageBreak/>
        <w:t>g</w:t>
      </w:r>
      <w:r w:rsidR="00B575E7" w:rsidRPr="00B44AD9">
        <w:rPr>
          <w:rFonts w:ascii="Times New Roman" w:hAnsi="Times New Roman" w:cs="Times New Roman"/>
          <w:sz w:val="20"/>
          <w:szCs w:val="20"/>
        </w:rPr>
        <w:t xml:space="preserve">roup1 </w:t>
      </w:r>
      <w:r w:rsidR="009D4E2E" w:rsidRPr="00B44AD9">
        <w:rPr>
          <w:rFonts w:ascii="Times New Roman" w:hAnsi="Times New Roman" w:cs="Times New Roman"/>
          <w:sz w:val="20"/>
          <w:szCs w:val="20"/>
        </w:rPr>
        <w:t xml:space="preserve">that </w:t>
      </w:r>
      <w:r w:rsidR="00B575E7" w:rsidRPr="00B44AD9">
        <w:rPr>
          <w:rFonts w:ascii="Times New Roman" w:hAnsi="Times New Roman" w:cs="Times New Roman"/>
          <w:sz w:val="20"/>
          <w:szCs w:val="20"/>
        </w:rPr>
        <w:t>included 150 patients</w:t>
      </w:r>
      <w:r w:rsidR="006C5AA0" w:rsidRPr="00B44AD9">
        <w:rPr>
          <w:rFonts w:ascii="Times New Roman" w:hAnsi="Times New Roman" w:cs="Times New Roman"/>
          <w:sz w:val="20"/>
          <w:szCs w:val="20"/>
        </w:rPr>
        <w:t>,</w:t>
      </w:r>
      <w:r w:rsidR="00520406" w:rsidRPr="00B44AD9">
        <w:rPr>
          <w:rFonts w:ascii="Times New Roman" w:hAnsi="Times New Roman" w:cs="Times New Roman"/>
          <w:sz w:val="20"/>
          <w:szCs w:val="20"/>
        </w:rPr>
        <w:t xml:space="preserve"> </w:t>
      </w:r>
      <w:r w:rsidR="006C5AA0" w:rsidRPr="00B44AD9">
        <w:rPr>
          <w:rFonts w:ascii="Times New Roman" w:hAnsi="Times New Roman" w:cs="Times New Roman"/>
          <w:sz w:val="20"/>
          <w:szCs w:val="20"/>
        </w:rPr>
        <w:t xml:space="preserve">who </w:t>
      </w:r>
      <w:r w:rsidR="00B575E7" w:rsidRPr="00B44AD9">
        <w:rPr>
          <w:rFonts w:ascii="Times New Roman" w:hAnsi="Times New Roman" w:cs="Times New Roman"/>
          <w:sz w:val="20"/>
          <w:szCs w:val="20"/>
        </w:rPr>
        <w:t xml:space="preserve">proved to have de novo HCC after treatment, </w:t>
      </w:r>
      <w:r w:rsidR="003619D7" w:rsidRPr="00B44AD9">
        <w:rPr>
          <w:rFonts w:ascii="Times New Roman" w:hAnsi="Times New Roman" w:cs="Times New Roman"/>
          <w:sz w:val="20"/>
          <w:szCs w:val="20"/>
        </w:rPr>
        <w:t>it included 82 (54.6%) males and 68 (45.4%) females, the median (</w:t>
      </w:r>
      <w:r w:rsidR="001F4884" w:rsidRPr="00B44AD9">
        <w:rPr>
          <w:rFonts w:ascii="Times New Roman" w:hAnsi="Times New Roman" w:cs="Times New Roman"/>
          <w:sz w:val="20"/>
          <w:szCs w:val="20"/>
        </w:rPr>
        <w:t>range</w:t>
      </w:r>
      <w:r w:rsidR="003619D7" w:rsidRPr="00B44AD9">
        <w:rPr>
          <w:rFonts w:ascii="Times New Roman" w:hAnsi="Times New Roman" w:cs="Times New Roman"/>
          <w:sz w:val="20"/>
          <w:szCs w:val="20"/>
        </w:rPr>
        <w:t xml:space="preserve">) of their ages </w:t>
      </w:r>
      <w:r w:rsidR="006F28D5" w:rsidRPr="00B44AD9">
        <w:rPr>
          <w:rFonts w:ascii="Times New Roman" w:hAnsi="Times New Roman" w:cs="Times New Roman"/>
          <w:sz w:val="20"/>
          <w:szCs w:val="20"/>
        </w:rPr>
        <w:t xml:space="preserve">was </w:t>
      </w:r>
      <w:r w:rsidR="001F4884" w:rsidRPr="00B44AD9">
        <w:rPr>
          <w:rFonts w:ascii="Times New Roman" w:hAnsi="Times New Roman" w:cs="Times New Roman"/>
          <w:sz w:val="20"/>
          <w:szCs w:val="20"/>
        </w:rPr>
        <w:t>45 (37</w:t>
      </w:r>
      <w:r w:rsidR="003619D7" w:rsidRPr="00B44AD9">
        <w:rPr>
          <w:rFonts w:ascii="Times New Roman" w:hAnsi="Times New Roman" w:cs="Times New Roman"/>
          <w:sz w:val="20"/>
          <w:szCs w:val="20"/>
        </w:rPr>
        <w:t>)</w:t>
      </w:r>
      <w:r w:rsidR="001F4884" w:rsidRPr="00B44AD9">
        <w:rPr>
          <w:rFonts w:ascii="Times New Roman" w:hAnsi="Times New Roman" w:cs="Times New Roman"/>
          <w:sz w:val="20"/>
          <w:szCs w:val="20"/>
        </w:rPr>
        <w:t xml:space="preserve"> years</w:t>
      </w:r>
      <w:r w:rsidR="003619D7" w:rsidRPr="00B44AD9">
        <w:rPr>
          <w:rFonts w:ascii="Times New Roman" w:hAnsi="Times New Roman" w:cs="Times New Roman"/>
          <w:sz w:val="20"/>
          <w:szCs w:val="20"/>
        </w:rPr>
        <w:t>, and the median</w:t>
      </w:r>
      <w:r w:rsidR="001F4884" w:rsidRPr="00B44AD9">
        <w:rPr>
          <w:rFonts w:ascii="Times New Roman" w:hAnsi="Times New Roman" w:cs="Times New Roman"/>
          <w:sz w:val="20"/>
          <w:szCs w:val="20"/>
        </w:rPr>
        <w:t xml:space="preserve"> (range)</w:t>
      </w:r>
      <w:r w:rsidR="003619D7" w:rsidRPr="00B44AD9">
        <w:rPr>
          <w:rFonts w:ascii="Times New Roman" w:hAnsi="Times New Roman" w:cs="Times New Roman"/>
          <w:sz w:val="20"/>
          <w:szCs w:val="20"/>
        </w:rPr>
        <w:t xml:space="preserve"> observational time</w:t>
      </w:r>
      <w:r w:rsidR="006F28D5" w:rsidRPr="00B44AD9">
        <w:rPr>
          <w:rFonts w:ascii="Times New Roman" w:hAnsi="Times New Roman" w:cs="Times New Roman"/>
          <w:sz w:val="20"/>
          <w:szCs w:val="20"/>
        </w:rPr>
        <w:t xml:space="preserve"> (which is the time to HCC) </w:t>
      </w:r>
      <w:r w:rsidR="001F4884" w:rsidRPr="00B44AD9">
        <w:rPr>
          <w:rFonts w:ascii="Times New Roman" w:hAnsi="Times New Roman" w:cs="Times New Roman"/>
          <w:sz w:val="20"/>
          <w:szCs w:val="20"/>
        </w:rPr>
        <w:t>was 29 (25) months</w:t>
      </w:r>
      <w:r w:rsidR="00544363" w:rsidRPr="00B44AD9">
        <w:rPr>
          <w:rFonts w:ascii="Times New Roman" w:hAnsi="Times New Roman" w:cs="Times New Roman"/>
          <w:sz w:val="20"/>
          <w:szCs w:val="20"/>
        </w:rPr>
        <w:t>, of them 120 (80%) patients were treated by the DAAs</w:t>
      </w:r>
      <w:r w:rsidR="00520406" w:rsidRPr="00B44AD9">
        <w:rPr>
          <w:rFonts w:ascii="Times New Roman" w:hAnsi="Times New Roman" w:cs="Times New Roman"/>
          <w:sz w:val="20"/>
          <w:szCs w:val="20"/>
        </w:rPr>
        <w:t xml:space="preserve"> </w:t>
      </w:r>
      <w:r w:rsidR="00544363" w:rsidRPr="00B44AD9">
        <w:rPr>
          <w:rFonts w:ascii="Times New Roman" w:hAnsi="Times New Roman" w:cs="Times New Roman"/>
          <w:sz w:val="20"/>
          <w:szCs w:val="20"/>
        </w:rPr>
        <w:t>regimen, and 30 (20%) patients were treated by peg-IFN regimen</w:t>
      </w:r>
      <w:r w:rsidR="006F28D5" w:rsidRPr="00B44AD9">
        <w:rPr>
          <w:rFonts w:ascii="Times New Roman" w:hAnsi="Times New Roman" w:cs="Times New Roman"/>
          <w:sz w:val="20"/>
          <w:szCs w:val="20"/>
        </w:rPr>
        <w:t xml:space="preserve">. Then, </w:t>
      </w:r>
      <w:r w:rsidR="00B575E7" w:rsidRPr="00B44AD9">
        <w:rPr>
          <w:rFonts w:ascii="Times New Roman" w:hAnsi="Times New Roman" w:cs="Times New Roman"/>
          <w:sz w:val="20"/>
          <w:szCs w:val="20"/>
        </w:rPr>
        <w:t>group2</w:t>
      </w:r>
      <w:r w:rsidR="006F28D5" w:rsidRPr="00B44AD9">
        <w:rPr>
          <w:rFonts w:ascii="Times New Roman" w:hAnsi="Times New Roman" w:cs="Times New Roman"/>
          <w:sz w:val="20"/>
          <w:szCs w:val="20"/>
        </w:rPr>
        <w:t xml:space="preserve"> was selected as a matched comparative group that</w:t>
      </w:r>
      <w:r w:rsidR="00B575E7" w:rsidRPr="00B44AD9">
        <w:rPr>
          <w:rFonts w:ascii="Times New Roman" w:hAnsi="Times New Roman" w:cs="Times New Roman"/>
          <w:sz w:val="20"/>
          <w:szCs w:val="20"/>
        </w:rPr>
        <w:t xml:space="preserve"> included 600 patients</w:t>
      </w:r>
      <w:r w:rsidR="006C5AA0" w:rsidRPr="00B44AD9">
        <w:rPr>
          <w:rFonts w:ascii="Times New Roman" w:hAnsi="Times New Roman" w:cs="Times New Roman"/>
          <w:sz w:val="20"/>
          <w:szCs w:val="20"/>
        </w:rPr>
        <w:t>,</w:t>
      </w:r>
      <w:r w:rsidR="00520406" w:rsidRPr="00B44AD9">
        <w:rPr>
          <w:rFonts w:ascii="Times New Roman" w:hAnsi="Times New Roman" w:cs="Times New Roman"/>
          <w:sz w:val="20"/>
          <w:szCs w:val="20"/>
        </w:rPr>
        <w:t xml:space="preserve"> </w:t>
      </w:r>
      <w:r w:rsidR="006C5AA0" w:rsidRPr="00B44AD9">
        <w:rPr>
          <w:rFonts w:ascii="Times New Roman" w:hAnsi="Times New Roman" w:cs="Times New Roman"/>
          <w:sz w:val="20"/>
          <w:szCs w:val="20"/>
        </w:rPr>
        <w:t xml:space="preserve">who </w:t>
      </w:r>
      <w:r w:rsidR="00B575E7" w:rsidRPr="00B44AD9">
        <w:rPr>
          <w:rFonts w:ascii="Times New Roman" w:hAnsi="Times New Roman" w:cs="Times New Roman"/>
          <w:sz w:val="20"/>
          <w:szCs w:val="20"/>
        </w:rPr>
        <w:t>did not prove to have HCC after treatment</w:t>
      </w:r>
      <w:r w:rsidR="006F28D5" w:rsidRPr="00B44AD9">
        <w:rPr>
          <w:rFonts w:ascii="Times New Roman" w:hAnsi="Times New Roman" w:cs="Times New Roman"/>
          <w:sz w:val="20"/>
          <w:szCs w:val="20"/>
        </w:rPr>
        <w:t>, it i</w:t>
      </w:r>
      <w:r w:rsidR="00CB3910" w:rsidRPr="00B44AD9">
        <w:rPr>
          <w:rFonts w:ascii="Times New Roman" w:hAnsi="Times New Roman" w:cs="Times New Roman"/>
          <w:sz w:val="20"/>
          <w:szCs w:val="20"/>
        </w:rPr>
        <w:t>ncluded 345 (57.5%) males and 25</w:t>
      </w:r>
      <w:r w:rsidR="006F28D5" w:rsidRPr="00B44AD9">
        <w:rPr>
          <w:rFonts w:ascii="Times New Roman" w:hAnsi="Times New Roman" w:cs="Times New Roman"/>
          <w:sz w:val="20"/>
          <w:szCs w:val="20"/>
        </w:rPr>
        <w:t xml:space="preserve">5 </w:t>
      </w:r>
      <w:r w:rsidR="001F4884" w:rsidRPr="00B44AD9">
        <w:rPr>
          <w:rFonts w:ascii="Times New Roman" w:hAnsi="Times New Roman" w:cs="Times New Roman"/>
          <w:sz w:val="20"/>
          <w:szCs w:val="20"/>
        </w:rPr>
        <w:t>(42.5%) females, the median (range) of their ages was 44 (36</w:t>
      </w:r>
      <w:r w:rsidR="006F28D5" w:rsidRPr="00B44AD9">
        <w:rPr>
          <w:rFonts w:ascii="Times New Roman" w:hAnsi="Times New Roman" w:cs="Times New Roman"/>
          <w:sz w:val="20"/>
          <w:szCs w:val="20"/>
        </w:rPr>
        <w:t>)</w:t>
      </w:r>
      <w:r w:rsidR="001F4884" w:rsidRPr="00B44AD9">
        <w:rPr>
          <w:rFonts w:ascii="Times New Roman" w:hAnsi="Times New Roman" w:cs="Times New Roman"/>
          <w:sz w:val="20"/>
          <w:szCs w:val="20"/>
        </w:rPr>
        <w:t xml:space="preserve"> years</w:t>
      </w:r>
      <w:r w:rsidR="006F28D5" w:rsidRPr="00B44AD9">
        <w:rPr>
          <w:rFonts w:ascii="Times New Roman" w:hAnsi="Times New Roman" w:cs="Times New Roman"/>
          <w:sz w:val="20"/>
          <w:szCs w:val="20"/>
        </w:rPr>
        <w:t>, and the median observational time (which is the time to</w:t>
      </w:r>
      <w:r w:rsidR="001F4884" w:rsidRPr="00B44AD9">
        <w:rPr>
          <w:rFonts w:ascii="Times New Roman" w:hAnsi="Times New Roman" w:cs="Times New Roman"/>
          <w:sz w:val="20"/>
          <w:szCs w:val="20"/>
        </w:rPr>
        <w:t xml:space="preserve"> registered</w:t>
      </w:r>
      <w:r w:rsidR="006F28D5" w:rsidRPr="00B44AD9">
        <w:rPr>
          <w:rFonts w:ascii="Times New Roman" w:hAnsi="Times New Roman" w:cs="Times New Roman"/>
          <w:sz w:val="20"/>
          <w:szCs w:val="20"/>
        </w:rPr>
        <w:t xml:space="preserve"> last visit) was</w:t>
      </w:r>
      <w:r w:rsidR="001F4884" w:rsidRPr="00B44AD9">
        <w:rPr>
          <w:rFonts w:ascii="Times New Roman" w:hAnsi="Times New Roman" w:cs="Times New Roman"/>
          <w:sz w:val="20"/>
          <w:szCs w:val="20"/>
        </w:rPr>
        <w:t xml:space="preserve"> 30 (31) months</w:t>
      </w:r>
      <w:r w:rsidR="00544363" w:rsidRPr="00B44AD9">
        <w:rPr>
          <w:rFonts w:ascii="Times New Roman" w:hAnsi="Times New Roman" w:cs="Times New Roman"/>
          <w:sz w:val="20"/>
          <w:szCs w:val="20"/>
        </w:rPr>
        <w:t>, of them 490 (81.7%) patients were treated by the DAAs</w:t>
      </w:r>
      <w:r w:rsidR="00520406" w:rsidRPr="00B44AD9">
        <w:rPr>
          <w:rFonts w:ascii="Times New Roman" w:hAnsi="Times New Roman" w:cs="Times New Roman"/>
          <w:sz w:val="20"/>
          <w:szCs w:val="20"/>
        </w:rPr>
        <w:t xml:space="preserve"> </w:t>
      </w:r>
      <w:r w:rsidR="00544363" w:rsidRPr="00B44AD9">
        <w:rPr>
          <w:rFonts w:ascii="Times New Roman" w:hAnsi="Times New Roman" w:cs="Times New Roman"/>
          <w:sz w:val="20"/>
          <w:szCs w:val="20"/>
        </w:rPr>
        <w:t>regimen, and 110 (18.3%) patients were treated by peg-IFN regimen.</w:t>
      </w:r>
      <w:r w:rsidR="00520406" w:rsidRPr="00B44AD9">
        <w:rPr>
          <w:rFonts w:ascii="Times New Roman" w:hAnsi="Times New Roman" w:cs="Times New Roman"/>
          <w:sz w:val="20"/>
          <w:szCs w:val="20"/>
        </w:rPr>
        <w:t xml:space="preserve"> </w:t>
      </w:r>
      <w:r w:rsidR="00287D62" w:rsidRPr="00B44AD9">
        <w:rPr>
          <w:rFonts w:ascii="Times New Roman" w:hAnsi="Times New Roman" w:cs="Times New Roman"/>
          <w:sz w:val="20"/>
          <w:szCs w:val="20"/>
        </w:rPr>
        <w:t xml:space="preserve">All patients in both groups were matched as </w:t>
      </w:r>
      <w:r w:rsidR="00C720C5" w:rsidRPr="00B44AD9">
        <w:rPr>
          <w:rFonts w:ascii="Times New Roman" w:hAnsi="Times New Roman" w:cs="Times New Roman"/>
          <w:sz w:val="20"/>
          <w:szCs w:val="20"/>
        </w:rPr>
        <w:t>regards</w:t>
      </w:r>
      <w:r w:rsidR="00287D62" w:rsidRPr="00B44AD9">
        <w:rPr>
          <w:rFonts w:ascii="Times New Roman" w:hAnsi="Times New Roman" w:cs="Times New Roman"/>
          <w:sz w:val="20"/>
          <w:szCs w:val="20"/>
        </w:rPr>
        <w:t xml:space="preserve"> age, sex and the follow up time after treatment. </w:t>
      </w:r>
    </w:p>
    <w:p w:rsidR="006D0975" w:rsidRPr="00B44AD9" w:rsidRDefault="0087158C"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 xml:space="preserve">All patients were evaluated as </w:t>
      </w:r>
      <w:r w:rsidR="00C720C5" w:rsidRPr="00B44AD9">
        <w:rPr>
          <w:rFonts w:ascii="Times New Roman" w:hAnsi="Times New Roman" w:cs="Times New Roman"/>
          <w:sz w:val="20"/>
          <w:szCs w:val="20"/>
        </w:rPr>
        <w:t>regards</w:t>
      </w:r>
      <w:r w:rsidRPr="00B44AD9">
        <w:rPr>
          <w:rFonts w:ascii="Times New Roman" w:hAnsi="Times New Roman" w:cs="Times New Roman"/>
          <w:sz w:val="20"/>
          <w:szCs w:val="20"/>
        </w:rPr>
        <w:t xml:space="preserve"> the degree of liver fibrosis</w:t>
      </w:r>
      <w:r w:rsidR="006D0975" w:rsidRPr="00B44AD9">
        <w:rPr>
          <w:rFonts w:ascii="Times New Roman" w:hAnsi="Times New Roman" w:cs="Times New Roman"/>
          <w:sz w:val="20"/>
          <w:szCs w:val="20"/>
        </w:rPr>
        <w:t>, non</w:t>
      </w:r>
      <w:r w:rsidRPr="00B44AD9">
        <w:rPr>
          <w:rFonts w:ascii="Times New Roman" w:hAnsi="Times New Roman" w:cs="Times New Roman"/>
          <w:sz w:val="20"/>
          <w:szCs w:val="20"/>
        </w:rPr>
        <w:t>-invasively</w:t>
      </w:r>
      <w:r w:rsidR="00B04AE1" w:rsidRPr="00B44AD9">
        <w:rPr>
          <w:rFonts w:ascii="Times New Roman" w:hAnsi="Times New Roman" w:cs="Times New Roman"/>
          <w:sz w:val="20"/>
          <w:szCs w:val="20"/>
        </w:rPr>
        <w:t>,</w:t>
      </w:r>
      <w:r w:rsidR="00520406" w:rsidRPr="00B44AD9">
        <w:rPr>
          <w:rFonts w:ascii="Times New Roman" w:hAnsi="Times New Roman" w:cs="Times New Roman"/>
          <w:sz w:val="20"/>
          <w:szCs w:val="20"/>
        </w:rPr>
        <w:t xml:space="preserve"> </w:t>
      </w:r>
      <w:r w:rsidR="003D32FE" w:rsidRPr="00B44AD9">
        <w:rPr>
          <w:rFonts w:ascii="Times New Roman" w:hAnsi="Times New Roman" w:cs="Times New Roman"/>
          <w:sz w:val="20"/>
          <w:szCs w:val="20"/>
        </w:rPr>
        <w:t>using</w:t>
      </w:r>
      <w:r w:rsidRPr="00B44AD9">
        <w:rPr>
          <w:rFonts w:ascii="Times New Roman" w:hAnsi="Times New Roman" w:cs="Times New Roman"/>
          <w:sz w:val="20"/>
          <w:szCs w:val="20"/>
        </w:rPr>
        <w:t xml:space="preserve"> FIB4 score</w:t>
      </w:r>
      <w:r w:rsidR="006D0975" w:rsidRPr="00B44AD9">
        <w:rPr>
          <w:rFonts w:ascii="Times New Roman" w:hAnsi="Times New Roman" w:cs="Times New Roman"/>
          <w:sz w:val="20"/>
          <w:szCs w:val="20"/>
        </w:rPr>
        <w:t>,</w:t>
      </w:r>
      <w:r w:rsidR="00520406" w:rsidRPr="00B44AD9">
        <w:rPr>
          <w:rFonts w:ascii="Times New Roman" w:hAnsi="Times New Roman" w:cs="Times New Roman"/>
          <w:sz w:val="20"/>
          <w:szCs w:val="20"/>
        </w:rPr>
        <w:t xml:space="preserve"> </w:t>
      </w:r>
      <w:r w:rsidR="006D0975" w:rsidRPr="00B44AD9">
        <w:rPr>
          <w:rFonts w:ascii="Times New Roman" w:hAnsi="Times New Roman" w:cs="Times New Roman"/>
          <w:sz w:val="20"/>
          <w:szCs w:val="20"/>
        </w:rPr>
        <w:t>and</w:t>
      </w:r>
      <w:r w:rsidR="00040FFD" w:rsidRPr="00B44AD9">
        <w:rPr>
          <w:rFonts w:ascii="Times New Roman" w:hAnsi="Times New Roman" w:cs="Times New Roman"/>
          <w:sz w:val="20"/>
          <w:szCs w:val="20"/>
        </w:rPr>
        <w:t xml:space="preserve"> as </w:t>
      </w:r>
      <w:r w:rsidR="00C720C5" w:rsidRPr="00B44AD9">
        <w:rPr>
          <w:rFonts w:ascii="Times New Roman" w:hAnsi="Times New Roman" w:cs="Times New Roman"/>
          <w:sz w:val="20"/>
          <w:szCs w:val="20"/>
        </w:rPr>
        <w:t>regards</w:t>
      </w:r>
      <w:r w:rsidR="00520406" w:rsidRPr="00B44AD9">
        <w:rPr>
          <w:rFonts w:ascii="Times New Roman" w:hAnsi="Times New Roman" w:cs="Times New Roman"/>
          <w:sz w:val="20"/>
          <w:szCs w:val="20"/>
        </w:rPr>
        <w:t xml:space="preserve"> </w:t>
      </w:r>
      <w:r w:rsidR="006D0975" w:rsidRPr="00B44AD9">
        <w:rPr>
          <w:rFonts w:ascii="Times New Roman" w:hAnsi="Times New Roman" w:cs="Times New Roman"/>
          <w:sz w:val="20"/>
          <w:szCs w:val="20"/>
        </w:rPr>
        <w:t xml:space="preserve">the severity of liver dysfunction using </w:t>
      </w:r>
      <w:r w:rsidR="00040FFD" w:rsidRPr="00B44AD9">
        <w:rPr>
          <w:rFonts w:ascii="Times New Roman" w:hAnsi="Times New Roman" w:cs="Times New Roman"/>
          <w:sz w:val="20"/>
          <w:szCs w:val="20"/>
        </w:rPr>
        <w:t>Child Pugh scor</w:t>
      </w:r>
      <w:r w:rsidR="00044D8F" w:rsidRPr="00B44AD9">
        <w:rPr>
          <w:rFonts w:ascii="Times New Roman" w:hAnsi="Times New Roman" w:cs="Times New Roman"/>
          <w:sz w:val="20"/>
          <w:szCs w:val="20"/>
        </w:rPr>
        <w:t>e</w:t>
      </w:r>
      <w:r w:rsidR="00040FFD" w:rsidRPr="00B44AD9">
        <w:rPr>
          <w:rFonts w:ascii="Times New Roman" w:hAnsi="Times New Roman" w:cs="Times New Roman"/>
          <w:sz w:val="20"/>
          <w:szCs w:val="20"/>
        </w:rPr>
        <w:t xml:space="preserve"> or MELD score</w:t>
      </w:r>
      <w:r w:rsidR="006D0975" w:rsidRPr="00B44AD9">
        <w:rPr>
          <w:rFonts w:ascii="Times New Roman" w:hAnsi="Times New Roman" w:cs="Times New Roman"/>
          <w:sz w:val="20"/>
          <w:szCs w:val="20"/>
        </w:rPr>
        <w:t>.</w:t>
      </w:r>
      <w:r w:rsidR="00520406" w:rsidRPr="00B44AD9">
        <w:rPr>
          <w:rFonts w:ascii="Times New Roman" w:hAnsi="Times New Roman" w:cs="Times New Roman"/>
          <w:sz w:val="20"/>
          <w:szCs w:val="20"/>
        </w:rPr>
        <w:t xml:space="preserve"> </w:t>
      </w:r>
      <w:r w:rsidR="009B1A38" w:rsidRPr="00B44AD9">
        <w:rPr>
          <w:rFonts w:ascii="Times New Roman" w:hAnsi="Times New Roman" w:cs="Times New Roman"/>
          <w:sz w:val="20"/>
          <w:szCs w:val="20"/>
        </w:rPr>
        <w:t xml:space="preserve">All patients were investigated as </w:t>
      </w:r>
      <w:r w:rsidR="00C720C5" w:rsidRPr="00B44AD9">
        <w:rPr>
          <w:rFonts w:ascii="Times New Roman" w:hAnsi="Times New Roman" w:cs="Times New Roman"/>
          <w:sz w:val="20"/>
          <w:szCs w:val="20"/>
        </w:rPr>
        <w:t>regards</w:t>
      </w:r>
      <w:r w:rsidR="009B1A38" w:rsidRPr="00B44AD9">
        <w:rPr>
          <w:rFonts w:ascii="Times New Roman" w:hAnsi="Times New Roman" w:cs="Times New Roman"/>
          <w:sz w:val="20"/>
          <w:szCs w:val="20"/>
        </w:rPr>
        <w:t xml:space="preserve"> the pres</w:t>
      </w:r>
      <w:r w:rsidR="00F86FEC" w:rsidRPr="00B44AD9">
        <w:rPr>
          <w:rFonts w:ascii="Times New Roman" w:hAnsi="Times New Roman" w:cs="Times New Roman"/>
          <w:sz w:val="20"/>
          <w:szCs w:val="20"/>
        </w:rPr>
        <w:t xml:space="preserve">ence of diabetes mellitus (DM) </w:t>
      </w:r>
      <w:r w:rsidR="009B1A38" w:rsidRPr="00B44AD9">
        <w:rPr>
          <w:rFonts w:ascii="Times New Roman" w:hAnsi="Times New Roman" w:cs="Times New Roman"/>
          <w:sz w:val="20"/>
          <w:szCs w:val="20"/>
        </w:rPr>
        <w:t>and HCV treatment regimens either DAAs or Peg-IFN and the time to HCC occurrence.</w:t>
      </w:r>
    </w:p>
    <w:p w:rsidR="00287D62" w:rsidRPr="00B44AD9" w:rsidRDefault="009B1A38"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HCC</w:t>
      </w:r>
      <w:r w:rsidR="00287D62" w:rsidRPr="00B44AD9">
        <w:rPr>
          <w:rFonts w:ascii="Times New Roman" w:hAnsi="Times New Roman" w:cs="Times New Roman"/>
          <w:sz w:val="20"/>
          <w:szCs w:val="20"/>
        </w:rPr>
        <w:t xml:space="preserve"> was </w:t>
      </w:r>
      <w:r w:rsidR="009304C2" w:rsidRPr="00B44AD9">
        <w:rPr>
          <w:rFonts w:ascii="Times New Roman" w:hAnsi="Times New Roman" w:cs="Times New Roman"/>
          <w:sz w:val="20"/>
          <w:szCs w:val="20"/>
        </w:rPr>
        <w:t>diagnosed</w:t>
      </w:r>
      <w:r w:rsidR="00287D62" w:rsidRPr="00B44AD9">
        <w:rPr>
          <w:rFonts w:ascii="Times New Roman" w:hAnsi="Times New Roman" w:cs="Times New Roman"/>
          <w:sz w:val="20"/>
          <w:szCs w:val="20"/>
        </w:rPr>
        <w:t xml:space="preserve"> using triphasic computed tomography or dynamic magnetic resonance imaging</w:t>
      </w:r>
      <w:r w:rsidR="00E829F6" w:rsidRPr="00B44AD9">
        <w:rPr>
          <w:rFonts w:ascii="Times New Roman" w:hAnsi="Times New Roman" w:cs="Times New Roman"/>
          <w:sz w:val="20"/>
          <w:szCs w:val="20"/>
        </w:rPr>
        <w:t xml:space="preserve"> by the presence of typical hypervascular characteristics in the arterial phase followed by </w:t>
      </w:r>
      <w:r w:rsidR="009304C2" w:rsidRPr="00B44AD9">
        <w:rPr>
          <w:rFonts w:ascii="Times New Roman" w:hAnsi="Times New Roman" w:cs="Times New Roman"/>
          <w:sz w:val="20"/>
          <w:szCs w:val="20"/>
        </w:rPr>
        <w:t xml:space="preserve">rapid </w:t>
      </w:r>
      <w:r w:rsidR="00E829F6" w:rsidRPr="00B44AD9">
        <w:rPr>
          <w:rFonts w:ascii="Times New Roman" w:hAnsi="Times New Roman" w:cs="Times New Roman"/>
          <w:sz w:val="20"/>
          <w:szCs w:val="20"/>
        </w:rPr>
        <w:t>washout in the portal venous or delayed phase</w:t>
      </w:r>
      <w:r w:rsidRPr="00B44AD9">
        <w:rPr>
          <w:rFonts w:ascii="Times New Roman" w:hAnsi="Times New Roman" w:cs="Times New Roman"/>
          <w:sz w:val="20"/>
          <w:szCs w:val="20"/>
        </w:rPr>
        <w:t>s</w:t>
      </w:r>
      <w:r w:rsidR="00E829F6" w:rsidRPr="00B44AD9">
        <w:rPr>
          <w:rFonts w:ascii="Times New Roman" w:hAnsi="Times New Roman" w:cs="Times New Roman"/>
          <w:sz w:val="20"/>
          <w:szCs w:val="20"/>
        </w:rPr>
        <w:t>.</w:t>
      </w:r>
    </w:p>
    <w:p w:rsidR="00B44E9D" w:rsidRPr="00B44AD9" w:rsidRDefault="00B44E9D" w:rsidP="00F8652D">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 xml:space="preserve">Inclusion criteria </w:t>
      </w:r>
    </w:p>
    <w:p w:rsidR="00B44E9D" w:rsidRPr="00B44AD9" w:rsidRDefault="00B44E9D"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 xml:space="preserve">All included patients </w:t>
      </w:r>
      <w:r w:rsidR="00767E63" w:rsidRPr="00B44AD9">
        <w:rPr>
          <w:rFonts w:ascii="Times New Roman" w:hAnsi="Times New Roman" w:cs="Times New Roman"/>
          <w:sz w:val="20"/>
          <w:szCs w:val="20"/>
        </w:rPr>
        <w:t xml:space="preserve">were </w:t>
      </w:r>
      <w:r w:rsidRPr="00B44AD9">
        <w:rPr>
          <w:rFonts w:ascii="Times New Roman" w:hAnsi="Times New Roman" w:cs="Times New Roman"/>
          <w:sz w:val="20"/>
          <w:szCs w:val="20"/>
        </w:rPr>
        <w:t xml:space="preserve">proved to </w:t>
      </w:r>
      <w:r w:rsidR="00040FFD" w:rsidRPr="00B44AD9">
        <w:rPr>
          <w:rFonts w:ascii="Times New Roman" w:hAnsi="Times New Roman" w:cs="Times New Roman"/>
          <w:sz w:val="20"/>
          <w:szCs w:val="20"/>
        </w:rPr>
        <w:t>receive</w:t>
      </w:r>
      <w:r w:rsidR="00520406" w:rsidRPr="00B44AD9">
        <w:rPr>
          <w:rFonts w:ascii="Times New Roman" w:hAnsi="Times New Roman" w:cs="Times New Roman"/>
          <w:sz w:val="20"/>
          <w:szCs w:val="20"/>
        </w:rPr>
        <w:t xml:space="preserve"> </w:t>
      </w:r>
      <w:r w:rsidR="00040FFD" w:rsidRPr="00B44AD9">
        <w:rPr>
          <w:rFonts w:ascii="Times New Roman" w:hAnsi="Times New Roman" w:cs="Times New Roman"/>
          <w:sz w:val="20"/>
          <w:szCs w:val="20"/>
        </w:rPr>
        <w:t xml:space="preserve">treatment for HCV and achieved sustained </w:t>
      </w:r>
      <w:r w:rsidR="00AC7AF5" w:rsidRPr="00B44AD9">
        <w:rPr>
          <w:rFonts w:ascii="Times New Roman" w:hAnsi="Times New Roman" w:cs="Times New Roman"/>
          <w:sz w:val="20"/>
          <w:szCs w:val="20"/>
        </w:rPr>
        <w:t>virologic</w:t>
      </w:r>
      <w:r w:rsidR="00040FFD" w:rsidRPr="00B44AD9">
        <w:rPr>
          <w:rFonts w:ascii="Times New Roman" w:hAnsi="Times New Roman" w:cs="Times New Roman"/>
          <w:sz w:val="20"/>
          <w:szCs w:val="20"/>
        </w:rPr>
        <w:t xml:space="preserve"> response to either </w:t>
      </w:r>
      <w:r w:rsidR="00DE4BDF" w:rsidRPr="00B44AD9">
        <w:rPr>
          <w:rFonts w:ascii="Times New Roman" w:hAnsi="Times New Roman" w:cs="Times New Roman"/>
          <w:sz w:val="20"/>
          <w:szCs w:val="20"/>
        </w:rPr>
        <w:t>DAA</w:t>
      </w:r>
      <w:r w:rsidR="00040FFD" w:rsidRPr="00B44AD9">
        <w:rPr>
          <w:rFonts w:ascii="Times New Roman" w:hAnsi="Times New Roman" w:cs="Times New Roman"/>
          <w:sz w:val="20"/>
          <w:szCs w:val="20"/>
        </w:rPr>
        <w:t xml:space="preserve"> or peg-IFN</w:t>
      </w:r>
      <w:r w:rsidR="009C6C2C" w:rsidRPr="00B44AD9">
        <w:rPr>
          <w:rFonts w:ascii="Times New Roman" w:hAnsi="Times New Roman" w:cs="Times New Roman"/>
          <w:sz w:val="20"/>
          <w:szCs w:val="20"/>
        </w:rPr>
        <w:t>.</w:t>
      </w:r>
    </w:p>
    <w:p w:rsidR="00F870A8" w:rsidRPr="00B44AD9" w:rsidRDefault="00F870A8" w:rsidP="00F8652D">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 xml:space="preserve">Exclusion criteria </w:t>
      </w:r>
    </w:p>
    <w:p w:rsidR="00F870A8" w:rsidRPr="00B44AD9" w:rsidRDefault="008332CC" w:rsidP="00F8652D">
      <w:pPr>
        <w:shd w:val="clear" w:color="auto" w:fill="FFFFFF"/>
        <w:bidi w:val="0"/>
        <w:snapToGrid w:val="0"/>
        <w:spacing w:after="0" w:line="240" w:lineRule="auto"/>
        <w:ind w:firstLine="425"/>
        <w:jc w:val="both"/>
        <w:rPr>
          <w:rFonts w:ascii="Times New Roman" w:eastAsia="Calibri" w:hAnsi="Times New Roman" w:cs="Times New Roman"/>
          <w:sz w:val="20"/>
          <w:szCs w:val="20"/>
        </w:rPr>
      </w:pPr>
      <w:r w:rsidRPr="00B44AD9">
        <w:rPr>
          <w:rFonts w:ascii="Times New Roman" w:eastAsia="Calibri" w:hAnsi="Times New Roman" w:cs="Times New Roman"/>
          <w:sz w:val="20"/>
          <w:szCs w:val="20"/>
        </w:rPr>
        <w:t>We excluded the following type of HCV patients from our stud</w:t>
      </w:r>
      <w:r w:rsidR="00DE4BDF" w:rsidRPr="00B44AD9">
        <w:rPr>
          <w:rFonts w:ascii="Times New Roman" w:eastAsia="Calibri" w:hAnsi="Times New Roman" w:cs="Times New Roman"/>
          <w:sz w:val="20"/>
          <w:szCs w:val="20"/>
        </w:rPr>
        <w:t>y</w:t>
      </w:r>
      <w:r w:rsidRPr="00B44AD9">
        <w:rPr>
          <w:rFonts w:ascii="Times New Roman" w:eastAsia="Calibri" w:hAnsi="Times New Roman" w:cs="Times New Roman"/>
          <w:sz w:val="20"/>
          <w:szCs w:val="20"/>
        </w:rPr>
        <w:t>; a</w:t>
      </w:r>
      <w:r w:rsidR="00040FFD" w:rsidRPr="00B44AD9">
        <w:rPr>
          <w:rFonts w:ascii="Times New Roman" w:eastAsia="Calibri" w:hAnsi="Times New Roman" w:cs="Times New Roman"/>
          <w:sz w:val="20"/>
          <w:szCs w:val="20"/>
        </w:rPr>
        <w:t xml:space="preserve">ll patients who did not achieve a sustained </w:t>
      </w:r>
      <w:r w:rsidR="00AC7AF5" w:rsidRPr="00B44AD9">
        <w:rPr>
          <w:rFonts w:ascii="Times New Roman" w:eastAsia="Calibri" w:hAnsi="Times New Roman" w:cs="Times New Roman"/>
          <w:sz w:val="20"/>
          <w:szCs w:val="20"/>
        </w:rPr>
        <w:t>virologic</w:t>
      </w:r>
      <w:r w:rsidR="00040FFD" w:rsidRPr="00B44AD9">
        <w:rPr>
          <w:rFonts w:ascii="Times New Roman" w:eastAsia="Calibri" w:hAnsi="Times New Roman" w:cs="Times New Roman"/>
          <w:sz w:val="20"/>
          <w:szCs w:val="20"/>
        </w:rPr>
        <w:t xml:space="preserve"> response</w:t>
      </w:r>
      <w:r w:rsidRPr="00B44AD9">
        <w:rPr>
          <w:rFonts w:ascii="Times New Roman" w:eastAsia="Calibri" w:hAnsi="Times New Roman" w:cs="Times New Roman"/>
          <w:sz w:val="20"/>
          <w:szCs w:val="20"/>
        </w:rPr>
        <w:t xml:space="preserve"> to either treatment regimens,</w:t>
      </w:r>
      <w:r w:rsidR="00520406" w:rsidRPr="00B44AD9">
        <w:rPr>
          <w:rFonts w:ascii="Times New Roman" w:eastAsia="Calibri" w:hAnsi="Times New Roman" w:cs="Times New Roman"/>
          <w:sz w:val="20"/>
          <w:szCs w:val="20"/>
        </w:rPr>
        <w:t xml:space="preserve"> </w:t>
      </w:r>
      <w:r w:rsidRPr="00B44AD9">
        <w:rPr>
          <w:rFonts w:ascii="Times New Roman" w:eastAsia="Calibri" w:hAnsi="Times New Roman" w:cs="Times New Roman"/>
          <w:sz w:val="20"/>
          <w:szCs w:val="20"/>
        </w:rPr>
        <w:t>all</w:t>
      </w:r>
      <w:r w:rsidR="00584A84" w:rsidRPr="00B44AD9">
        <w:rPr>
          <w:rFonts w:ascii="Times New Roman" w:eastAsia="Calibri" w:hAnsi="Times New Roman" w:cs="Times New Roman"/>
          <w:sz w:val="20"/>
          <w:szCs w:val="20"/>
        </w:rPr>
        <w:t xml:space="preserve"> patients with HCV/HBV co</w:t>
      </w:r>
      <w:r w:rsidRPr="00B44AD9">
        <w:rPr>
          <w:rFonts w:ascii="Times New Roman" w:eastAsia="Calibri" w:hAnsi="Times New Roman" w:cs="Times New Roman"/>
          <w:sz w:val="20"/>
          <w:szCs w:val="20"/>
        </w:rPr>
        <w:t>-i</w:t>
      </w:r>
      <w:r w:rsidR="00584A84" w:rsidRPr="00B44AD9">
        <w:rPr>
          <w:rFonts w:ascii="Times New Roman" w:eastAsia="Calibri" w:hAnsi="Times New Roman" w:cs="Times New Roman"/>
          <w:sz w:val="20"/>
          <w:szCs w:val="20"/>
        </w:rPr>
        <w:t>nfection</w:t>
      </w:r>
      <w:r w:rsidRPr="00B44AD9">
        <w:rPr>
          <w:rFonts w:ascii="Times New Roman" w:eastAsia="Calibri" w:hAnsi="Times New Roman" w:cs="Times New Roman"/>
          <w:sz w:val="20"/>
          <w:szCs w:val="20"/>
        </w:rPr>
        <w:t xml:space="preserve"> or HCV/HIV co-infection, and</w:t>
      </w:r>
      <w:r w:rsidR="00040FFD" w:rsidRPr="00B44AD9">
        <w:rPr>
          <w:rFonts w:ascii="Times New Roman" w:eastAsia="Calibri" w:hAnsi="Times New Roman" w:cs="Times New Roman"/>
          <w:sz w:val="20"/>
          <w:szCs w:val="20"/>
        </w:rPr>
        <w:t xml:space="preserve"> all patients with pretreatment history of HCC. </w:t>
      </w:r>
    </w:p>
    <w:p w:rsidR="00B44E9D" w:rsidRPr="00B44AD9" w:rsidRDefault="00B44E9D"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The study was approved by the Hospital Ethical Committee and was performed according to the Principles</w:t>
      </w:r>
      <w:r w:rsidR="00040FFD" w:rsidRPr="00B44AD9">
        <w:rPr>
          <w:rFonts w:ascii="Times New Roman" w:hAnsi="Times New Roman" w:cs="Times New Roman"/>
          <w:sz w:val="20"/>
          <w:szCs w:val="20"/>
        </w:rPr>
        <w:t xml:space="preserve"> of the Declaration of Helsinki.</w:t>
      </w:r>
    </w:p>
    <w:p w:rsidR="00CF7839" w:rsidRPr="00B44AD9" w:rsidRDefault="00CF7839"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t>Statistical analysis of the data:</w:t>
      </w:r>
    </w:p>
    <w:p w:rsidR="0098054D" w:rsidRPr="00B44AD9" w:rsidRDefault="0011001D" w:rsidP="00F8652D">
      <w:pPr>
        <w:shd w:val="clear" w:color="auto" w:fill="FFFFFF"/>
        <w:bidi w:val="0"/>
        <w:snapToGrid w:val="0"/>
        <w:spacing w:after="0" w:line="240" w:lineRule="auto"/>
        <w:ind w:firstLine="425"/>
        <w:jc w:val="both"/>
        <w:rPr>
          <w:rFonts w:ascii="Times New Roman" w:eastAsia="Calibri" w:hAnsi="Times New Roman" w:cs="Times New Roman"/>
          <w:sz w:val="20"/>
          <w:szCs w:val="20"/>
        </w:rPr>
      </w:pPr>
      <w:r w:rsidRPr="00B44AD9">
        <w:rPr>
          <w:rFonts w:ascii="Times New Roman" w:eastAsia="Calibri" w:hAnsi="Times New Roman" w:cs="Times New Roman"/>
          <w:sz w:val="20"/>
          <w:szCs w:val="20"/>
        </w:rPr>
        <w:t>All collected data were organized, tabulated and statistically analyzed using the IBM SPSS</w:t>
      </w:r>
      <w:r w:rsidR="00F8652D" w:rsidRPr="00B44AD9">
        <w:rPr>
          <w:rFonts w:ascii="Times New Roman" w:eastAsia="Calibri" w:hAnsi="Times New Roman" w:cs="Times New Roman"/>
          <w:sz w:val="20"/>
          <w:szCs w:val="20"/>
        </w:rPr>
        <w:t>,</w:t>
      </w:r>
      <w:r w:rsidR="00F8652D">
        <w:rPr>
          <w:rFonts w:ascii="Times New Roman" w:eastAsia="Calibri" w:hAnsi="Times New Roman" w:cs="Times New Roman"/>
          <w:sz w:val="20"/>
          <w:szCs w:val="20"/>
        </w:rPr>
        <w:t xml:space="preserve"> </w:t>
      </w:r>
      <w:r w:rsidR="00F8652D" w:rsidRPr="00B44AD9">
        <w:rPr>
          <w:rFonts w:ascii="Times New Roman" w:eastAsia="Calibri" w:hAnsi="Times New Roman" w:cs="Times New Roman"/>
          <w:sz w:val="20"/>
          <w:szCs w:val="20"/>
        </w:rPr>
        <w:t>v</w:t>
      </w:r>
      <w:r w:rsidR="00532A60" w:rsidRPr="00B44AD9">
        <w:rPr>
          <w:rFonts w:ascii="Times New Roman" w:eastAsia="Calibri" w:hAnsi="Times New Roman" w:cs="Times New Roman"/>
          <w:sz w:val="20"/>
          <w:szCs w:val="20"/>
        </w:rPr>
        <w:t xml:space="preserve">ersion </w:t>
      </w:r>
      <w:r w:rsidRPr="00B44AD9">
        <w:rPr>
          <w:rFonts w:ascii="Times New Roman" w:eastAsia="Calibri" w:hAnsi="Times New Roman" w:cs="Times New Roman"/>
          <w:sz w:val="20"/>
          <w:szCs w:val="20"/>
        </w:rPr>
        <w:t xml:space="preserve">23 statistic software (SPSS Inc., Armonk, NY, USA). </w:t>
      </w:r>
    </w:p>
    <w:p w:rsidR="00371DE8" w:rsidRPr="00B44AD9" w:rsidRDefault="0011001D" w:rsidP="00F8652D">
      <w:pPr>
        <w:shd w:val="clear" w:color="auto" w:fill="FFFFFF"/>
        <w:bidi w:val="0"/>
        <w:snapToGrid w:val="0"/>
        <w:spacing w:after="0" w:line="240" w:lineRule="auto"/>
        <w:ind w:firstLine="425"/>
        <w:jc w:val="both"/>
        <w:rPr>
          <w:rFonts w:ascii="Times New Roman" w:eastAsia="Calibri" w:hAnsi="Times New Roman" w:cs="Times New Roman"/>
          <w:sz w:val="20"/>
          <w:szCs w:val="20"/>
        </w:rPr>
      </w:pPr>
      <w:r w:rsidRPr="00B44AD9">
        <w:rPr>
          <w:rFonts w:ascii="Times New Roman" w:eastAsia="Calibri" w:hAnsi="Times New Roman" w:cs="Times New Roman"/>
          <w:sz w:val="20"/>
          <w:szCs w:val="20"/>
        </w:rPr>
        <w:t xml:space="preserve">For quantitative data, the median and </w:t>
      </w:r>
      <w:r w:rsidR="00371DE8" w:rsidRPr="00B44AD9">
        <w:rPr>
          <w:rFonts w:ascii="Times New Roman" w:eastAsia="Calibri" w:hAnsi="Times New Roman" w:cs="Times New Roman"/>
          <w:sz w:val="20"/>
          <w:szCs w:val="20"/>
        </w:rPr>
        <w:t>range</w:t>
      </w:r>
      <w:r w:rsidRPr="00B44AD9">
        <w:rPr>
          <w:rFonts w:ascii="Times New Roman" w:eastAsia="Calibri" w:hAnsi="Times New Roman" w:cs="Times New Roman"/>
          <w:sz w:val="20"/>
          <w:szCs w:val="20"/>
        </w:rPr>
        <w:t xml:space="preserve"> were calculated if </w:t>
      </w:r>
      <w:r w:rsidR="00371DE8" w:rsidRPr="00B44AD9">
        <w:rPr>
          <w:rFonts w:ascii="Times New Roman" w:eastAsia="Calibri" w:hAnsi="Times New Roman" w:cs="Times New Roman"/>
          <w:sz w:val="20"/>
          <w:szCs w:val="20"/>
        </w:rPr>
        <w:t>ab</w:t>
      </w:r>
      <w:r w:rsidRPr="00B44AD9">
        <w:rPr>
          <w:rFonts w:ascii="Times New Roman" w:eastAsia="Calibri" w:hAnsi="Times New Roman" w:cs="Times New Roman"/>
          <w:sz w:val="20"/>
          <w:szCs w:val="20"/>
        </w:rPr>
        <w:t xml:space="preserve">normally distributed or the mean and SD were calculated </w:t>
      </w:r>
      <w:r w:rsidR="00371DE8" w:rsidRPr="00B44AD9">
        <w:rPr>
          <w:rFonts w:ascii="Times New Roman" w:eastAsia="Calibri" w:hAnsi="Times New Roman" w:cs="Times New Roman"/>
          <w:sz w:val="20"/>
          <w:szCs w:val="20"/>
        </w:rPr>
        <w:t xml:space="preserve">if </w:t>
      </w:r>
      <w:r w:rsidR="00532A60" w:rsidRPr="00B44AD9">
        <w:rPr>
          <w:rFonts w:ascii="Times New Roman" w:eastAsia="Calibri" w:hAnsi="Times New Roman" w:cs="Times New Roman"/>
          <w:sz w:val="20"/>
          <w:szCs w:val="20"/>
        </w:rPr>
        <w:t>normally distributed. Qualitative data</w:t>
      </w:r>
      <w:r w:rsidR="00122A73" w:rsidRPr="00B44AD9">
        <w:rPr>
          <w:rFonts w:ascii="Times New Roman" w:eastAsia="Calibri" w:hAnsi="Times New Roman" w:cs="Times New Roman"/>
          <w:sz w:val="20"/>
          <w:szCs w:val="20"/>
        </w:rPr>
        <w:t xml:space="preserve"> were reported </w:t>
      </w:r>
      <w:r w:rsidR="00C8032B" w:rsidRPr="00B44AD9">
        <w:rPr>
          <w:rFonts w:ascii="Times New Roman" w:eastAsia="Calibri" w:hAnsi="Times New Roman" w:cs="Times New Roman"/>
          <w:sz w:val="20"/>
          <w:szCs w:val="20"/>
        </w:rPr>
        <w:t xml:space="preserve">as </w:t>
      </w:r>
      <w:r w:rsidR="00532A60" w:rsidRPr="00B44AD9">
        <w:rPr>
          <w:rFonts w:ascii="Times New Roman" w:eastAsia="Calibri" w:hAnsi="Times New Roman" w:cs="Times New Roman"/>
          <w:sz w:val="20"/>
          <w:szCs w:val="20"/>
        </w:rPr>
        <w:t>frequency</w:t>
      </w:r>
      <w:r w:rsidR="004F7515">
        <w:rPr>
          <w:rFonts w:ascii="Times New Roman" w:hAnsi="Times New Roman" w:cs="Times New Roman" w:hint="eastAsia"/>
          <w:sz w:val="20"/>
          <w:szCs w:val="20"/>
          <w:lang w:eastAsia="zh-CN"/>
        </w:rPr>
        <w:t xml:space="preserve"> </w:t>
      </w:r>
      <w:r w:rsidR="002B7DBC" w:rsidRPr="00B44AD9">
        <w:rPr>
          <w:rFonts w:ascii="Times New Roman" w:eastAsia="Calibri" w:hAnsi="Times New Roman" w:cs="Times New Roman"/>
          <w:sz w:val="20"/>
          <w:szCs w:val="20"/>
        </w:rPr>
        <w:t>and percentage</w:t>
      </w:r>
      <w:r w:rsidR="00532A60" w:rsidRPr="00B44AD9">
        <w:rPr>
          <w:rFonts w:ascii="Times New Roman" w:eastAsia="Calibri" w:hAnsi="Times New Roman" w:cs="Times New Roman"/>
          <w:sz w:val="20"/>
          <w:szCs w:val="20"/>
        </w:rPr>
        <w:t xml:space="preserve"> or proportion</w:t>
      </w:r>
      <w:r w:rsidR="00122A73" w:rsidRPr="00B44AD9">
        <w:rPr>
          <w:rFonts w:ascii="Times New Roman" w:eastAsia="Calibri" w:hAnsi="Times New Roman" w:cs="Times New Roman"/>
          <w:sz w:val="20"/>
          <w:szCs w:val="20"/>
        </w:rPr>
        <w:t>. Student t test was used for</w:t>
      </w:r>
      <w:r w:rsidR="000705F5" w:rsidRPr="00B44AD9">
        <w:rPr>
          <w:rFonts w:ascii="Times New Roman" w:eastAsia="Calibri" w:hAnsi="Times New Roman" w:cs="Times New Roman"/>
          <w:sz w:val="20"/>
          <w:szCs w:val="20"/>
        </w:rPr>
        <w:t xml:space="preserve"> two</w:t>
      </w:r>
      <w:r w:rsidR="00122A73" w:rsidRPr="00B44AD9">
        <w:rPr>
          <w:rFonts w:ascii="Times New Roman" w:eastAsia="Calibri" w:hAnsi="Times New Roman" w:cs="Times New Roman"/>
          <w:sz w:val="20"/>
          <w:szCs w:val="20"/>
        </w:rPr>
        <w:t xml:space="preserve"> group </w:t>
      </w:r>
      <w:r w:rsidR="007E124C" w:rsidRPr="00B44AD9">
        <w:rPr>
          <w:rFonts w:ascii="Times New Roman" w:eastAsia="Calibri" w:hAnsi="Times New Roman" w:cs="Times New Roman"/>
          <w:sz w:val="20"/>
          <w:szCs w:val="20"/>
        </w:rPr>
        <w:t>comparisons of normally distributed data, and</w:t>
      </w:r>
      <w:r w:rsidR="00122A73" w:rsidRPr="00B44AD9">
        <w:rPr>
          <w:rFonts w:ascii="Times New Roman" w:eastAsia="Calibri" w:hAnsi="Times New Roman" w:cs="Times New Roman"/>
          <w:sz w:val="20"/>
          <w:szCs w:val="20"/>
        </w:rPr>
        <w:t xml:space="preserve"> the </w:t>
      </w:r>
      <w:r w:rsidR="007E124C" w:rsidRPr="00B44AD9">
        <w:rPr>
          <w:rFonts w:ascii="Times New Roman" w:eastAsia="Calibri" w:hAnsi="Times New Roman" w:cs="Times New Roman"/>
          <w:sz w:val="20"/>
          <w:szCs w:val="20"/>
        </w:rPr>
        <w:t>Mann–Whitney U t</w:t>
      </w:r>
      <w:r w:rsidR="00122A73" w:rsidRPr="00B44AD9">
        <w:rPr>
          <w:rFonts w:ascii="Times New Roman" w:eastAsia="Calibri" w:hAnsi="Times New Roman" w:cs="Times New Roman"/>
          <w:sz w:val="20"/>
          <w:szCs w:val="20"/>
        </w:rPr>
        <w:t xml:space="preserve">est where data was not normally </w:t>
      </w:r>
      <w:r w:rsidR="007E124C" w:rsidRPr="00B44AD9">
        <w:rPr>
          <w:rFonts w:ascii="Times New Roman" w:eastAsia="Calibri" w:hAnsi="Times New Roman" w:cs="Times New Roman"/>
          <w:sz w:val="20"/>
          <w:szCs w:val="20"/>
        </w:rPr>
        <w:lastRenderedPageBreak/>
        <w:t>di</w:t>
      </w:r>
      <w:r w:rsidR="002B7DBC" w:rsidRPr="00B44AD9">
        <w:rPr>
          <w:rFonts w:ascii="Times New Roman" w:eastAsia="Calibri" w:hAnsi="Times New Roman" w:cs="Times New Roman"/>
          <w:sz w:val="20"/>
          <w:szCs w:val="20"/>
        </w:rPr>
        <w:t xml:space="preserve">stributed. </w:t>
      </w:r>
      <w:r w:rsidR="00122A73" w:rsidRPr="00B44AD9">
        <w:rPr>
          <w:rFonts w:ascii="Times New Roman" w:eastAsia="Calibri" w:hAnsi="Times New Roman" w:cs="Times New Roman"/>
          <w:sz w:val="20"/>
          <w:szCs w:val="20"/>
        </w:rPr>
        <w:t xml:space="preserve">Chi-Square test was performed to </w:t>
      </w:r>
      <w:r w:rsidR="007E124C" w:rsidRPr="00B44AD9">
        <w:rPr>
          <w:rFonts w:ascii="Times New Roman" w:eastAsia="Calibri" w:hAnsi="Times New Roman" w:cs="Times New Roman"/>
          <w:sz w:val="20"/>
          <w:szCs w:val="20"/>
        </w:rPr>
        <w:t>conduct group compa</w:t>
      </w:r>
      <w:r w:rsidR="00122A73" w:rsidRPr="00B44AD9">
        <w:rPr>
          <w:rFonts w:ascii="Times New Roman" w:eastAsia="Calibri" w:hAnsi="Times New Roman" w:cs="Times New Roman"/>
          <w:sz w:val="20"/>
          <w:szCs w:val="20"/>
        </w:rPr>
        <w:t>risons for categorical data</w:t>
      </w:r>
      <w:r w:rsidR="00371DE8" w:rsidRPr="00B44AD9">
        <w:rPr>
          <w:rFonts w:ascii="Times New Roman" w:eastAsia="Calibri" w:hAnsi="Times New Roman" w:cs="Times New Roman"/>
          <w:sz w:val="20"/>
          <w:szCs w:val="20"/>
        </w:rPr>
        <w:t>.</w:t>
      </w:r>
    </w:p>
    <w:p w:rsidR="00664CC3" w:rsidRPr="00B44AD9" w:rsidRDefault="00371DE8" w:rsidP="00F8652D">
      <w:pPr>
        <w:shd w:val="clear" w:color="auto" w:fill="FFFFFF"/>
        <w:bidi w:val="0"/>
        <w:snapToGrid w:val="0"/>
        <w:spacing w:after="0" w:line="240" w:lineRule="auto"/>
        <w:ind w:firstLine="425"/>
        <w:jc w:val="both"/>
        <w:rPr>
          <w:rFonts w:ascii="Times New Roman" w:eastAsia="Calibri" w:hAnsi="Times New Roman" w:cs="Times New Roman"/>
          <w:sz w:val="20"/>
          <w:szCs w:val="20"/>
        </w:rPr>
      </w:pPr>
      <w:r w:rsidRPr="00B44AD9">
        <w:rPr>
          <w:rFonts w:ascii="Times New Roman" w:eastAsia="Calibri" w:hAnsi="Times New Roman" w:cs="Times New Roman"/>
          <w:sz w:val="20"/>
          <w:szCs w:val="20"/>
        </w:rPr>
        <w:t xml:space="preserve">Risk predictors for HCC </w:t>
      </w:r>
      <w:r w:rsidR="00700E53" w:rsidRPr="00B44AD9">
        <w:rPr>
          <w:rFonts w:ascii="Times New Roman" w:eastAsia="Calibri" w:hAnsi="Times New Roman" w:cs="Times New Roman"/>
          <w:sz w:val="20"/>
          <w:szCs w:val="20"/>
        </w:rPr>
        <w:t>were evaluated using univariable</w:t>
      </w:r>
      <w:r w:rsidRPr="00B44AD9">
        <w:rPr>
          <w:rFonts w:ascii="Times New Roman" w:eastAsia="Calibri" w:hAnsi="Times New Roman" w:cs="Times New Roman"/>
          <w:sz w:val="20"/>
          <w:szCs w:val="20"/>
        </w:rPr>
        <w:t xml:space="preserve"> logistic regression</w:t>
      </w:r>
      <w:r w:rsidR="002912C1" w:rsidRPr="00B44AD9">
        <w:rPr>
          <w:rFonts w:ascii="Times New Roman" w:eastAsia="Calibri" w:hAnsi="Times New Roman" w:cs="Times New Roman"/>
          <w:sz w:val="20"/>
          <w:szCs w:val="20"/>
        </w:rPr>
        <w:t xml:space="preserve"> and the adjusted risk estimates</w:t>
      </w:r>
      <w:r w:rsidR="000705F5" w:rsidRPr="00B44AD9">
        <w:rPr>
          <w:rFonts w:ascii="Times New Roman" w:eastAsia="Calibri" w:hAnsi="Times New Roman" w:cs="Times New Roman"/>
          <w:sz w:val="20"/>
          <w:szCs w:val="20"/>
        </w:rPr>
        <w:t xml:space="preserve"> were calculated </w:t>
      </w:r>
      <w:r w:rsidR="002912C1" w:rsidRPr="00B44AD9">
        <w:rPr>
          <w:rFonts w:ascii="Times New Roman" w:eastAsia="Calibri" w:hAnsi="Times New Roman" w:cs="Times New Roman"/>
          <w:sz w:val="20"/>
          <w:szCs w:val="20"/>
        </w:rPr>
        <w:t>using the multivariable logistic regression</w:t>
      </w:r>
      <w:r w:rsidR="00122A73" w:rsidRPr="00B44AD9">
        <w:rPr>
          <w:rFonts w:ascii="Times New Roman" w:eastAsia="Calibri" w:hAnsi="Times New Roman" w:cs="Times New Roman"/>
          <w:sz w:val="20"/>
          <w:szCs w:val="20"/>
        </w:rPr>
        <w:t xml:space="preserve">. </w:t>
      </w:r>
      <w:r w:rsidR="002912C1" w:rsidRPr="00B44AD9">
        <w:rPr>
          <w:rFonts w:ascii="Times New Roman" w:eastAsia="Calibri" w:hAnsi="Times New Roman" w:cs="Times New Roman"/>
          <w:sz w:val="20"/>
          <w:szCs w:val="20"/>
        </w:rPr>
        <w:t xml:space="preserve">ROC curves were done for the optimum cut-off values for the </w:t>
      </w:r>
      <w:r w:rsidR="00DE4BDF" w:rsidRPr="00B44AD9">
        <w:rPr>
          <w:rFonts w:ascii="Times New Roman" w:eastAsia="Calibri" w:hAnsi="Times New Roman" w:cs="Times New Roman"/>
          <w:sz w:val="20"/>
          <w:szCs w:val="20"/>
        </w:rPr>
        <w:t>significant</w:t>
      </w:r>
      <w:r w:rsidR="002912C1" w:rsidRPr="00B44AD9">
        <w:rPr>
          <w:rFonts w:ascii="Times New Roman" w:eastAsia="Calibri" w:hAnsi="Times New Roman" w:cs="Times New Roman"/>
          <w:sz w:val="20"/>
          <w:szCs w:val="20"/>
        </w:rPr>
        <w:t xml:space="preserve"> risk predictors</w:t>
      </w:r>
      <w:r w:rsidR="00F8652D" w:rsidRPr="00B44AD9">
        <w:rPr>
          <w:rFonts w:ascii="Times New Roman" w:eastAsia="Calibri" w:hAnsi="Times New Roman" w:cs="Times New Roman"/>
          <w:sz w:val="20"/>
          <w:szCs w:val="20"/>
        </w:rPr>
        <w:t>.</w:t>
      </w:r>
      <w:r w:rsidR="00F8652D">
        <w:rPr>
          <w:rFonts w:ascii="Times New Roman" w:eastAsia="Calibri" w:hAnsi="Times New Roman" w:cs="Times New Roman"/>
          <w:sz w:val="20"/>
          <w:szCs w:val="20"/>
        </w:rPr>
        <w:t xml:space="preserve"> </w:t>
      </w:r>
      <w:r w:rsidR="00F8652D" w:rsidRPr="00B44AD9">
        <w:rPr>
          <w:rFonts w:ascii="Times New Roman" w:eastAsia="Calibri" w:hAnsi="Times New Roman" w:cs="Times New Roman"/>
          <w:sz w:val="20"/>
          <w:szCs w:val="20"/>
        </w:rPr>
        <w:t>T</w:t>
      </w:r>
      <w:r w:rsidR="00C8032B" w:rsidRPr="00B44AD9">
        <w:rPr>
          <w:rFonts w:ascii="Times New Roman" w:eastAsia="Calibri" w:hAnsi="Times New Roman" w:cs="Times New Roman"/>
          <w:sz w:val="20"/>
          <w:szCs w:val="20"/>
        </w:rPr>
        <w:t xml:space="preserve">wo sided p </w:t>
      </w:r>
      <w:r w:rsidR="00122A73" w:rsidRPr="00B44AD9">
        <w:rPr>
          <w:rFonts w:ascii="Times New Roman" w:eastAsia="Calibri" w:hAnsi="Times New Roman" w:cs="Times New Roman"/>
          <w:sz w:val="20"/>
          <w:szCs w:val="20"/>
        </w:rPr>
        <w:t xml:space="preserve">value </w:t>
      </w:r>
      <w:r w:rsidR="00DE4BDF" w:rsidRPr="00B44AD9">
        <w:rPr>
          <w:rFonts w:ascii="Times New Roman" w:eastAsia="Calibri" w:hAnsi="Times New Roman" w:cs="Times New Roman"/>
          <w:sz w:val="20"/>
          <w:szCs w:val="20"/>
        </w:rPr>
        <w:t>≤</w:t>
      </w:r>
      <w:r w:rsidR="00122A73" w:rsidRPr="00B44AD9">
        <w:rPr>
          <w:rFonts w:ascii="Times New Roman" w:eastAsia="Calibri" w:hAnsi="Times New Roman" w:cs="Times New Roman"/>
          <w:sz w:val="20"/>
          <w:szCs w:val="20"/>
        </w:rPr>
        <w:t xml:space="preserve">0.05 </w:t>
      </w:r>
      <w:r w:rsidR="00DE4BDF" w:rsidRPr="00B44AD9">
        <w:rPr>
          <w:rFonts w:ascii="Times New Roman" w:eastAsia="Calibri" w:hAnsi="Times New Roman" w:cs="Times New Roman"/>
          <w:sz w:val="20"/>
          <w:szCs w:val="20"/>
        </w:rPr>
        <w:t>was</w:t>
      </w:r>
      <w:r w:rsidR="00C8032B" w:rsidRPr="00B44AD9">
        <w:rPr>
          <w:rFonts w:ascii="Times New Roman" w:eastAsia="Calibri" w:hAnsi="Times New Roman" w:cs="Times New Roman"/>
          <w:sz w:val="20"/>
          <w:szCs w:val="20"/>
        </w:rPr>
        <w:t xml:space="preserve"> considered as statistically </w:t>
      </w:r>
      <w:r w:rsidR="00532A60" w:rsidRPr="00B44AD9">
        <w:rPr>
          <w:rFonts w:ascii="Times New Roman" w:eastAsia="Calibri" w:hAnsi="Times New Roman" w:cs="Times New Roman"/>
          <w:sz w:val="20"/>
          <w:szCs w:val="20"/>
        </w:rPr>
        <w:t>significant.</w:t>
      </w:r>
    </w:p>
    <w:p w:rsidR="00520406"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12"/>
        </w:rPr>
      </w:pPr>
    </w:p>
    <w:p w:rsidR="00CF7839"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t xml:space="preserve">3. </w:t>
      </w:r>
      <w:r w:rsidR="00CF7839" w:rsidRPr="00B44AD9">
        <w:rPr>
          <w:rFonts w:ascii="Times New Roman" w:eastAsia="Calibri" w:hAnsi="Times New Roman" w:cs="Times New Roman"/>
          <w:b/>
          <w:bCs/>
          <w:sz w:val="20"/>
          <w:szCs w:val="20"/>
        </w:rPr>
        <w:t>Results:</w:t>
      </w:r>
    </w:p>
    <w:p w:rsidR="004F7515" w:rsidRDefault="004F7515" w:rsidP="004F7515">
      <w:pPr>
        <w:shd w:val="clear" w:color="auto" w:fill="FFFFFF"/>
        <w:bidi w:val="0"/>
        <w:snapToGrid w:val="0"/>
        <w:spacing w:after="0" w:line="240" w:lineRule="auto"/>
        <w:ind w:firstLine="425"/>
        <w:jc w:val="both"/>
        <w:rPr>
          <w:rFonts w:ascii="Times New Roman" w:hAnsi="Times New Roman" w:cs="Times New Roman"/>
          <w:sz w:val="20"/>
          <w:szCs w:val="20"/>
          <w:lang w:eastAsia="zh-CN" w:bidi="ar-EG"/>
        </w:rPr>
      </w:pPr>
      <w:r w:rsidRPr="00B44AD9">
        <w:rPr>
          <w:rFonts w:ascii="Times New Roman" w:hAnsi="Times New Roman" w:cs="Times New Roman"/>
          <w:sz w:val="20"/>
          <w:szCs w:val="20"/>
          <w:lang w:bidi="ar-EG"/>
        </w:rPr>
        <w:t xml:space="preserve">The main baseline characteristics for all </w:t>
      </w:r>
      <w:r w:rsidRPr="00B44AD9">
        <w:rPr>
          <w:rFonts w:ascii="Times New Roman" w:eastAsia="Calibri" w:hAnsi="Times New Roman" w:cs="Times New Roman"/>
          <w:sz w:val="20"/>
          <w:szCs w:val="20"/>
        </w:rPr>
        <w:t>included</w:t>
      </w:r>
      <w:r w:rsidRPr="00B44AD9">
        <w:rPr>
          <w:rFonts w:ascii="Times New Roman" w:hAnsi="Times New Roman" w:cs="Times New Roman"/>
          <w:sz w:val="20"/>
          <w:szCs w:val="20"/>
          <w:lang w:bidi="ar-EG"/>
        </w:rPr>
        <w:t xml:space="preserve"> patients are illustrated in table 1. There was no significant differences between both groups as regards age and sex distribution, AST, ALT, serum creatinine, hemoglobin and the observational time, (p value =0.531, 0.395, 0.758, 0.062, 0.083, 0.564 and 0.096 respectively), however there were significant differences as regards serum bilirubin, serum albumin, INR and platelet count (p value = 0.0001).</w:t>
      </w:r>
    </w:p>
    <w:p w:rsidR="004F7515" w:rsidRPr="00B44AD9" w:rsidRDefault="004F7515" w:rsidP="004F7515">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 xml:space="preserve">The studied risk predictors that may be related to the occurrence of de novo HCC are illustrated in table2 and table3: </w:t>
      </w:r>
    </w:p>
    <w:p w:rsidR="004F7515" w:rsidRPr="00B44AD9" w:rsidRDefault="004F7515" w:rsidP="004F7515">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Evaluations of the risk estimate of liver fibrosis using the FIB4 score:</w:t>
      </w:r>
    </w:p>
    <w:p w:rsidR="004F7515" w:rsidRDefault="004F7515" w:rsidP="004F7515">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The univariable regression analysis for the FIB4 score showed that patients with higher scores had higher significant risk for HCC (p value =0.0001 and Odds ratio =2.240with 95% CI=1.930-2.601), and after adjustment of this risk estimate by multivariable logistic regression, we found that FIB4 score still had a high significant risk for HCC (p value =0.0001 and Odds ratio =1.626 with 95% CI=1.347-1.964)</w:t>
      </w:r>
      <w:r>
        <w:rPr>
          <w:rFonts w:ascii="Times New Roman" w:hAnsi="Times New Roman" w:cs="Times New Roman"/>
          <w:sz w:val="20"/>
          <w:szCs w:val="20"/>
          <w:lang w:bidi="ar-EG"/>
        </w:rPr>
        <w:t>.</w:t>
      </w:r>
    </w:p>
    <w:p w:rsidR="004F7515" w:rsidRPr="00B44AD9" w:rsidRDefault="004F7515" w:rsidP="004F7515">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Evaluation of the risk estimate of liver dysfunction using MELD or Child Pugh scores:</w:t>
      </w:r>
    </w:p>
    <w:p w:rsidR="004F7515" w:rsidRPr="00B44AD9" w:rsidRDefault="004F7515" w:rsidP="004F7515">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 xml:space="preserve">The univariable regression analysis for the Child Pugh score showed that patients with higher scores had higher significant risk for HCC (p value =0.0001 and Odds ratio =2.051 with 95% CI=1.755-2.370), and after adjustment of this risk estimate by multivariable logistic regression, we found that Child Pugh score still had a high significant risk for HCC (p value =0.0001 and Odds ratio =1.426 with 95% CI=1.172-1.734). </w:t>
      </w:r>
    </w:p>
    <w:p w:rsidR="004F7515" w:rsidRPr="00B44AD9" w:rsidRDefault="004F7515" w:rsidP="004F7515">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 xml:space="preserve">Similarly, The univariable regression analysis for the MELD score showed that patients with higher scores had higher significant risk for HCC (p value =0.0001 and Odds ratio =1.453 with 95% CI=1.345-1.569), and after adjustment of this risk estimate by multivariable logistic regression, we found that MELD score still had a high significant risk for HCC (p value =0.028 and Odds ratio =1.124 with 95% CI=1.013-1.246). </w:t>
      </w:r>
    </w:p>
    <w:p w:rsidR="004F7515" w:rsidRPr="00B44AD9" w:rsidRDefault="004F7515" w:rsidP="004F7515">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Evaluation of the risk estimate of DM:</w:t>
      </w:r>
    </w:p>
    <w:p w:rsidR="004F7515" w:rsidRPr="00B44AD9" w:rsidRDefault="004F7515" w:rsidP="004F7515">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 xml:space="preserve">The univariable regression analysis showed that the diabetic patients had higher significant risk for </w:t>
      </w:r>
      <w:r w:rsidRPr="00B44AD9">
        <w:rPr>
          <w:rFonts w:ascii="Times New Roman" w:hAnsi="Times New Roman" w:cs="Times New Roman"/>
          <w:sz w:val="20"/>
          <w:szCs w:val="20"/>
          <w:lang w:bidi="ar-EG"/>
        </w:rPr>
        <w:lastRenderedPageBreak/>
        <w:t xml:space="preserve">HCC (p value =0.026 and Odds ratio =1.561 with 95% CI=1.055-2.310), however, after adjustment of this risk estimate by multivariable logistic regression, we found that DM had a non-significant risk for HCC (p value =0.431 and Odds ratio =1.2 with 95% CI=0.762-1.891). </w:t>
      </w:r>
    </w:p>
    <w:p w:rsidR="004F7515" w:rsidRPr="00B44AD9" w:rsidRDefault="004F7515" w:rsidP="004F7515">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lastRenderedPageBreak/>
        <w:t>Evaluation of the risk estimate of DAA vs Peg-IFN regimen:</w:t>
      </w:r>
    </w:p>
    <w:p w:rsidR="004F7515" w:rsidRDefault="004F7515" w:rsidP="004F7515">
      <w:pPr>
        <w:shd w:val="clear" w:color="auto" w:fill="FFFFFF"/>
        <w:bidi w:val="0"/>
        <w:snapToGrid w:val="0"/>
        <w:spacing w:after="0" w:line="240" w:lineRule="auto"/>
        <w:ind w:firstLine="425"/>
        <w:jc w:val="both"/>
        <w:rPr>
          <w:rFonts w:ascii="Times New Roman" w:hAnsi="Times New Roman" w:cs="Times New Roman" w:hint="eastAsia"/>
          <w:i/>
          <w:iCs/>
          <w:sz w:val="20"/>
          <w:szCs w:val="20"/>
          <w:lang w:eastAsia="zh-CN" w:bidi="ar-EG"/>
        </w:rPr>
      </w:pPr>
      <w:r w:rsidRPr="00B44AD9">
        <w:rPr>
          <w:rFonts w:ascii="Times New Roman" w:hAnsi="Times New Roman" w:cs="Times New Roman"/>
          <w:sz w:val="20"/>
          <w:szCs w:val="20"/>
          <w:lang w:bidi="ar-EG"/>
        </w:rPr>
        <w:t>The univariable regression analysis showed that the HCV patients who were treated by DAA had lower, however non significant, risk for HCC (p value =0.639 and Odds ratio =0.898with 95% CI=10.572-1.409).</w:t>
      </w:r>
      <w:r>
        <w:rPr>
          <w:rFonts w:ascii="Times New Roman" w:hAnsi="Times New Roman" w:cs="Times New Roman" w:hint="eastAsia"/>
          <w:sz w:val="20"/>
          <w:szCs w:val="20"/>
          <w:lang w:eastAsia="zh-CN" w:bidi="ar-EG"/>
        </w:rPr>
        <w:t xml:space="preserve"> </w:t>
      </w:r>
    </w:p>
    <w:p w:rsidR="004F7515" w:rsidRDefault="004F7515" w:rsidP="004F7515">
      <w:pPr>
        <w:shd w:val="clear" w:color="auto" w:fill="FFFFFF"/>
        <w:bidi w:val="0"/>
        <w:snapToGrid w:val="0"/>
        <w:spacing w:after="0" w:line="240" w:lineRule="auto"/>
        <w:ind w:firstLine="425"/>
        <w:jc w:val="both"/>
        <w:rPr>
          <w:rFonts w:ascii="Times New Roman" w:hAnsi="Times New Roman" w:cs="Times New Roman" w:hint="eastAsia"/>
          <w:i/>
          <w:iCs/>
          <w:sz w:val="20"/>
          <w:szCs w:val="20"/>
          <w:lang w:eastAsia="zh-CN" w:bidi="ar-EG"/>
        </w:rPr>
        <w:sectPr w:rsidR="004F7515" w:rsidSect="00F8652D">
          <w:type w:val="continuous"/>
          <w:pgSz w:w="12242" w:h="15842" w:code="1"/>
          <w:pgMar w:top="1440" w:right="1440" w:bottom="1440" w:left="1440" w:header="720" w:footer="720" w:gutter="0"/>
          <w:cols w:num="2" w:space="550"/>
          <w:docGrid w:linePitch="360"/>
        </w:sectPr>
      </w:pPr>
    </w:p>
    <w:p w:rsidR="00B44AD9" w:rsidRPr="00B44AD9" w:rsidRDefault="00B44AD9" w:rsidP="00F8652D">
      <w:pPr>
        <w:shd w:val="clear" w:color="auto" w:fill="FFFFFF"/>
        <w:bidi w:val="0"/>
        <w:snapToGrid w:val="0"/>
        <w:spacing w:after="0" w:line="240" w:lineRule="auto"/>
        <w:ind w:firstLine="425"/>
        <w:jc w:val="both"/>
        <w:rPr>
          <w:rFonts w:ascii="Times New Roman" w:hAnsi="Times New Roman" w:cs="Times New Roman"/>
          <w:i/>
          <w:iCs/>
          <w:sz w:val="20"/>
          <w:szCs w:val="20"/>
          <w:lang w:bidi="ar-EG"/>
        </w:rPr>
      </w:pPr>
    </w:p>
    <w:p w:rsidR="004F7515" w:rsidRDefault="004F7515" w:rsidP="00F8652D">
      <w:pPr>
        <w:shd w:val="clear" w:color="auto" w:fill="FFFFFF"/>
        <w:bidi w:val="0"/>
        <w:snapToGrid w:val="0"/>
        <w:spacing w:after="0" w:line="240" w:lineRule="auto"/>
        <w:jc w:val="center"/>
        <w:rPr>
          <w:rFonts w:ascii="Times New Roman" w:hAnsi="Times New Roman" w:cs="Times New Roman" w:hint="eastAsia"/>
          <w:b/>
          <w:bCs/>
          <w:color w:val="000000"/>
          <w:sz w:val="20"/>
          <w:szCs w:val="18"/>
          <w:lang w:eastAsia="zh-CN"/>
        </w:rPr>
      </w:pPr>
    </w:p>
    <w:p w:rsidR="00520406" w:rsidRPr="00B44AD9" w:rsidRDefault="00520406" w:rsidP="004F7515">
      <w:pPr>
        <w:shd w:val="clear" w:color="auto" w:fill="FFFFFF"/>
        <w:bidi w:val="0"/>
        <w:snapToGrid w:val="0"/>
        <w:spacing w:after="0" w:line="240" w:lineRule="auto"/>
        <w:jc w:val="center"/>
        <w:rPr>
          <w:rFonts w:ascii="Times New Roman" w:hAnsi="Times New Roman" w:cs="Times New Roman"/>
          <w:b/>
          <w:bCs/>
          <w:i/>
          <w:iCs/>
          <w:color w:val="FFFFFF" w:themeColor="background1"/>
          <w:sz w:val="20"/>
          <w:szCs w:val="18"/>
          <w:lang w:bidi="ar-EG"/>
        </w:rPr>
      </w:pPr>
      <w:r w:rsidRPr="00B44AD9">
        <w:rPr>
          <w:rFonts w:ascii="Times New Roman" w:hAnsi="Times New Roman" w:cs="Times New Roman"/>
          <w:b/>
          <w:bCs/>
          <w:color w:val="000000"/>
          <w:sz w:val="20"/>
          <w:szCs w:val="18"/>
        </w:rPr>
        <w:t>Table 1: Baseline criteria</w:t>
      </w:r>
    </w:p>
    <w:tbl>
      <w:tblPr>
        <w:tblStyle w:val="MediumGrid3-Accent6"/>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Look w:val="04A0"/>
      </w:tblPr>
      <w:tblGrid>
        <w:gridCol w:w="3661"/>
        <w:gridCol w:w="1689"/>
        <w:gridCol w:w="552"/>
        <w:gridCol w:w="908"/>
        <w:gridCol w:w="671"/>
        <w:gridCol w:w="949"/>
        <w:gridCol w:w="1046"/>
      </w:tblGrid>
      <w:tr w:rsidR="00B44AD9" w:rsidRPr="00B44AD9" w:rsidTr="00F8652D">
        <w:trPr>
          <w:cnfStyle w:val="100000000000"/>
          <w:jc w:val="center"/>
        </w:trPr>
        <w:tc>
          <w:tcPr>
            <w:cnfStyle w:val="001000000000"/>
            <w:tcW w:w="2823" w:type="pct"/>
            <w:gridSpan w:val="2"/>
            <w:vMerge w:val="restart"/>
            <w:tcBorders>
              <w:top w:val="single" w:sz="18" w:space="0" w:color="984806" w:themeColor="accent6" w:themeShade="80"/>
              <w:left w:val="single" w:sz="18" w:space="0" w:color="984806" w:themeColor="accent6" w:themeShade="80"/>
              <w:right w:val="single" w:sz="12" w:space="0" w:color="FFFFFF" w:themeColor="background1"/>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p>
        </w:tc>
        <w:tc>
          <w:tcPr>
            <w:tcW w:w="1625" w:type="pct"/>
            <w:gridSpan w:val="4"/>
            <w:tcBorders>
              <w:top w:val="single" w:sz="18" w:space="0" w:color="984806" w:themeColor="accent6" w:themeShade="80"/>
              <w:left w:val="single" w:sz="12" w:space="0" w:color="FFFFFF" w:themeColor="background1"/>
              <w:right w:val="single" w:sz="18" w:space="0" w:color="984806" w:themeColor="accent6" w:themeShade="80"/>
            </w:tcBorders>
            <w:vAlign w:val="center"/>
          </w:tcPr>
          <w:p w:rsidR="00D21744" w:rsidRPr="00B44AD9" w:rsidRDefault="00D21744" w:rsidP="00F8652D">
            <w:pPr>
              <w:bidi w:val="0"/>
              <w:snapToGrid w:val="0"/>
              <w:jc w:val="both"/>
              <w:cnfStyle w:val="100000000000"/>
              <w:rPr>
                <w:rFonts w:ascii="Times New Roman" w:hAnsi="Times New Roman" w:cs="Times New Roman"/>
                <w:b w:val="0"/>
                <w:bCs w:val="0"/>
                <w:sz w:val="20"/>
                <w:szCs w:val="18"/>
                <w:lang w:bidi="ar-EG"/>
              </w:rPr>
            </w:pPr>
            <w:r w:rsidRPr="00B44AD9">
              <w:rPr>
                <w:rFonts w:ascii="Times New Roman" w:hAnsi="Times New Roman" w:cs="Times New Roman"/>
                <w:sz w:val="20"/>
                <w:szCs w:val="18"/>
                <w:lang w:bidi="ar-EG"/>
              </w:rPr>
              <w:t>Grouping</w:t>
            </w:r>
          </w:p>
        </w:tc>
        <w:tc>
          <w:tcPr>
            <w:tcW w:w="552" w:type="pc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100000000000"/>
              <w:rPr>
                <w:rFonts w:ascii="Times New Roman" w:hAnsi="Times New Roman" w:cs="Times New Roman"/>
                <w:b w:val="0"/>
                <w:bCs w:val="0"/>
                <w:sz w:val="20"/>
                <w:szCs w:val="18"/>
                <w:lang w:bidi="ar-EG"/>
              </w:rPr>
            </w:pPr>
            <w:r w:rsidRPr="00B44AD9">
              <w:rPr>
                <w:rFonts w:ascii="Times New Roman" w:hAnsi="Times New Roman" w:cs="Times New Roman"/>
                <w:sz w:val="20"/>
                <w:szCs w:val="18"/>
                <w:lang w:bidi="ar-EG"/>
              </w:rPr>
              <w:t>Statistics</w:t>
            </w:r>
          </w:p>
        </w:tc>
      </w:tr>
      <w:tr w:rsidR="00B44AD9" w:rsidRPr="00B44AD9" w:rsidTr="00F8652D">
        <w:trPr>
          <w:cnfStyle w:val="000000100000"/>
          <w:jc w:val="center"/>
        </w:trPr>
        <w:tc>
          <w:tcPr>
            <w:cnfStyle w:val="001000000000"/>
            <w:tcW w:w="2823" w:type="pct"/>
            <w:gridSpan w:val="2"/>
            <w:vMerge/>
            <w:tcBorders>
              <w:left w:val="single" w:sz="18" w:space="0" w:color="984806" w:themeColor="accent6" w:themeShade="80"/>
              <w:right w:val="single" w:sz="12" w:space="0" w:color="FFFFFF" w:themeColor="background1"/>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p>
        </w:tc>
        <w:tc>
          <w:tcPr>
            <w:tcW w:w="770" w:type="pct"/>
            <w:gridSpan w:val="2"/>
            <w:tcBorders>
              <w:top w:val="single" w:sz="6" w:space="0" w:color="984806" w:themeColor="accent6" w:themeShade="80"/>
              <w:left w:val="single" w:sz="12" w:space="0" w:color="FFFFFF" w:themeColor="background1"/>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HCC</w:t>
            </w:r>
            <w:r w:rsidR="00F8652D">
              <w:rPr>
                <w:rFonts w:ascii="Times New Roman" w:hAnsi="Times New Roman" w:cs="Times New Roman" w:hint="eastAsia"/>
                <w:b/>
                <w:bCs/>
                <w:sz w:val="20"/>
                <w:szCs w:val="18"/>
                <w:lang w:eastAsia="zh-CN" w:bidi="ar-EG"/>
              </w:rPr>
              <w:t xml:space="preserve"> </w:t>
            </w:r>
            <w:r w:rsidRPr="00B44AD9">
              <w:rPr>
                <w:rFonts w:ascii="Times New Roman" w:hAnsi="Times New Roman" w:cs="Times New Roman"/>
                <w:b/>
                <w:bCs/>
                <w:sz w:val="20"/>
                <w:szCs w:val="18"/>
                <w:lang w:bidi="ar-EG"/>
              </w:rPr>
              <w:t>N=150</w:t>
            </w:r>
          </w:p>
        </w:tc>
        <w:tc>
          <w:tcPr>
            <w:tcW w:w="855" w:type="pct"/>
            <w:gridSpan w:val="2"/>
            <w:tcBorders>
              <w:top w:val="nil"/>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No HCC</w:t>
            </w:r>
            <w:r w:rsidR="00F8652D">
              <w:rPr>
                <w:rFonts w:ascii="Times New Roman" w:hAnsi="Times New Roman" w:cs="Times New Roman" w:hint="eastAsia"/>
                <w:b/>
                <w:bCs/>
                <w:sz w:val="20"/>
                <w:szCs w:val="18"/>
                <w:lang w:eastAsia="zh-CN" w:bidi="ar-EG"/>
              </w:rPr>
              <w:t xml:space="preserve"> </w:t>
            </w:r>
            <w:r w:rsidRPr="00B44AD9">
              <w:rPr>
                <w:rFonts w:ascii="Times New Roman" w:hAnsi="Times New Roman" w:cs="Times New Roman"/>
                <w:b/>
                <w:bCs/>
                <w:sz w:val="20"/>
                <w:szCs w:val="18"/>
                <w:lang w:bidi="ar-EG"/>
              </w:rPr>
              <w:t>N=600</w:t>
            </w:r>
          </w:p>
        </w:tc>
        <w:tc>
          <w:tcPr>
            <w:tcW w:w="552" w:type="pct"/>
            <w:tcBorders>
              <w:top w:val="single" w:sz="6"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P value</w:t>
            </w:r>
          </w:p>
        </w:tc>
      </w:tr>
      <w:tr w:rsidR="00B44AD9" w:rsidRPr="00B44AD9" w:rsidTr="00F8652D">
        <w:trPr>
          <w:jc w:val="center"/>
        </w:trPr>
        <w:tc>
          <w:tcPr>
            <w:cnfStyle w:val="001000000000"/>
            <w:tcW w:w="1932" w:type="pct"/>
            <w:vMerge w:val="restart"/>
            <w:tcBorders>
              <w:top w:val="single" w:sz="18" w:space="0" w:color="984806" w:themeColor="accent6" w:themeShade="80"/>
              <w:left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r w:rsidRPr="00B44AD9">
              <w:rPr>
                <w:rFonts w:ascii="Times New Roman" w:hAnsi="Times New Roman" w:cs="Times New Roman"/>
                <w:sz w:val="20"/>
                <w:szCs w:val="18"/>
                <w:lang w:bidi="ar-EG"/>
              </w:rPr>
              <w:t>Sex</w:t>
            </w:r>
          </w:p>
        </w:tc>
        <w:tc>
          <w:tcPr>
            <w:tcW w:w="891" w:type="pct"/>
            <w:tcBorders>
              <w:top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Male</w:t>
            </w:r>
          </w:p>
        </w:tc>
        <w:tc>
          <w:tcPr>
            <w:tcW w:w="291" w:type="pct"/>
            <w:tcBorders>
              <w:top w:val="single" w:sz="18" w:space="0" w:color="984806" w:themeColor="accent6" w:themeShade="80"/>
              <w:lef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b/>
                <w:bCs/>
                <w:sz w:val="20"/>
                <w:szCs w:val="18"/>
                <w:lang w:bidi="ar-EG"/>
              </w:rPr>
              <w:t>82</w:t>
            </w:r>
          </w:p>
        </w:tc>
        <w:tc>
          <w:tcPr>
            <w:tcW w:w="479" w:type="pct"/>
            <w:tcBorders>
              <w:top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(54.6%)</w:t>
            </w:r>
          </w:p>
        </w:tc>
        <w:tc>
          <w:tcPr>
            <w:tcW w:w="354" w:type="pct"/>
            <w:tcBorders>
              <w:top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345</w:t>
            </w:r>
          </w:p>
        </w:tc>
        <w:tc>
          <w:tcPr>
            <w:tcW w:w="501" w:type="pct"/>
            <w:tcBorders>
              <w:top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(57.5%)</w:t>
            </w:r>
          </w:p>
        </w:tc>
        <w:tc>
          <w:tcPr>
            <w:tcW w:w="552" w:type="pct"/>
            <w:vMerge w:val="restar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0.531</w:t>
            </w:r>
          </w:p>
        </w:tc>
      </w:tr>
      <w:tr w:rsidR="00B44AD9" w:rsidRPr="00B44AD9" w:rsidTr="00F8652D">
        <w:trPr>
          <w:cnfStyle w:val="000000100000"/>
          <w:jc w:val="center"/>
        </w:trPr>
        <w:tc>
          <w:tcPr>
            <w:cnfStyle w:val="001000000000"/>
            <w:tcW w:w="1932" w:type="pct"/>
            <w:vMerge/>
            <w:tcBorders>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p>
        </w:tc>
        <w:tc>
          <w:tcPr>
            <w:tcW w:w="891" w:type="pct"/>
            <w:tcBorders>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Female</w:t>
            </w:r>
          </w:p>
        </w:tc>
        <w:tc>
          <w:tcPr>
            <w:tcW w:w="291" w:type="pct"/>
            <w:tcBorders>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b/>
                <w:bCs/>
                <w:sz w:val="20"/>
                <w:szCs w:val="18"/>
                <w:lang w:bidi="ar-EG"/>
              </w:rPr>
              <w:t>68</w:t>
            </w:r>
          </w:p>
        </w:tc>
        <w:tc>
          <w:tcPr>
            <w:tcW w:w="479" w:type="pct"/>
            <w:tcBorders>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(45.4%)</w:t>
            </w:r>
          </w:p>
        </w:tc>
        <w:tc>
          <w:tcPr>
            <w:tcW w:w="354" w:type="pct"/>
            <w:tcBorders>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255</w:t>
            </w:r>
          </w:p>
        </w:tc>
        <w:tc>
          <w:tcPr>
            <w:tcW w:w="501" w:type="pct"/>
            <w:tcBorders>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(42.5%)</w:t>
            </w:r>
          </w:p>
        </w:tc>
        <w:tc>
          <w:tcPr>
            <w:tcW w:w="552" w:type="pct"/>
            <w:vMerge/>
            <w:tcBorders>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p>
        </w:tc>
      </w:tr>
      <w:tr w:rsidR="00B44AD9" w:rsidRPr="00B44AD9" w:rsidTr="00F8652D">
        <w:trPr>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b w:val="0"/>
                <w:bCs w:val="0"/>
                <w:sz w:val="20"/>
                <w:szCs w:val="18"/>
                <w:lang w:bidi="ar-EG"/>
              </w:rPr>
            </w:pPr>
            <w:r w:rsidRPr="00B44AD9">
              <w:rPr>
                <w:rFonts w:ascii="Times New Roman" w:hAnsi="Times New Roman" w:cs="Times New Roman"/>
                <w:sz w:val="20"/>
                <w:szCs w:val="18"/>
                <w:lang w:bidi="ar-EG"/>
              </w:rPr>
              <w:t>Age</w:t>
            </w:r>
            <w:r w:rsidR="00B44AD9" w:rsidRPr="00B44AD9">
              <w:rPr>
                <w:rFonts w:ascii="Times New Roman" w:hAnsi="Times New Roman" w:cs="Times New Roman"/>
                <w:sz w:val="20"/>
                <w:szCs w:val="18"/>
                <w:lang w:bidi="ar-EG"/>
              </w:rPr>
              <w:t xml:space="preserve"> </w:t>
            </w:r>
            <w:r w:rsidRPr="00B44AD9">
              <w:rPr>
                <w:rFonts w:ascii="Times New Roman" w:hAnsi="Times New Roman" w:cs="Times New Roman"/>
                <w:sz w:val="20"/>
                <w:szCs w:val="18"/>
                <w:lang w:bidi="ar-EG"/>
              </w:rPr>
              <w:t>(years)</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000000"/>
              <w:rPr>
                <w:rFonts w:ascii="Times New Roman" w:hAnsi="Times New Roman" w:cs="Times New Roman"/>
                <w:b/>
                <w:bCs/>
                <w:color w:val="FFFFFF" w:themeColor="background1"/>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b/>
                <w:bCs/>
                <w:sz w:val="20"/>
                <w:szCs w:val="18"/>
                <w:lang w:bidi="ar-EG"/>
              </w:rPr>
              <w:t>45</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(37)</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44</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(36)</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0.395</w:t>
            </w:r>
          </w:p>
        </w:tc>
      </w:tr>
      <w:tr w:rsidR="00B44AD9" w:rsidRPr="00B44AD9" w:rsidTr="00F8652D">
        <w:trPr>
          <w:cnfStyle w:val="000000100000"/>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r w:rsidRPr="00B44AD9">
              <w:rPr>
                <w:rFonts w:ascii="Times New Roman" w:hAnsi="Times New Roman" w:cs="Times New Roman"/>
                <w:sz w:val="20"/>
                <w:szCs w:val="18"/>
                <w:lang w:bidi="ar-EG"/>
              </w:rPr>
              <w:t>AST</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b/>
                <w:bCs/>
                <w:sz w:val="20"/>
                <w:szCs w:val="18"/>
                <w:lang w:bidi="ar-EG"/>
              </w:rPr>
              <w:t>43</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(17)</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42</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(17)</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0.758</w:t>
            </w:r>
          </w:p>
        </w:tc>
      </w:tr>
      <w:tr w:rsidR="00B44AD9" w:rsidRPr="00B44AD9" w:rsidTr="00F8652D">
        <w:trPr>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b w:val="0"/>
                <w:bCs w:val="0"/>
                <w:sz w:val="20"/>
                <w:szCs w:val="18"/>
                <w:lang w:bidi="ar-EG"/>
              </w:rPr>
            </w:pPr>
            <w:r w:rsidRPr="00B44AD9">
              <w:rPr>
                <w:rFonts w:ascii="Times New Roman" w:hAnsi="Times New Roman" w:cs="Times New Roman"/>
                <w:sz w:val="20"/>
                <w:szCs w:val="18"/>
                <w:lang w:bidi="ar-EG"/>
              </w:rPr>
              <w:t>ALT</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000000"/>
              <w:rPr>
                <w:rFonts w:ascii="Times New Roman" w:hAnsi="Times New Roman" w:cs="Times New Roman"/>
                <w:b/>
                <w:bCs/>
                <w:color w:val="FFFFFF" w:themeColor="background1"/>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b/>
                <w:bCs/>
                <w:sz w:val="20"/>
                <w:szCs w:val="18"/>
                <w:lang w:bidi="ar-EG"/>
              </w:rPr>
              <w:t>43</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(23)</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43</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(17)</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0.062</w:t>
            </w:r>
          </w:p>
        </w:tc>
      </w:tr>
      <w:tr w:rsidR="00B44AD9" w:rsidRPr="00B44AD9" w:rsidTr="00F8652D">
        <w:trPr>
          <w:cnfStyle w:val="000000100000"/>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r w:rsidRPr="00B44AD9">
              <w:rPr>
                <w:rFonts w:ascii="Times New Roman" w:hAnsi="Times New Roman" w:cs="Times New Roman"/>
                <w:sz w:val="20"/>
                <w:szCs w:val="18"/>
                <w:lang w:bidi="ar-EG"/>
              </w:rPr>
              <w:t>Bilirubin</w:t>
            </w:r>
          </w:p>
        </w:tc>
        <w:tc>
          <w:tcPr>
            <w:tcW w:w="891" w:type="pct"/>
            <w:tcBorders>
              <w:top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b/>
                <w:bCs/>
                <w:sz w:val="20"/>
                <w:szCs w:val="18"/>
                <w:lang w:bidi="ar-EG"/>
              </w:rPr>
              <w:t>2.4</w:t>
            </w:r>
          </w:p>
        </w:tc>
        <w:tc>
          <w:tcPr>
            <w:tcW w:w="479" w:type="pct"/>
            <w:tcBorders>
              <w:top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(2.1)</w:t>
            </w:r>
          </w:p>
        </w:tc>
        <w:tc>
          <w:tcPr>
            <w:tcW w:w="354" w:type="pct"/>
            <w:tcBorders>
              <w:top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1.9</w:t>
            </w:r>
          </w:p>
        </w:tc>
        <w:tc>
          <w:tcPr>
            <w:tcW w:w="501" w:type="pct"/>
            <w:tcBorders>
              <w:top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(1.5)</w:t>
            </w:r>
          </w:p>
        </w:tc>
        <w:tc>
          <w:tcPr>
            <w:tcW w:w="552" w:type="pc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0.0001</w:t>
            </w:r>
          </w:p>
        </w:tc>
      </w:tr>
      <w:tr w:rsidR="00B44AD9" w:rsidRPr="00B44AD9" w:rsidTr="00F8652D">
        <w:trPr>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b w:val="0"/>
                <w:bCs w:val="0"/>
                <w:sz w:val="20"/>
                <w:szCs w:val="18"/>
                <w:lang w:bidi="ar-EG"/>
              </w:rPr>
            </w:pPr>
            <w:r w:rsidRPr="00B44AD9">
              <w:rPr>
                <w:rFonts w:ascii="Times New Roman" w:hAnsi="Times New Roman" w:cs="Times New Roman"/>
                <w:sz w:val="20"/>
                <w:szCs w:val="18"/>
                <w:lang w:bidi="ar-EG"/>
              </w:rPr>
              <w:t>Albumin</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000000"/>
              <w:rPr>
                <w:rFonts w:ascii="Times New Roman" w:hAnsi="Times New Roman" w:cs="Times New Roman"/>
                <w:b/>
                <w:bCs/>
                <w:color w:val="FFFFFF" w:themeColor="background1"/>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b/>
                <w:bCs/>
                <w:sz w:val="20"/>
                <w:szCs w:val="18"/>
                <w:lang w:bidi="ar-EG"/>
              </w:rPr>
              <w:t>2.9</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(1.6)</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3.2</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(1.5)</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0.0001</w:t>
            </w:r>
          </w:p>
        </w:tc>
      </w:tr>
      <w:tr w:rsidR="00B44AD9" w:rsidRPr="00B44AD9" w:rsidTr="00F8652D">
        <w:trPr>
          <w:cnfStyle w:val="000000100000"/>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r w:rsidRPr="00B44AD9">
              <w:rPr>
                <w:rFonts w:ascii="Times New Roman" w:hAnsi="Times New Roman" w:cs="Times New Roman"/>
                <w:sz w:val="20"/>
                <w:szCs w:val="18"/>
                <w:lang w:bidi="ar-EG"/>
              </w:rPr>
              <w:t>INR</w:t>
            </w:r>
            <w:r w:rsidR="00B44AD9" w:rsidRPr="00B44AD9">
              <w:rPr>
                <w:rFonts w:ascii="Times New Roman" w:hAnsi="Times New Roman" w:cs="Times New Roman"/>
                <w:sz w:val="20"/>
                <w:szCs w:val="18"/>
                <w:lang w:bidi="ar-EG"/>
              </w:rPr>
              <w:t xml:space="preserve"> </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b/>
                <w:bCs/>
                <w:sz w:val="20"/>
                <w:szCs w:val="18"/>
                <w:lang w:bidi="ar-EG"/>
              </w:rPr>
              <w:t>1.75</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sz w:val="20"/>
                <w:szCs w:val="18"/>
                <w:lang w:bidi="ar-EG"/>
              </w:rPr>
              <w:t>(1.0)</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1.5</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(0.7)</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0.0001</w:t>
            </w:r>
          </w:p>
        </w:tc>
      </w:tr>
      <w:tr w:rsidR="00B44AD9" w:rsidRPr="00B44AD9" w:rsidTr="00F8652D">
        <w:trPr>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b w:val="0"/>
                <w:bCs w:val="0"/>
                <w:sz w:val="20"/>
                <w:szCs w:val="18"/>
                <w:lang w:bidi="ar-EG"/>
              </w:rPr>
            </w:pPr>
            <w:r w:rsidRPr="00B44AD9">
              <w:rPr>
                <w:rFonts w:ascii="Times New Roman" w:hAnsi="Times New Roman" w:cs="Times New Roman"/>
                <w:sz w:val="20"/>
                <w:szCs w:val="18"/>
                <w:lang w:bidi="ar-EG"/>
              </w:rPr>
              <w:t>PLT</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000000"/>
              <w:rPr>
                <w:rFonts w:ascii="Times New Roman" w:hAnsi="Times New Roman" w:cs="Times New Roman"/>
                <w:b/>
                <w:bCs/>
                <w:color w:val="FFFFFF" w:themeColor="background1"/>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rPr>
            </w:pPr>
            <w:r w:rsidRPr="00B44AD9">
              <w:rPr>
                <w:rFonts w:ascii="Times New Roman" w:hAnsi="Times New Roman" w:cs="Times New Roman"/>
                <w:b/>
                <w:bCs/>
                <w:sz w:val="20"/>
                <w:szCs w:val="18"/>
                <w:lang w:bidi="ar-EG"/>
              </w:rPr>
              <w:t>120</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rPr>
            </w:pPr>
            <w:r w:rsidRPr="00B44AD9">
              <w:rPr>
                <w:rFonts w:ascii="Times New Roman" w:hAnsi="Times New Roman" w:cs="Times New Roman"/>
                <w:sz w:val="20"/>
                <w:szCs w:val="18"/>
                <w:lang w:bidi="ar-EG"/>
              </w:rPr>
              <w:t>(112)</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147</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(125)</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0.0001</w:t>
            </w:r>
          </w:p>
        </w:tc>
      </w:tr>
      <w:tr w:rsidR="00B44AD9" w:rsidRPr="00B44AD9" w:rsidTr="00F8652D">
        <w:trPr>
          <w:cnfStyle w:val="000000100000"/>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r w:rsidRPr="00B44AD9">
              <w:rPr>
                <w:rFonts w:ascii="Times New Roman" w:hAnsi="Times New Roman" w:cs="Times New Roman"/>
                <w:sz w:val="20"/>
                <w:szCs w:val="18"/>
                <w:lang w:bidi="ar-EG"/>
              </w:rPr>
              <w:t>S.creatinine</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b/>
                <w:bCs/>
                <w:sz w:val="20"/>
                <w:szCs w:val="18"/>
                <w:lang w:bidi="ar-EG"/>
              </w:rPr>
              <w:t>0.9</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sz w:val="20"/>
                <w:szCs w:val="18"/>
                <w:lang w:bidi="ar-EG"/>
              </w:rPr>
              <w:t>(0.8)</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0.87</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(0.8)</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0.083</w:t>
            </w:r>
          </w:p>
        </w:tc>
      </w:tr>
      <w:tr w:rsidR="00B44AD9" w:rsidRPr="00B44AD9" w:rsidTr="00F8652D">
        <w:trPr>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b w:val="0"/>
                <w:bCs w:val="0"/>
                <w:sz w:val="20"/>
                <w:szCs w:val="18"/>
                <w:lang w:bidi="ar-EG"/>
              </w:rPr>
            </w:pPr>
            <w:r w:rsidRPr="00B44AD9">
              <w:rPr>
                <w:rFonts w:ascii="Times New Roman" w:hAnsi="Times New Roman" w:cs="Times New Roman"/>
                <w:sz w:val="20"/>
                <w:szCs w:val="18"/>
                <w:lang w:bidi="ar-EG"/>
              </w:rPr>
              <w:t>Hemoglobin</w:t>
            </w:r>
            <w:r w:rsidR="00B44AD9" w:rsidRPr="00B44AD9">
              <w:rPr>
                <w:rFonts w:ascii="Times New Roman" w:hAnsi="Times New Roman" w:cs="Times New Roman"/>
                <w:sz w:val="20"/>
                <w:szCs w:val="18"/>
                <w:lang w:bidi="ar-EG"/>
              </w:rPr>
              <w:t xml:space="preserve"> </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000000"/>
              <w:rPr>
                <w:rFonts w:ascii="Times New Roman" w:hAnsi="Times New Roman" w:cs="Times New Roman"/>
                <w:b/>
                <w:bCs/>
                <w:color w:val="FFFFFF" w:themeColor="background1"/>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rPr>
            </w:pPr>
            <w:r w:rsidRPr="00B44AD9">
              <w:rPr>
                <w:rFonts w:ascii="Times New Roman" w:hAnsi="Times New Roman" w:cs="Times New Roman"/>
                <w:b/>
                <w:bCs/>
                <w:sz w:val="20"/>
                <w:szCs w:val="18"/>
                <w:lang w:bidi="ar-EG"/>
              </w:rPr>
              <w:t>11</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rPr>
            </w:pPr>
            <w:r w:rsidRPr="00B44AD9">
              <w:rPr>
                <w:rFonts w:ascii="Times New Roman" w:hAnsi="Times New Roman" w:cs="Times New Roman"/>
                <w:sz w:val="20"/>
                <w:szCs w:val="18"/>
                <w:lang w:bidi="ar-EG"/>
              </w:rPr>
              <w:t>(2.5)</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11.25</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(2.5)</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0.564</w:t>
            </w:r>
          </w:p>
        </w:tc>
      </w:tr>
      <w:tr w:rsidR="00B44AD9" w:rsidRPr="00B44AD9" w:rsidTr="00F8652D">
        <w:trPr>
          <w:cnfStyle w:val="000000100000"/>
          <w:jc w:val="center"/>
        </w:trPr>
        <w:tc>
          <w:tcPr>
            <w:cnfStyle w:val="00100000000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r w:rsidRPr="00B44AD9">
              <w:rPr>
                <w:rFonts w:ascii="Times New Roman" w:hAnsi="Times New Roman" w:cs="Times New Roman"/>
                <w:sz w:val="20"/>
                <w:szCs w:val="18"/>
                <w:lang w:bidi="ar-EG"/>
              </w:rPr>
              <w:t xml:space="preserve">Follow up </w:t>
            </w:r>
            <w:r w:rsidR="00202180" w:rsidRPr="00B44AD9">
              <w:rPr>
                <w:rFonts w:ascii="Times New Roman" w:hAnsi="Times New Roman" w:cs="Times New Roman"/>
                <w:sz w:val="20"/>
                <w:szCs w:val="18"/>
                <w:lang w:bidi="ar-EG"/>
              </w:rPr>
              <w:t>time (m</w:t>
            </w:r>
            <w:r w:rsidRPr="00B44AD9">
              <w:rPr>
                <w:rFonts w:ascii="Times New Roman" w:hAnsi="Times New Roman" w:cs="Times New Roman"/>
                <w:sz w:val="20"/>
                <w:szCs w:val="18"/>
                <w:lang w:bidi="ar-EG"/>
              </w:rPr>
              <w:t>s)</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sz w:val="20"/>
                <w:szCs w:val="18"/>
              </w:rPr>
            </w:pPr>
            <w:r w:rsidRPr="00B44AD9">
              <w:rPr>
                <w:rFonts w:ascii="Times New Roman" w:hAnsi="Times New Roman" w:cs="Times New Roman"/>
                <w:sz w:val="20"/>
                <w:szCs w:val="18"/>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29</w:t>
            </w:r>
          </w:p>
        </w:tc>
        <w:tc>
          <w:tcPr>
            <w:tcW w:w="479"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25</w:t>
            </w:r>
          </w:p>
        </w:tc>
        <w:tc>
          <w:tcPr>
            <w:tcW w:w="354" w:type="pct"/>
            <w:tcBorders>
              <w:top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30</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31</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0.096</w:t>
            </w:r>
          </w:p>
        </w:tc>
      </w:tr>
      <w:tr w:rsidR="00B44AD9" w:rsidRPr="00B44AD9" w:rsidTr="00F8652D">
        <w:trPr>
          <w:jc w:val="center"/>
        </w:trPr>
        <w:tc>
          <w:tcPr>
            <w:cnfStyle w:val="001000000000"/>
            <w:tcW w:w="1932" w:type="pct"/>
            <w:vMerge w:val="restart"/>
            <w:tcBorders>
              <w:top w:val="single" w:sz="18" w:space="0" w:color="984806" w:themeColor="accent6" w:themeShade="80"/>
              <w:left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r w:rsidRPr="00B44AD9">
              <w:rPr>
                <w:rFonts w:ascii="Times New Roman" w:hAnsi="Times New Roman" w:cs="Times New Roman"/>
                <w:sz w:val="20"/>
                <w:szCs w:val="18"/>
                <w:lang w:bidi="ar-EG"/>
              </w:rPr>
              <w:t>Time to HCC</w:t>
            </w:r>
            <w:r w:rsidR="00202180" w:rsidRPr="00B44AD9">
              <w:rPr>
                <w:rFonts w:ascii="Times New Roman" w:hAnsi="Times New Roman" w:cs="Times New Roman"/>
                <w:sz w:val="20"/>
                <w:szCs w:val="18"/>
                <w:lang w:bidi="ar-EG"/>
              </w:rPr>
              <w:t xml:space="preserve"> (m</w:t>
            </w:r>
            <w:r w:rsidRPr="00B44AD9">
              <w:rPr>
                <w:rFonts w:ascii="Times New Roman" w:hAnsi="Times New Roman" w:cs="Times New Roman"/>
                <w:sz w:val="20"/>
                <w:szCs w:val="18"/>
                <w:lang w:bidi="ar-EG"/>
              </w:rPr>
              <w:t>s)</w:t>
            </w:r>
            <w:r w:rsidRPr="00B44AD9">
              <w:rPr>
                <w:rFonts w:ascii="Times New Roman" w:hAnsi="Times New Roman" w:cs="Times New Roman"/>
                <w:color w:val="auto"/>
                <w:sz w:val="20"/>
                <w:szCs w:val="18"/>
                <w:lang w:bidi="ar-EG"/>
              </w:rPr>
              <w:t>Median (Range)</w:t>
            </w:r>
          </w:p>
        </w:tc>
        <w:tc>
          <w:tcPr>
            <w:tcW w:w="891" w:type="pct"/>
            <w:tcBorders>
              <w:top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DAAs</w:t>
            </w:r>
          </w:p>
        </w:tc>
        <w:tc>
          <w:tcPr>
            <w:tcW w:w="291" w:type="pct"/>
            <w:tcBorders>
              <w:top w:val="single" w:sz="18" w:space="0" w:color="984806" w:themeColor="accent6" w:themeShade="80"/>
              <w:left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 xml:space="preserve">28 </w:t>
            </w:r>
          </w:p>
        </w:tc>
        <w:tc>
          <w:tcPr>
            <w:tcW w:w="479" w:type="pct"/>
            <w:tcBorders>
              <w:top w:val="single" w:sz="18" w:space="0" w:color="984806" w:themeColor="accent6" w:themeShade="80"/>
            </w:tcBorders>
            <w:vAlign w:val="center"/>
          </w:tcPr>
          <w:p w:rsidR="00D21744" w:rsidRPr="00B44AD9" w:rsidRDefault="00D21744" w:rsidP="00F8652D">
            <w:pPr>
              <w:bidi w:val="0"/>
              <w:snapToGrid w:val="0"/>
              <w:jc w:val="both"/>
              <w:cnfStyle w:val="000000000000"/>
              <w:rPr>
                <w:rFonts w:ascii="Times New Roman" w:hAnsi="Times New Roman" w:cs="Times New Roman"/>
                <w:sz w:val="20"/>
                <w:szCs w:val="18"/>
                <w:lang w:bidi="ar-EG"/>
              </w:rPr>
            </w:pPr>
            <w:r w:rsidRPr="00B44AD9">
              <w:rPr>
                <w:rFonts w:ascii="Times New Roman" w:hAnsi="Times New Roman" w:cs="Times New Roman"/>
                <w:sz w:val="20"/>
                <w:szCs w:val="18"/>
                <w:lang w:bidi="ar-EG"/>
              </w:rPr>
              <w:t>(25)</w:t>
            </w:r>
          </w:p>
        </w:tc>
        <w:tc>
          <w:tcPr>
            <w:tcW w:w="354" w:type="pct"/>
            <w:tcBorders>
              <w:top w:val="single" w:sz="18" w:space="0" w:color="984806" w:themeColor="accent6" w:themeShade="80"/>
            </w:tcBorders>
            <w:shd w:val="clear" w:color="auto" w:fill="FFFFFF" w:themeFill="background1"/>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p>
        </w:tc>
        <w:tc>
          <w:tcPr>
            <w:tcW w:w="501" w:type="pct"/>
            <w:tcBorders>
              <w:top w:val="single" w:sz="18" w:space="0" w:color="984806" w:themeColor="accent6" w:themeShade="80"/>
              <w:right w:val="single" w:sz="18" w:space="0" w:color="984806" w:themeColor="accent6" w:themeShade="80"/>
            </w:tcBorders>
            <w:shd w:val="clear" w:color="auto" w:fill="FFFFFF" w:themeFill="background1"/>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p>
        </w:tc>
        <w:tc>
          <w:tcPr>
            <w:tcW w:w="552" w:type="pct"/>
            <w:vMerge w:val="restar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000000"/>
              <w:rPr>
                <w:rFonts w:ascii="Times New Roman" w:hAnsi="Times New Roman" w:cs="Times New Roman"/>
                <w:b/>
                <w:bCs/>
                <w:sz w:val="20"/>
                <w:szCs w:val="18"/>
                <w:lang w:bidi="ar-EG"/>
              </w:rPr>
            </w:pPr>
            <w:r w:rsidRPr="00B44AD9">
              <w:rPr>
                <w:rFonts w:ascii="Times New Roman" w:hAnsi="Times New Roman" w:cs="Times New Roman"/>
                <w:b/>
                <w:bCs/>
                <w:sz w:val="20"/>
                <w:szCs w:val="18"/>
                <w:lang w:bidi="ar-EG"/>
              </w:rPr>
              <w:t>0.302</w:t>
            </w:r>
          </w:p>
        </w:tc>
      </w:tr>
      <w:tr w:rsidR="00B44AD9" w:rsidRPr="00B44AD9" w:rsidTr="00F8652D">
        <w:trPr>
          <w:cnfStyle w:val="000000100000"/>
          <w:jc w:val="center"/>
        </w:trPr>
        <w:tc>
          <w:tcPr>
            <w:cnfStyle w:val="001000000000"/>
            <w:tcW w:w="1932" w:type="pct"/>
            <w:vMerge/>
            <w:tcBorders>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rPr>
                <w:rFonts w:ascii="Times New Roman" w:hAnsi="Times New Roman" w:cs="Times New Roman"/>
                <w:sz w:val="20"/>
                <w:szCs w:val="18"/>
                <w:lang w:bidi="ar-EG"/>
              </w:rPr>
            </w:pPr>
          </w:p>
        </w:tc>
        <w:tc>
          <w:tcPr>
            <w:tcW w:w="891" w:type="pct"/>
            <w:tcBorders>
              <w:bottom w:val="single" w:sz="18" w:space="0" w:color="984806" w:themeColor="accent6" w:themeShade="80"/>
              <w:right w:val="single" w:sz="18" w:space="0" w:color="984806" w:themeColor="accent6" w:themeShade="80"/>
            </w:tcBorders>
            <w:shd w:val="clear" w:color="auto" w:fill="F79646" w:themeFill="accent6"/>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Peg-IFN</w:t>
            </w:r>
          </w:p>
        </w:tc>
        <w:tc>
          <w:tcPr>
            <w:tcW w:w="291" w:type="pct"/>
            <w:tcBorders>
              <w:left w:val="single" w:sz="18" w:space="0" w:color="984806" w:themeColor="accent6" w:themeShade="80"/>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 xml:space="preserve">29 </w:t>
            </w:r>
          </w:p>
        </w:tc>
        <w:tc>
          <w:tcPr>
            <w:tcW w:w="479" w:type="pct"/>
            <w:tcBorders>
              <w:bottom w:val="single" w:sz="18" w:space="0" w:color="984806" w:themeColor="accent6" w:themeShade="80"/>
            </w:tcBorders>
            <w:vAlign w:val="center"/>
          </w:tcPr>
          <w:p w:rsidR="00D21744" w:rsidRPr="00B44AD9" w:rsidRDefault="00D21744" w:rsidP="00F8652D">
            <w:pPr>
              <w:bidi w:val="0"/>
              <w:snapToGrid w:val="0"/>
              <w:jc w:val="both"/>
              <w:cnfStyle w:val="000000100000"/>
              <w:rPr>
                <w:rFonts w:ascii="Times New Roman" w:hAnsi="Times New Roman" w:cs="Times New Roman"/>
                <w:sz w:val="20"/>
                <w:szCs w:val="18"/>
                <w:lang w:bidi="ar-EG"/>
              </w:rPr>
            </w:pPr>
            <w:r w:rsidRPr="00B44AD9">
              <w:rPr>
                <w:rFonts w:ascii="Times New Roman" w:hAnsi="Times New Roman" w:cs="Times New Roman"/>
                <w:sz w:val="20"/>
                <w:szCs w:val="18"/>
                <w:lang w:bidi="ar-EG"/>
              </w:rPr>
              <w:t>(25)</w:t>
            </w:r>
          </w:p>
        </w:tc>
        <w:tc>
          <w:tcPr>
            <w:tcW w:w="354" w:type="pct"/>
            <w:tcBorders>
              <w:bottom w:val="single" w:sz="18" w:space="0" w:color="984806" w:themeColor="accent6" w:themeShade="80"/>
            </w:tcBorders>
            <w:shd w:val="clear" w:color="auto" w:fill="FFFFFF" w:themeFill="background1"/>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p>
        </w:tc>
        <w:tc>
          <w:tcPr>
            <w:tcW w:w="501" w:type="pct"/>
            <w:tcBorders>
              <w:bottom w:val="single" w:sz="18" w:space="0" w:color="984806" w:themeColor="accent6" w:themeShade="80"/>
              <w:right w:val="single" w:sz="18" w:space="0" w:color="984806" w:themeColor="accent6" w:themeShade="80"/>
            </w:tcBorders>
            <w:shd w:val="clear" w:color="auto" w:fill="FFFFFF" w:themeFill="background1"/>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p>
        </w:tc>
        <w:tc>
          <w:tcPr>
            <w:tcW w:w="552" w:type="pct"/>
            <w:vMerge/>
            <w:tcBorders>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D21744" w:rsidRPr="00B44AD9" w:rsidRDefault="00D21744" w:rsidP="00F8652D">
            <w:pPr>
              <w:bidi w:val="0"/>
              <w:snapToGrid w:val="0"/>
              <w:jc w:val="both"/>
              <w:cnfStyle w:val="000000100000"/>
              <w:rPr>
                <w:rFonts w:ascii="Times New Roman" w:hAnsi="Times New Roman" w:cs="Times New Roman"/>
                <w:b/>
                <w:bCs/>
                <w:sz w:val="20"/>
                <w:szCs w:val="18"/>
                <w:lang w:bidi="ar-EG"/>
              </w:rPr>
            </w:pPr>
          </w:p>
        </w:tc>
      </w:tr>
    </w:tbl>
    <w:p w:rsidR="00F8652D" w:rsidRDefault="00F8652D" w:rsidP="00F8652D">
      <w:pPr>
        <w:shd w:val="clear" w:color="auto" w:fill="FFFFFF"/>
        <w:bidi w:val="0"/>
        <w:snapToGrid w:val="0"/>
        <w:spacing w:after="0" w:line="240" w:lineRule="auto"/>
        <w:ind w:firstLine="425"/>
        <w:jc w:val="both"/>
        <w:rPr>
          <w:rFonts w:ascii="Times New Roman" w:hAnsi="Times New Roman" w:cs="Times New Roman"/>
          <w:i/>
          <w:iCs/>
          <w:sz w:val="20"/>
          <w:szCs w:val="20"/>
          <w:lang w:bidi="ar-EG"/>
        </w:rPr>
        <w:sectPr w:rsidR="00F8652D" w:rsidSect="00B44AD9">
          <w:type w:val="continuous"/>
          <w:pgSz w:w="12242" w:h="15842" w:code="1"/>
          <w:pgMar w:top="1440" w:right="1440" w:bottom="1440" w:left="1440" w:header="720" w:footer="720" w:gutter="0"/>
          <w:cols w:space="720"/>
          <w:docGrid w:linePitch="360"/>
        </w:sectPr>
      </w:pPr>
    </w:p>
    <w:p w:rsidR="00D22DCF" w:rsidRPr="00B44AD9" w:rsidRDefault="00D22DCF" w:rsidP="00F8652D">
      <w:pPr>
        <w:shd w:val="clear" w:color="auto" w:fill="FFFFFF"/>
        <w:bidi w:val="0"/>
        <w:snapToGrid w:val="0"/>
        <w:spacing w:after="0" w:line="240" w:lineRule="auto"/>
        <w:ind w:firstLine="425"/>
        <w:jc w:val="both"/>
        <w:rPr>
          <w:rFonts w:ascii="Times New Roman" w:hAnsi="Times New Roman" w:cs="Times New Roman"/>
          <w:i/>
          <w:iCs/>
          <w:sz w:val="20"/>
          <w:szCs w:val="20"/>
          <w:lang w:bidi="ar-EG"/>
        </w:rPr>
      </w:pPr>
    </w:p>
    <w:p w:rsidR="00520406" w:rsidRPr="00B44AD9" w:rsidRDefault="00520406" w:rsidP="00F8652D">
      <w:pPr>
        <w:shd w:val="clear" w:color="auto" w:fill="FFFFFF"/>
        <w:bidi w:val="0"/>
        <w:snapToGrid w:val="0"/>
        <w:spacing w:after="0" w:line="240" w:lineRule="auto"/>
        <w:jc w:val="center"/>
        <w:rPr>
          <w:rFonts w:ascii="Times New Roman" w:hAnsi="Times New Roman" w:cs="Times New Roman"/>
          <w:b/>
          <w:bCs/>
          <w:sz w:val="20"/>
          <w:szCs w:val="18"/>
          <w:lang w:bidi="ar-EG"/>
        </w:rPr>
      </w:pPr>
      <w:r w:rsidRPr="00B44AD9">
        <w:rPr>
          <w:rFonts w:ascii="Times New Roman" w:hAnsi="Times New Roman" w:cs="Times New Roman"/>
          <w:b/>
          <w:bCs/>
          <w:color w:val="000000"/>
          <w:sz w:val="20"/>
          <w:szCs w:val="18"/>
        </w:rPr>
        <w:t>Table 2: Univariable logistic regression for studied risk factors</w:t>
      </w:r>
    </w:p>
    <w:tbl>
      <w:tblPr>
        <w:tblStyle w:val="MediumGrid3-Accent6"/>
        <w:tblW w:w="5000" w:type="pct"/>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6" w:space="0" w:color="984806" w:themeColor="accent6" w:themeShade="80"/>
          <w:insideV w:val="single" w:sz="6" w:space="0" w:color="984806" w:themeColor="accent6" w:themeShade="80"/>
        </w:tblBorders>
        <w:tblCellMar>
          <w:left w:w="57" w:type="dxa"/>
          <w:right w:w="57" w:type="dxa"/>
        </w:tblCellMar>
        <w:tblLook w:val="04A0"/>
      </w:tblPr>
      <w:tblGrid>
        <w:gridCol w:w="1886"/>
        <w:gridCol w:w="1509"/>
        <w:gridCol w:w="608"/>
        <w:gridCol w:w="631"/>
        <w:gridCol w:w="639"/>
        <w:gridCol w:w="915"/>
        <w:gridCol w:w="671"/>
        <w:gridCol w:w="788"/>
        <w:gridCol w:w="682"/>
        <w:gridCol w:w="1147"/>
      </w:tblGrid>
      <w:tr w:rsidR="00B44AD9" w:rsidRPr="00F8652D" w:rsidTr="00F8652D">
        <w:trPr>
          <w:cnfStyle w:val="100000000000"/>
          <w:jc w:val="center"/>
        </w:trPr>
        <w:tc>
          <w:tcPr>
            <w:cnfStyle w:val="001000000000"/>
            <w:tcW w:w="1791" w:type="pct"/>
            <w:gridSpan w:val="2"/>
            <w:vMerge w:val="restart"/>
            <w:tcBorders>
              <w:top w:val="single" w:sz="18" w:space="0" w:color="984806" w:themeColor="accent6" w:themeShade="80"/>
            </w:tcBorders>
            <w:vAlign w:val="center"/>
          </w:tcPr>
          <w:p w:rsidR="00D21744" w:rsidRPr="00F8652D" w:rsidRDefault="00D21744" w:rsidP="00F8652D">
            <w:pPr>
              <w:autoSpaceDE w:val="0"/>
              <w:autoSpaceDN w:val="0"/>
              <w:bidi w:val="0"/>
              <w:adjustRightInd w:val="0"/>
              <w:snapToGrid w:val="0"/>
              <w:jc w:val="both"/>
              <w:rPr>
                <w:rFonts w:ascii="Times New Roman" w:hAnsi="Times New Roman" w:cs="Times New Roman"/>
                <w:sz w:val="20"/>
                <w:szCs w:val="19"/>
                <w:lang w:bidi="ar-EG"/>
              </w:rPr>
            </w:pPr>
          </w:p>
        </w:tc>
        <w:tc>
          <w:tcPr>
            <w:tcW w:w="1473" w:type="pct"/>
            <w:gridSpan w:val="4"/>
            <w:tcBorders>
              <w:top w:val="single" w:sz="18" w:space="0" w:color="984806" w:themeColor="accent6" w:themeShade="80"/>
            </w:tcBorders>
            <w:vAlign w:val="center"/>
          </w:tcPr>
          <w:p w:rsidR="00D21744" w:rsidRPr="00F8652D" w:rsidRDefault="00D21744" w:rsidP="00F8652D">
            <w:pPr>
              <w:bidi w:val="0"/>
              <w:snapToGrid w:val="0"/>
              <w:jc w:val="both"/>
              <w:cnfStyle w:val="100000000000"/>
              <w:rPr>
                <w:rFonts w:ascii="Times New Roman" w:hAnsi="Times New Roman" w:cs="Times New Roman"/>
                <w:b w:val="0"/>
                <w:bCs w:val="0"/>
                <w:sz w:val="20"/>
                <w:szCs w:val="19"/>
                <w:lang w:bidi="ar-EG"/>
              </w:rPr>
            </w:pPr>
            <w:r w:rsidRPr="00F8652D">
              <w:rPr>
                <w:rFonts w:ascii="Times New Roman" w:hAnsi="Times New Roman" w:cs="Times New Roman"/>
                <w:sz w:val="20"/>
                <w:szCs w:val="19"/>
                <w:lang w:bidi="ar-EG"/>
              </w:rPr>
              <w:t>Grouping</w:t>
            </w:r>
          </w:p>
        </w:tc>
        <w:tc>
          <w:tcPr>
            <w:tcW w:w="1736" w:type="pct"/>
            <w:gridSpan w:val="4"/>
            <w:tcBorders>
              <w:top w:val="single" w:sz="18" w:space="0" w:color="984806" w:themeColor="accent6" w:themeShade="80"/>
            </w:tcBorders>
            <w:shd w:val="clear" w:color="auto" w:fill="C2D69B" w:themeFill="accent3" w:themeFillTint="99"/>
            <w:vAlign w:val="center"/>
          </w:tcPr>
          <w:p w:rsidR="00D21744" w:rsidRPr="00F8652D" w:rsidRDefault="00D21744" w:rsidP="00F8652D">
            <w:pPr>
              <w:bidi w:val="0"/>
              <w:snapToGrid w:val="0"/>
              <w:jc w:val="both"/>
              <w:cnfStyle w:val="100000000000"/>
              <w:rPr>
                <w:rFonts w:ascii="Times New Roman" w:hAnsi="Times New Roman" w:cs="Times New Roman"/>
                <w:b w:val="0"/>
                <w:bCs w:val="0"/>
                <w:sz w:val="20"/>
                <w:szCs w:val="19"/>
                <w:lang w:bidi="ar-EG"/>
              </w:rPr>
            </w:pPr>
            <w:r w:rsidRPr="00F8652D">
              <w:rPr>
                <w:rFonts w:ascii="Times New Roman" w:hAnsi="Times New Roman" w:cs="Times New Roman"/>
                <w:sz w:val="20"/>
                <w:szCs w:val="19"/>
                <w:lang w:bidi="ar-EG"/>
              </w:rPr>
              <w:t>Statistics</w:t>
            </w:r>
          </w:p>
        </w:tc>
      </w:tr>
      <w:tr w:rsidR="00F8652D" w:rsidRPr="00F8652D" w:rsidTr="00F8652D">
        <w:trPr>
          <w:cnfStyle w:val="000000100000"/>
          <w:jc w:val="center"/>
        </w:trPr>
        <w:tc>
          <w:tcPr>
            <w:cnfStyle w:val="001000000000"/>
            <w:tcW w:w="1791" w:type="pct"/>
            <w:gridSpan w:val="2"/>
            <w:vMerge/>
            <w:vAlign w:val="center"/>
          </w:tcPr>
          <w:p w:rsidR="00E65991" w:rsidRPr="00F8652D" w:rsidRDefault="00E65991" w:rsidP="00F8652D">
            <w:pPr>
              <w:bidi w:val="0"/>
              <w:snapToGrid w:val="0"/>
              <w:jc w:val="both"/>
              <w:rPr>
                <w:rFonts w:ascii="Times New Roman" w:hAnsi="Times New Roman" w:cs="Times New Roman"/>
                <w:sz w:val="20"/>
                <w:szCs w:val="19"/>
                <w:lang w:bidi="ar-EG"/>
              </w:rPr>
            </w:pPr>
          </w:p>
        </w:tc>
        <w:tc>
          <w:tcPr>
            <w:tcW w:w="654" w:type="pct"/>
            <w:gridSpan w:val="2"/>
            <w:shd w:val="clear" w:color="auto" w:fill="F79646" w:themeFill="accent6"/>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HCC</w:t>
            </w:r>
            <w:r w:rsidR="00F8652D" w:rsidRPr="00F8652D">
              <w:rPr>
                <w:rFonts w:ascii="Times New Roman" w:hAnsi="Times New Roman" w:cs="Times New Roman" w:hint="eastAsia"/>
                <w:b/>
                <w:bCs/>
                <w:sz w:val="20"/>
                <w:szCs w:val="19"/>
                <w:lang w:eastAsia="zh-CN" w:bidi="ar-EG"/>
              </w:rPr>
              <w:t xml:space="preserve"> </w:t>
            </w:r>
            <w:r w:rsidRPr="00F8652D">
              <w:rPr>
                <w:rFonts w:ascii="Times New Roman" w:hAnsi="Times New Roman" w:cs="Times New Roman"/>
                <w:b/>
                <w:bCs/>
                <w:sz w:val="20"/>
                <w:szCs w:val="19"/>
                <w:lang w:bidi="ar-EG"/>
              </w:rPr>
              <w:t>N=150</w:t>
            </w:r>
          </w:p>
        </w:tc>
        <w:tc>
          <w:tcPr>
            <w:tcW w:w="819" w:type="pct"/>
            <w:gridSpan w:val="2"/>
            <w:shd w:val="clear" w:color="auto" w:fill="F79646" w:themeFill="accent6"/>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No HCC</w:t>
            </w:r>
            <w:r w:rsidR="00F8652D" w:rsidRPr="00F8652D">
              <w:rPr>
                <w:rFonts w:ascii="Times New Roman" w:hAnsi="Times New Roman" w:cs="Times New Roman" w:hint="eastAsia"/>
                <w:b/>
                <w:bCs/>
                <w:sz w:val="20"/>
                <w:szCs w:val="19"/>
                <w:lang w:eastAsia="zh-CN" w:bidi="ar-EG"/>
              </w:rPr>
              <w:t xml:space="preserve"> </w:t>
            </w:r>
            <w:r w:rsidRPr="00F8652D">
              <w:rPr>
                <w:rFonts w:ascii="Times New Roman" w:hAnsi="Times New Roman" w:cs="Times New Roman"/>
                <w:b/>
                <w:bCs/>
                <w:sz w:val="20"/>
                <w:szCs w:val="19"/>
                <w:lang w:bidi="ar-EG"/>
              </w:rPr>
              <w:t>N=600</w:t>
            </w:r>
          </w:p>
        </w:tc>
        <w:tc>
          <w:tcPr>
            <w:tcW w:w="354" w:type="pc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B</w:t>
            </w:r>
          </w:p>
        </w:tc>
        <w:tc>
          <w:tcPr>
            <w:tcW w:w="416" w:type="pc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P value</w:t>
            </w:r>
          </w:p>
        </w:tc>
        <w:tc>
          <w:tcPr>
            <w:tcW w:w="360" w:type="pc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Exp.B</w:t>
            </w:r>
          </w:p>
        </w:tc>
        <w:tc>
          <w:tcPr>
            <w:tcW w:w="606" w:type="pc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95% CI</w:t>
            </w:r>
          </w:p>
        </w:tc>
      </w:tr>
      <w:tr w:rsidR="00F8652D" w:rsidRPr="00F8652D" w:rsidTr="00F8652D">
        <w:trPr>
          <w:jc w:val="center"/>
        </w:trPr>
        <w:tc>
          <w:tcPr>
            <w:cnfStyle w:val="001000000000"/>
            <w:tcW w:w="995" w:type="pct"/>
            <w:vAlign w:val="center"/>
          </w:tcPr>
          <w:p w:rsidR="00E65991" w:rsidRPr="00F8652D" w:rsidRDefault="00E65991" w:rsidP="00F8652D">
            <w:pPr>
              <w:autoSpaceDE w:val="0"/>
              <w:autoSpaceDN w:val="0"/>
              <w:bidi w:val="0"/>
              <w:adjustRightInd w:val="0"/>
              <w:snapToGrid w:val="0"/>
              <w:jc w:val="both"/>
              <w:rPr>
                <w:rFonts w:ascii="Times New Roman" w:hAnsi="Times New Roman" w:cs="Times New Roman"/>
                <w:color w:val="000000"/>
                <w:sz w:val="20"/>
                <w:szCs w:val="19"/>
              </w:rPr>
            </w:pPr>
            <w:r w:rsidRPr="00F8652D">
              <w:rPr>
                <w:rFonts w:ascii="Times New Roman" w:hAnsi="Times New Roman" w:cs="Times New Roman"/>
                <w:color w:val="000000"/>
                <w:sz w:val="20"/>
                <w:szCs w:val="19"/>
              </w:rPr>
              <w:t>FIB4 score</w:t>
            </w:r>
          </w:p>
        </w:tc>
        <w:tc>
          <w:tcPr>
            <w:tcW w:w="796" w:type="pct"/>
            <w:shd w:val="clear" w:color="auto" w:fill="F79646" w:themeFill="accent6"/>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sz w:val="20"/>
                <w:szCs w:val="19"/>
                <w:lang w:bidi="ar-EG"/>
              </w:rPr>
              <w:t>Median (Range)</w:t>
            </w:r>
          </w:p>
        </w:tc>
        <w:tc>
          <w:tcPr>
            <w:tcW w:w="321" w:type="pct"/>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4.19</w:t>
            </w:r>
          </w:p>
        </w:tc>
        <w:tc>
          <w:tcPr>
            <w:tcW w:w="333" w:type="pct"/>
            <w:vAlign w:val="center"/>
          </w:tcPr>
          <w:p w:rsidR="00E65991" w:rsidRPr="00F8652D" w:rsidRDefault="00E65991" w:rsidP="00F8652D">
            <w:pPr>
              <w:bidi w:val="0"/>
              <w:snapToGrid w:val="0"/>
              <w:jc w:val="both"/>
              <w:cnfStyle w:val="000000000000"/>
              <w:rPr>
                <w:rFonts w:ascii="Times New Roman" w:hAnsi="Times New Roman" w:cs="Times New Roman"/>
                <w:sz w:val="20"/>
                <w:szCs w:val="19"/>
                <w:lang w:bidi="ar-EG"/>
              </w:rPr>
            </w:pPr>
            <w:r w:rsidRPr="00F8652D">
              <w:rPr>
                <w:rFonts w:ascii="Times New Roman" w:hAnsi="Times New Roman" w:cs="Times New Roman"/>
                <w:sz w:val="20"/>
                <w:szCs w:val="19"/>
                <w:lang w:bidi="ar-EG"/>
              </w:rPr>
              <w:t>5.76</w:t>
            </w:r>
          </w:p>
        </w:tc>
        <w:tc>
          <w:tcPr>
            <w:tcW w:w="337" w:type="pct"/>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1.98</w:t>
            </w:r>
          </w:p>
        </w:tc>
        <w:tc>
          <w:tcPr>
            <w:tcW w:w="483" w:type="pct"/>
            <w:vAlign w:val="center"/>
          </w:tcPr>
          <w:p w:rsidR="00E65991" w:rsidRPr="00F8652D" w:rsidRDefault="00E65991" w:rsidP="00F8652D">
            <w:pPr>
              <w:bidi w:val="0"/>
              <w:snapToGrid w:val="0"/>
              <w:jc w:val="both"/>
              <w:cnfStyle w:val="000000000000"/>
              <w:rPr>
                <w:rFonts w:ascii="Times New Roman" w:hAnsi="Times New Roman" w:cs="Times New Roman"/>
                <w:sz w:val="20"/>
                <w:szCs w:val="19"/>
                <w:lang w:bidi="ar-EG"/>
              </w:rPr>
            </w:pPr>
            <w:r w:rsidRPr="00F8652D">
              <w:rPr>
                <w:rFonts w:ascii="Times New Roman" w:hAnsi="Times New Roman" w:cs="Times New Roman"/>
                <w:sz w:val="20"/>
                <w:szCs w:val="19"/>
                <w:lang w:bidi="ar-EG"/>
              </w:rPr>
              <w:t>3.1</w:t>
            </w:r>
          </w:p>
        </w:tc>
        <w:tc>
          <w:tcPr>
            <w:tcW w:w="354" w:type="pct"/>
            <w:shd w:val="clear" w:color="auto" w:fill="C2D69B" w:themeFill="accent3" w:themeFillTint="99"/>
            <w:vAlign w:val="center"/>
          </w:tcPr>
          <w:p w:rsidR="00E65991" w:rsidRPr="00F8652D" w:rsidRDefault="00A10775"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0.807</w:t>
            </w:r>
          </w:p>
        </w:tc>
        <w:tc>
          <w:tcPr>
            <w:tcW w:w="416" w:type="pct"/>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0.0001</w:t>
            </w:r>
          </w:p>
        </w:tc>
        <w:tc>
          <w:tcPr>
            <w:tcW w:w="360" w:type="pct"/>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2.240</w:t>
            </w:r>
          </w:p>
        </w:tc>
        <w:tc>
          <w:tcPr>
            <w:tcW w:w="606" w:type="pct"/>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1.930-2.601</w:t>
            </w:r>
          </w:p>
        </w:tc>
      </w:tr>
      <w:tr w:rsidR="00F8652D" w:rsidRPr="00F8652D" w:rsidTr="00F8652D">
        <w:trPr>
          <w:cnfStyle w:val="000000100000"/>
          <w:jc w:val="center"/>
        </w:trPr>
        <w:tc>
          <w:tcPr>
            <w:cnfStyle w:val="001000000000"/>
            <w:tcW w:w="995" w:type="pct"/>
            <w:vAlign w:val="center"/>
          </w:tcPr>
          <w:p w:rsidR="00E65991" w:rsidRPr="00F8652D" w:rsidRDefault="00E65991" w:rsidP="00F8652D">
            <w:pPr>
              <w:autoSpaceDE w:val="0"/>
              <w:autoSpaceDN w:val="0"/>
              <w:bidi w:val="0"/>
              <w:adjustRightInd w:val="0"/>
              <w:snapToGrid w:val="0"/>
              <w:jc w:val="both"/>
              <w:rPr>
                <w:rFonts w:ascii="Times New Roman" w:hAnsi="Times New Roman" w:cs="Times New Roman"/>
                <w:color w:val="000000"/>
                <w:sz w:val="20"/>
                <w:szCs w:val="19"/>
              </w:rPr>
            </w:pPr>
            <w:r w:rsidRPr="00F8652D">
              <w:rPr>
                <w:rFonts w:ascii="Times New Roman" w:hAnsi="Times New Roman" w:cs="Times New Roman"/>
                <w:color w:val="000000"/>
                <w:sz w:val="20"/>
                <w:szCs w:val="19"/>
              </w:rPr>
              <w:t>Child score</w:t>
            </w:r>
          </w:p>
        </w:tc>
        <w:tc>
          <w:tcPr>
            <w:tcW w:w="796" w:type="pct"/>
            <w:shd w:val="clear" w:color="auto" w:fill="F79646" w:themeFill="accent6"/>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sz w:val="20"/>
                <w:szCs w:val="19"/>
                <w:lang w:bidi="ar-EG"/>
              </w:rPr>
              <w:t>Median (Range)</w:t>
            </w:r>
          </w:p>
        </w:tc>
        <w:tc>
          <w:tcPr>
            <w:tcW w:w="321" w:type="pct"/>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9</w:t>
            </w:r>
          </w:p>
        </w:tc>
        <w:tc>
          <w:tcPr>
            <w:tcW w:w="333" w:type="pct"/>
            <w:vAlign w:val="center"/>
          </w:tcPr>
          <w:p w:rsidR="00E65991" w:rsidRPr="00F8652D" w:rsidRDefault="00E65991" w:rsidP="00F8652D">
            <w:pPr>
              <w:bidi w:val="0"/>
              <w:snapToGrid w:val="0"/>
              <w:jc w:val="both"/>
              <w:cnfStyle w:val="000000100000"/>
              <w:rPr>
                <w:rFonts w:ascii="Times New Roman" w:hAnsi="Times New Roman" w:cs="Times New Roman"/>
                <w:sz w:val="20"/>
                <w:szCs w:val="19"/>
                <w:lang w:bidi="ar-EG"/>
              </w:rPr>
            </w:pPr>
            <w:r w:rsidRPr="00F8652D">
              <w:rPr>
                <w:rFonts w:ascii="Times New Roman" w:hAnsi="Times New Roman" w:cs="Times New Roman"/>
                <w:sz w:val="20"/>
                <w:szCs w:val="19"/>
                <w:lang w:bidi="ar-EG"/>
              </w:rPr>
              <w:t>5</w:t>
            </w:r>
          </w:p>
        </w:tc>
        <w:tc>
          <w:tcPr>
            <w:tcW w:w="337" w:type="pct"/>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6</w:t>
            </w:r>
          </w:p>
        </w:tc>
        <w:tc>
          <w:tcPr>
            <w:tcW w:w="483" w:type="pct"/>
            <w:vAlign w:val="center"/>
          </w:tcPr>
          <w:p w:rsidR="00E65991" w:rsidRPr="00F8652D" w:rsidRDefault="00E65991" w:rsidP="00F8652D">
            <w:pPr>
              <w:bidi w:val="0"/>
              <w:snapToGrid w:val="0"/>
              <w:jc w:val="both"/>
              <w:cnfStyle w:val="000000100000"/>
              <w:rPr>
                <w:rFonts w:ascii="Times New Roman" w:hAnsi="Times New Roman" w:cs="Times New Roman"/>
                <w:sz w:val="20"/>
                <w:szCs w:val="19"/>
                <w:lang w:bidi="ar-EG"/>
              </w:rPr>
            </w:pPr>
            <w:r w:rsidRPr="00F8652D">
              <w:rPr>
                <w:rFonts w:ascii="Times New Roman" w:hAnsi="Times New Roman" w:cs="Times New Roman"/>
                <w:sz w:val="20"/>
                <w:szCs w:val="19"/>
                <w:lang w:bidi="ar-EG"/>
              </w:rPr>
              <w:t>5</w:t>
            </w:r>
          </w:p>
        </w:tc>
        <w:tc>
          <w:tcPr>
            <w:tcW w:w="354" w:type="pct"/>
            <w:shd w:val="clear" w:color="auto" w:fill="C2D69B" w:themeFill="accent3" w:themeFillTint="99"/>
            <w:vAlign w:val="center"/>
          </w:tcPr>
          <w:p w:rsidR="00E65991" w:rsidRPr="00F8652D" w:rsidRDefault="00A10775"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0.719</w:t>
            </w:r>
          </w:p>
        </w:tc>
        <w:tc>
          <w:tcPr>
            <w:tcW w:w="416" w:type="pc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0.0001</w:t>
            </w:r>
          </w:p>
        </w:tc>
        <w:tc>
          <w:tcPr>
            <w:tcW w:w="360" w:type="pc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2.051</w:t>
            </w:r>
          </w:p>
        </w:tc>
        <w:tc>
          <w:tcPr>
            <w:tcW w:w="606" w:type="pc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1.755-2.370</w:t>
            </w:r>
          </w:p>
        </w:tc>
      </w:tr>
      <w:tr w:rsidR="00F8652D" w:rsidRPr="00F8652D" w:rsidTr="00F8652D">
        <w:trPr>
          <w:jc w:val="center"/>
        </w:trPr>
        <w:tc>
          <w:tcPr>
            <w:cnfStyle w:val="001000000000"/>
            <w:tcW w:w="995" w:type="pct"/>
            <w:vAlign w:val="center"/>
          </w:tcPr>
          <w:p w:rsidR="00E65991" w:rsidRPr="00F8652D" w:rsidRDefault="00E65991" w:rsidP="00F8652D">
            <w:pPr>
              <w:autoSpaceDE w:val="0"/>
              <w:autoSpaceDN w:val="0"/>
              <w:bidi w:val="0"/>
              <w:adjustRightInd w:val="0"/>
              <w:snapToGrid w:val="0"/>
              <w:jc w:val="both"/>
              <w:rPr>
                <w:rFonts w:ascii="Times New Roman" w:hAnsi="Times New Roman" w:cs="Times New Roman"/>
                <w:color w:val="000000"/>
                <w:sz w:val="20"/>
                <w:szCs w:val="19"/>
              </w:rPr>
            </w:pPr>
            <w:r w:rsidRPr="00F8652D">
              <w:rPr>
                <w:rFonts w:ascii="Times New Roman" w:hAnsi="Times New Roman" w:cs="Times New Roman"/>
                <w:color w:val="000000"/>
                <w:sz w:val="20"/>
                <w:szCs w:val="19"/>
              </w:rPr>
              <w:t>MELD score</w:t>
            </w:r>
          </w:p>
        </w:tc>
        <w:tc>
          <w:tcPr>
            <w:tcW w:w="796" w:type="pct"/>
            <w:shd w:val="clear" w:color="auto" w:fill="F79646" w:themeFill="accent6"/>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sz w:val="20"/>
                <w:szCs w:val="19"/>
                <w:lang w:bidi="ar-EG"/>
              </w:rPr>
              <w:t>Median (Range)</w:t>
            </w:r>
          </w:p>
        </w:tc>
        <w:tc>
          <w:tcPr>
            <w:tcW w:w="321" w:type="pct"/>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13.6</w:t>
            </w:r>
          </w:p>
        </w:tc>
        <w:tc>
          <w:tcPr>
            <w:tcW w:w="333" w:type="pct"/>
            <w:vAlign w:val="center"/>
          </w:tcPr>
          <w:p w:rsidR="00E65991" w:rsidRPr="00F8652D" w:rsidRDefault="00E65991" w:rsidP="00F8652D">
            <w:pPr>
              <w:bidi w:val="0"/>
              <w:snapToGrid w:val="0"/>
              <w:jc w:val="both"/>
              <w:cnfStyle w:val="000000000000"/>
              <w:rPr>
                <w:rFonts w:ascii="Times New Roman" w:hAnsi="Times New Roman" w:cs="Times New Roman"/>
                <w:sz w:val="20"/>
                <w:szCs w:val="19"/>
                <w:lang w:bidi="ar-EG"/>
              </w:rPr>
            </w:pPr>
            <w:r w:rsidRPr="00F8652D">
              <w:rPr>
                <w:rFonts w:ascii="Times New Roman" w:hAnsi="Times New Roman" w:cs="Times New Roman"/>
                <w:sz w:val="20"/>
                <w:szCs w:val="19"/>
                <w:lang w:bidi="ar-EG"/>
              </w:rPr>
              <w:t>9.2</w:t>
            </w:r>
          </w:p>
        </w:tc>
        <w:tc>
          <w:tcPr>
            <w:tcW w:w="337" w:type="pct"/>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10.9</w:t>
            </w:r>
          </w:p>
        </w:tc>
        <w:tc>
          <w:tcPr>
            <w:tcW w:w="483" w:type="pct"/>
            <w:vAlign w:val="center"/>
          </w:tcPr>
          <w:p w:rsidR="00E65991" w:rsidRPr="00F8652D" w:rsidRDefault="00E65991" w:rsidP="00F8652D">
            <w:pPr>
              <w:bidi w:val="0"/>
              <w:snapToGrid w:val="0"/>
              <w:jc w:val="both"/>
              <w:cnfStyle w:val="000000000000"/>
              <w:rPr>
                <w:rFonts w:ascii="Times New Roman" w:hAnsi="Times New Roman" w:cs="Times New Roman"/>
                <w:sz w:val="20"/>
                <w:szCs w:val="19"/>
                <w:lang w:bidi="ar-EG"/>
              </w:rPr>
            </w:pPr>
            <w:r w:rsidRPr="00F8652D">
              <w:rPr>
                <w:rFonts w:ascii="Times New Roman" w:hAnsi="Times New Roman" w:cs="Times New Roman"/>
                <w:sz w:val="20"/>
                <w:szCs w:val="19"/>
                <w:lang w:bidi="ar-EG"/>
              </w:rPr>
              <w:t>10.5</w:t>
            </w:r>
          </w:p>
        </w:tc>
        <w:tc>
          <w:tcPr>
            <w:tcW w:w="354" w:type="pct"/>
            <w:shd w:val="clear" w:color="auto" w:fill="C2D69B" w:themeFill="accent3" w:themeFillTint="99"/>
            <w:vAlign w:val="center"/>
          </w:tcPr>
          <w:p w:rsidR="00E65991" w:rsidRPr="00F8652D" w:rsidRDefault="00A10775"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0.373</w:t>
            </w:r>
          </w:p>
        </w:tc>
        <w:tc>
          <w:tcPr>
            <w:tcW w:w="416" w:type="pct"/>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0.0001</w:t>
            </w:r>
          </w:p>
        </w:tc>
        <w:tc>
          <w:tcPr>
            <w:tcW w:w="360" w:type="pct"/>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1.453</w:t>
            </w:r>
          </w:p>
        </w:tc>
        <w:tc>
          <w:tcPr>
            <w:tcW w:w="606" w:type="pct"/>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1.345-1.569</w:t>
            </w:r>
          </w:p>
        </w:tc>
      </w:tr>
      <w:tr w:rsidR="00F8652D" w:rsidRPr="00F8652D" w:rsidTr="00F8652D">
        <w:trPr>
          <w:cnfStyle w:val="000000100000"/>
          <w:jc w:val="center"/>
        </w:trPr>
        <w:tc>
          <w:tcPr>
            <w:cnfStyle w:val="001000000000"/>
            <w:tcW w:w="995" w:type="pct"/>
            <w:vMerge w:val="restart"/>
            <w:vAlign w:val="center"/>
          </w:tcPr>
          <w:p w:rsidR="00E65991" w:rsidRPr="00F8652D" w:rsidRDefault="00E65991" w:rsidP="00F8652D">
            <w:pPr>
              <w:autoSpaceDE w:val="0"/>
              <w:autoSpaceDN w:val="0"/>
              <w:bidi w:val="0"/>
              <w:adjustRightInd w:val="0"/>
              <w:snapToGrid w:val="0"/>
              <w:jc w:val="both"/>
              <w:rPr>
                <w:rFonts w:ascii="Times New Roman" w:hAnsi="Times New Roman" w:cs="Times New Roman"/>
                <w:color w:val="000000"/>
                <w:sz w:val="20"/>
                <w:szCs w:val="19"/>
              </w:rPr>
            </w:pPr>
            <w:r w:rsidRPr="00F8652D">
              <w:rPr>
                <w:rFonts w:ascii="Times New Roman" w:hAnsi="Times New Roman" w:cs="Times New Roman"/>
                <w:color w:val="000000"/>
                <w:sz w:val="20"/>
                <w:szCs w:val="19"/>
              </w:rPr>
              <w:t>DM</w:t>
            </w:r>
          </w:p>
        </w:tc>
        <w:tc>
          <w:tcPr>
            <w:tcW w:w="796" w:type="pct"/>
            <w:shd w:val="clear" w:color="auto" w:fill="F79646" w:themeFill="accent6"/>
            <w:vAlign w:val="center"/>
          </w:tcPr>
          <w:p w:rsidR="00E65991" w:rsidRPr="00F8652D" w:rsidRDefault="00E65991" w:rsidP="00F8652D">
            <w:pPr>
              <w:bidi w:val="0"/>
              <w:snapToGrid w:val="0"/>
              <w:jc w:val="both"/>
              <w:cnfStyle w:val="000000100000"/>
              <w:rPr>
                <w:rFonts w:ascii="Times New Roman" w:hAnsi="Times New Roman" w:cs="Times New Roman"/>
                <w:sz w:val="20"/>
                <w:szCs w:val="19"/>
                <w:lang w:bidi="ar-EG"/>
              </w:rPr>
            </w:pPr>
            <w:r w:rsidRPr="00F8652D">
              <w:rPr>
                <w:rFonts w:ascii="Times New Roman" w:hAnsi="Times New Roman" w:cs="Times New Roman"/>
                <w:sz w:val="20"/>
                <w:szCs w:val="19"/>
                <w:lang w:bidi="ar-EG"/>
              </w:rPr>
              <w:t>Yes</w:t>
            </w:r>
          </w:p>
        </w:tc>
        <w:tc>
          <w:tcPr>
            <w:tcW w:w="321" w:type="pct"/>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48</w:t>
            </w:r>
          </w:p>
        </w:tc>
        <w:tc>
          <w:tcPr>
            <w:tcW w:w="333" w:type="pct"/>
            <w:vAlign w:val="center"/>
          </w:tcPr>
          <w:p w:rsidR="00E65991" w:rsidRPr="00F8652D" w:rsidRDefault="00E65991" w:rsidP="00F8652D">
            <w:pPr>
              <w:bidi w:val="0"/>
              <w:snapToGrid w:val="0"/>
              <w:jc w:val="both"/>
              <w:cnfStyle w:val="000000100000"/>
              <w:rPr>
                <w:rFonts w:ascii="Times New Roman" w:hAnsi="Times New Roman" w:cs="Times New Roman"/>
                <w:sz w:val="20"/>
                <w:szCs w:val="19"/>
                <w:lang w:bidi="ar-EG"/>
              </w:rPr>
            </w:pPr>
            <w:r w:rsidRPr="00F8652D">
              <w:rPr>
                <w:rFonts w:ascii="Times New Roman" w:hAnsi="Times New Roman" w:cs="Times New Roman"/>
                <w:sz w:val="20"/>
                <w:szCs w:val="19"/>
                <w:lang w:bidi="ar-EG"/>
              </w:rPr>
              <w:t>32%</w:t>
            </w:r>
          </w:p>
        </w:tc>
        <w:tc>
          <w:tcPr>
            <w:tcW w:w="337" w:type="pct"/>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139</w:t>
            </w:r>
          </w:p>
        </w:tc>
        <w:tc>
          <w:tcPr>
            <w:tcW w:w="483" w:type="pct"/>
            <w:vAlign w:val="center"/>
          </w:tcPr>
          <w:p w:rsidR="00E65991" w:rsidRPr="00F8652D" w:rsidRDefault="00E65991" w:rsidP="00F8652D">
            <w:pPr>
              <w:bidi w:val="0"/>
              <w:snapToGrid w:val="0"/>
              <w:jc w:val="both"/>
              <w:cnfStyle w:val="000000100000"/>
              <w:rPr>
                <w:rFonts w:ascii="Times New Roman" w:hAnsi="Times New Roman" w:cs="Times New Roman"/>
                <w:sz w:val="20"/>
                <w:szCs w:val="19"/>
              </w:rPr>
            </w:pPr>
            <w:r w:rsidRPr="00F8652D">
              <w:rPr>
                <w:rFonts w:ascii="Times New Roman" w:hAnsi="Times New Roman" w:cs="Times New Roman"/>
                <w:sz w:val="20"/>
                <w:szCs w:val="19"/>
              </w:rPr>
              <w:t>23.2%</w:t>
            </w:r>
          </w:p>
        </w:tc>
        <w:tc>
          <w:tcPr>
            <w:tcW w:w="354" w:type="pct"/>
            <w:vMerge w:val="restart"/>
            <w:shd w:val="clear" w:color="auto" w:fill="C2D69B" w:themeFill="accent3" w:themeFillTint="99"/>
            <w:vAlign w:val="center"/>
          </w:tcPr>
          <w:p w:rsidR="00E65991" w:rsidRPr="00F8652D" w:rsidRDefault="00A10775"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0.445</w:t>
            </w:r>
          </w:p>
        </w:tc>
        <w:tc>
          <w:tcPr>
            <w:tcW w:w="416" w:type="pct"/>
            <w:vMerge w:val="restar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0.026</w:t>
            </w:r>
          </w:p>
        </w:tc>
        <w:tc>
          <w:tcPr>
            <w:tcW w:w="360" w:type="pct"/>
            <w:vMerge w:val="restar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1.561</w:t>
            </w:r>
          </w:p>
        </w:tc>
        <w:tc>
          <w:tcPr>
            <w:tcW w:w="606" w:type="pct"/>
            <w:vMerge w:val="restart"/>
            <w:shd w:val="clear" w:color="auto" w:fill="C2D69B" w:themeFill="accent3" w:themeFillTint="99"/>
            <w:vAlign w:val="center"/>
          </w:tcPr>
          <w:p w:rsidR="00E65991" w:rsidRPr="00F8652D" w:rsidRDefault="00E65991"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1.055-2.310</w:t>
            </w:r>
          </w:p>
        </w:tc>
      </w:tr>
      <w:tr w:rsidR="00F8652D" w:rsidRPr="00F8652D" w:rsidTr="00F8652D">
        <w:trPr>
          <w:jc w:val="center"/>
        </w:trPr>
        <w:tc>
          <w:tcPr>
            <w:cnfStyle w:val="001000000000"/>
            <w:tcW w:w="995" w:type="pct"/>
            <w:vMerge/>
            <w:vAlign w:val="center"/>
          </w:tcPr>
          <w:p w:rsidR="00E65991" w:rsidRPr="00F8652D" w:rsidRDefault="00E65991" w:rsidP="00F8652D">
            <w:pPr>
              <w:bidi w:val="0"/>
              <w:snapToGrid w:val="0"/>
              <w:jc w:val="both"/>
              <w:rPr>
                <w:rFonts w:ascii="Times New Roman" w:hAnsi="Times New Roman" w:cs="Times New Roman"/>
                <w:sz w:val="20"/>
                <w:szCs w:val="19"/>
                <w:lang w:bidi="ar-EG"/>
              </w:rPr>
            </w:pPr>
          </w:p>
        </w:tc>
        <w:tc>
          <w:tcPr>
            <w:tcW w:w="796" w:type="pct"/>
            <w:shd w:val="clear" w:color="auto" w:fill="F79646" w:themeFill="accent6"/>
            <w:vAlign w:val="center"/>
          </w:tcPr>
          <w:p w:rsidR="00E65991" w:rsidRPr="00F8652D" w:rsidRDefault="00E65991" w:rsidP="00F8652D">
            <w:pPr>
              <w:bidi w:val="0"/>
              <w:snapToGrid w:val="0"/>
              <w:jc w:val="both"/>
              <w:cnfStyle w:val="000000000000"/>
              <w:rPr>
                <w:rFonts w:ascii="Times New Roman" w:hAnsi="Times New Roman" w:cs="Times New Roman"/>
                <w:sz w:val="20"/>
                <w:szCs w:val="19"/>
                <w:lang w:bidi="ar-EG"/>
              </w:rPr>
            </w:pPr>
            <w:r w:rsidRPr="00F8652D">
              <w:rPr>
                <w:rFonts w:ascii="Times New Roman" w:hAnsi="Times New Roman" w:cs="Times New Roman"/>
                <w:sz w:val="20"/>
                <w:szCs w:val="19"/>
                <w:lang w:bidi="ar-EG"/>
              </w:rPr>
              <w:t>No</w:t>
            </w:r>
          </w:p>
        </w:tc>
        <w:tc>
          <w:tcPr>
            <w:tcW w:w="321" w:type="pct"/>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102</w:t>
            </w:r>
          </w:p>
        </w:tc>
        <w:tc>
          <w:tcPr>
            <w:tcW w:w="333" w:type="pct"/>
            <w:vAlign w:val="center"/>
          </w:tcPr>
          <w:p w:rsidR="00E65991" w:rsidRPr="00F8652D" w:rsidRDefault="00E65991" w:rsidP="00F8652D">
            <w:pPr>
              <w:bidi w:val="0"/>
              <w:snapToGrid w:val="0"/>
              <w:jc w:val="both"/>
              <w:cnfStyle w:val="000000000000"/>
              <w:rPr>
                <w:rFonts w:ascii="Times New Roman" w:hAnsi="Times New Roman" w:cs="Times New Roman"/>
                <w:sz w:val="20"/>
                <w:szCs w:val="19"/>
              </w:rPr>
            </w:pPr>
            <w:r w:rsidRPr="00F8652D">
              <w:rPr>
                <w:rFonts w:ascii="Times New Roman" w:hAnsi="Times New Roman" w:cs="Times New Roman"/>
                <w:sz w:val="20"/>
                <w:szCs w:val="19"/>
              </w:rPr>
              <w:t>68%</w:t>
            </w:r>
          </w:p>
        </w:tc>
        <w:tc>
          <w:tcPr>
            <w:tcW w:w="337" w:type="pct"/>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461</w:t>
            </w:r>
          </w:p>
        </w:tc>
        <w:tc>
          <w:tcPr>
            <w:tcW w:w="483" w:type="pct"/>
            <w:vAlign w:val="center"/>
          </w:tcPr>
          <w:p w:rsidR="00E65991" w:rsidRPr="00F8652D" w:rsidRDefault="00E65991" w:rsidP="00F8652D">
            <w:pPr>
              <w:bidi w:val="0"/>
              <w:snapToGrid w:val="0"/>
              <w:jc w:val="both"/>
              <w:cnfStyle w:val="000000000000"/>
              <w:rPr>
                <w:rFonts w:ascii="Times New Roman" w:hAnsi="Times New Roman" w:cs="Times New Roman"/>
                <w:sz w:val="20"/>
                <w:szCs w:val="19"/>
              </w:rPr>
            </w:pPr>
            <w:r w:rsidRPr="00F8652D">
              <w:rPr>
                <w:rFonts w:ascii="Times New Roman" w:hAnsi="Times New Roman" w:cs="Times New Roman"/>
                <w:sz w:val="20"/>
                <w:szCs w:val="19"/>
              </w:rPr>
              <w:t>76.7%</w:t>
            </w:r>
          </w:p>
        </w:tc>
        <w:tc>
          <w:tcPr>
            <w:tcW w:w="354" w:type="pct"/>
            <w:vMerge/>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p>
        </w:tc>
        <w:tc>
          <w:tcPr>
            <w:tcW w:w="416" w:type="pct"/>
            <w:vMerge/>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p>
        </w:tc>
        <w:tc>
          <w:tcPr>
            <w:tcW w:w="360" w:type="pct"/>
            <w:vMerge/>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p>
        </w:tc>
        <w:tc>
          <w:tcPr>
            <w:tcW w:w="606" w:type="pct"/>
            <w:vMerge/>
            <w:shd w:val="clear" w:color="auto" w:fill="C2D69B" w:themeFill="accent3" w:themeFillTint="99"/>
            <w:vAlign w:val="center"/>
          </w:tcPr>
          <w:p w:rsidR="00E65991" w:rsidRPr="00F8652D" w:rsidRDefault="00E65991" w:rsidP="00F8652D">
            <w:pPr>
              <w:bidi w:val="0"/>
              <w:snapToGrid w:val="0"/>
              <w:jc w:val="both"/>
              <w:cnfStyle w:val="000000000000"/>
              <w:rPr>
                <w:rFonts w:ascii="Times New Roman" w:hAnsi="Times New Roman" w:cs="Times New Roman"/>
                <w:b/>
                <w:bCs/>
                <w:sz w:val="20"/>
                <w:szCs w:val="19"/>
                <w:lang w:bidi="ar-EG"/>
              </w:rPr>
            </w:pPr>
          </w:p>
        </w:tc>
      </w:tr>
      <w:tr w:rsidR="00F8652D" w:rsidRPr="00F8652D" w:rsidTr="00F8652D">
        <w:trPr>
          <w:cnfStyle w:val="000000100000"/>
          <w:jc w:val="center"/>
        </w:trPr>
        <w:tc>
          <w:tcPr>
            <w:cnfStyle w:val="001000000000"/>
            <w:tcW w:w="995" w:type="pct"/>
            <w:vMerge w:val="restart"/>
            <w:vAlign w:val="center"/>
          </w:tcPr>
          <w:p w:rsidR="006971FB" w:rsidRPr="00F8652D" w:rsidRDefault="006971FB" w:rsidP="00F8652D">
            <w:pPr>
              <w:autoSpaceDE w:val="0"/>
              <w:autoSpaceDN w:val="0"/>
              <w:bidi w:val="0"/>
              <w:adjustRightInd w:val="0"/>
              <w:snapToGrid w:val="0"/>
              <w:jc w:val="both"/>
              <w:rPr>
                <w:rFonts w:ascii="Times New Roman" w:hAnsi="Times New Roman" w:cs="Times New Roman"/>
                <w:color w:val="000000"/>
                <w:sz w:val="20"/>
                <w:szCs w:val="19"/>
              </w:rPr>
            </w:pPr>
            <w:r w:rsidRPr="00F8652D">
              <w:rPr>
                <w:rFonts w:ascii="Times New Roman" w:hAnsi="Times New Roman" w:cs="Times New Roman"/>
                <w:color w:val="000000"/>
                <w:sz w:val="20"/>
                <w:szCs w:val="19"/>
              </w:rPr>
              <w:t>Treatment regimen</w:t>
            </w:r>
          </w:p>
        </w:tc>
        <w:tc>
          <w:tcPr>
            <w:tcW w:w="796" w:type="pct"/>
            <w:shd w:val="clear" w:color="auto" w:fill="F79646" w:themeFill="accent6"/>
            <w:vAlign w:val="center"/>
          </w:tcPr>
          <w:p w:rsidR="006971FB" w:rsidRPr="00F8652D" w:rsidRDefault="006971FB" w:rsidP="00F8652D">
            <w:pPr>
              <w:bidi w:val="0"/>
              <w:snapToGrid w:val="0"/>
              <w:jc w:val="both"/>
              <w:cnfStyle w:val="000000100000"/>
              <w:rPr>
                <w:rFonts w:ascii="Times New Roman" w:hAnsi="Times New Roman" w:cs="Times New Roman"/>
                <w:b/>
                <w:bCs/>
                <w:color w:val="FFFFFF" w:themeColor="background1"/>
                <w:sz w:val="20"/>
                <w:szCs w:val="19"/>
                <w:lang w:bidi="ar-EG"/>
              </w:rPr>
            </w:pPr>
            <w:r w:rsidRPr="00F8652D">
              <w:rPr>
                <w:rFonts w:ascii="Times New Roman" w:hAnsi="Times New Roman" w:cs="Times New Roman"/>
                <w:sz w:val="20"/>
                <w:szCs w:val="19"/>
                <w:lang w:bidi="ar-EG"/>
              </w:rPr>
              <w:t>DAAs</w:t>
            </w:r>
          </w:p>
        </w:tc>
        <w:tc>
          <w:tcPr>
            <w:tcW w:w="321" w:type="pct"/>
            <w:vAlign w:val="center"/>
          </w:tcPr>
          <w:p w:rsidR="006971FB" w:rsidRPr="00F8652D" w:rsidRDefault="006971FB"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120</w:t>
            </w:r>
          </w:p>
        </w:tc>
        <w:tc>
          <w:tcPr>
            <w:tcW w:w="333" w:type="pct"/>
            <w:vAlign w:val="center"/>
          </w:tcPr>
          <w:p w:rsidR="006971FB" w:rsidRPr="00F8652D" w:rsidRDefault="006971FB" w:rsidP="00F8652D">
            <w:pPr>
              <w:bidi w:val="0"/>
              <w:snapToGrid w:val="0"/>
              <w:jc w:val="both"/>
              <w:cnfStyle w:val="000000100000"/>
              <w:rPr>
                <w:rFonts w:ascii="Times New Roman" w:hAnsi="Times New Roman" w:cs="Times New Roman"/>
                <w:sz w:val="20"/>
                <w:szCs w:val="19"/>
              </w:rPr>
            </w:pPr>
            <w:r w:rsidRPr="00F8652D">
              <w:rPr>
                <w:rFonts w:ascii="Times New Roman" w:hAnsi="Times New Roman" w:cs="Times New Roman"/>
                <w:sz w:val="20"/>
                <w:szCs w:val="19"/>
                <w:lang w:bidi="ar-EG"/>
              </w:rPr>
              <w:t>80%</w:t>
            </w:r>
          </w:p>
        </w:tc>
        <w:tc>
          <w:tcPr>
            <w:tcW w:w="337" w:type="pct"/>
            <w:vAlign w:val="center"/>
          </w:tcPr>
          <w:p w:rsidR="006971FB" w:rsidRPr="00F8652D" w:rsidRDefault="006971FB"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490</w:t>
            </w:r>
          </w:p>
        </w:tc>
        <w:tc>
          <w:tcPr>
            <w:tcW w:w="483" w:type="pct"/>
            <w:vAlign w:val="center"/>
          </w:tcPr>
          <w:p w:rsidR="006971FB" w:rsidRPr="00F8652D" w:rsidRDefault="006971FB" w:rsidP="00F8652D">
            <w:pPr>
              <w:bidi w:val="0"/>
              <w:snapToGrid w:val="0"/>
              <w:jc w:val="both"/>
              <w:cnfStyle w:val="000000100000"/>
              <w:rPr>
                <w:rFonts w:ascii="Times New Roman" w:hAnsi="Times New Roman" w:cs="Times New Roman"/>
                <w:b/>
                <w:bCs/>
                <w:sz w:val="20"/>
                <w:szCs w:val="19"/>
              </w:rPr>
            </w:pPr>
            <w:r w:rsidRPr="00F8652D">
              <w:rPr>
                <w:rFonts w:ascii="Times New Roman" w:hAnsi="Times New Roman" w:cs="Times New Roman"/>
                <w:b/>
                <w:bCs/>
                <w:sz w:val="20"/>
                <w:szCs w:val="19"/>
                <w:lang w:bidi="ar-EG"/>
              </w:rPr>
              <w:t>81.7%</w:t>
            </w:r>
          </w:p>
        </w:tc>
        <w:tc>
          <w:tcPr>
            <w:tcW w:w="354" w:type="pct"/>
            <w:vMerge w:val="restart"/>
            <w:shd w:val="clear" w:color="auto" w:fill="C2D69B" w:themeFill="accent3" w:themeFillTint="99"/>
            <w:vAlign w:val="center"/>
          </w:tcPr>
          <w:p w:rsidR="006971FB" w:rsidRPr="00F8652D" w:rsidRDefault="006971FB"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-0.108</w:t>
            </w:r>
          </w:p>
        </w:tc>
        <w:tc>
          <w:tcPr>
            <w:tcW w:w="416" w:type="pct"/>
            <w:vMerge w:val="restart"/>
            <w:shd w:val="clear" w:color="auto" w:fill="C2D69B" w:themeFill="accent3" w:themeFillTint="99"/>
            <w:vAlign w:val="center"/>
          </w:tcPr>
          <w:p w:rsidR="006971FB" w:rsidRPr="00F8652D" w:rsidRDefault="006971FB"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0.639</w:t>
            </w:r>
          </w:p>
        </w:tc>
        <w:tc>
          <w:tcPr>
            <w:tcW w:w="360" w:type="pct"/>
            <w:vMerge w:val="restart"/>
            <w:shd w:val="clear" w:color="auto" w:fill="C2D69B" w:themeFill="accent3" w:themeFillTint="99"/>
            <w:vAlign w:val="center"/>
          </w:tcPr>
          <w:p w:rsidR="006971FB" w:rsidRPr="00F8652D" w:rsidRDefault="006971FB"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0.898</w:t>
            </w:r>
          </w:p>
        </w:tc>
        <w:tc>
          <w:tcPr>
            <w:tcW w:w="606" w:type="pct"/>
            <w:vMerge w:val="restart"/>
            <w:shd w:val="clear" w:color="auto" w:fill="C2D69B" w:themeFill="accent3" w:themeFillTint="99"/>
            <w:vAlign w:val="center"/>
          </w:tcPr>
          <w:p w:rsidR="006971FB" w:rsidRPr="00F8652D" w:rsidRDefault="006971FB" w:rsidP="00F8652D">
            <w:pPr>
              <w:bidi w:val="0"/>
              <w:snapToGrid w:val="0"/>
              <w:jc w:val="both"/>
              <w:cnfStyle w:val="0000001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0.572-1.409</w:t>
            </w:r>
          </w:p>
        </w:tc>
      </w:tr>
      <w:tr w:rsidR="00F8652D" w:rsidRPr="00F8652D" w:rsidTr="00F8652D">
        <w:trPr>
          <w:jc w:val="center"/>
        </w:trPr>
        <w:tc>
          <w:tcPr>
            <w:cnfStyle w:val="001000000000"/>
            <w:tcW w:w="995" w:type="pct"/>
            <w:vMerge/>
            <w:vAlign w:val="center"/>
          </w:tcPr>
          <w:p w:rsidR="006971FB" w:rsidRPr="00F8652D" w:rsidRDefault="006971FB" w:rsidP="00F8652D">
            <w:pPr>
              <w:bidi w:val="0"/>
              <w:snapToGrid w:val="0"/>
              <w:jc w:val="both"/>
              <w:rPr>
                <w:rFonts w:ascii="Times New Roman" w:hAnsi="Times New Roman" w:cs="Times New Roman"/>
                <w:sz w:val="20"/>
                <w:szCs w:val="19"/>
                <w:lang w:bidi="ar-EG"/>
              </w:rPr>
            </w:pPr>
          </w:p>
        </w:tc>
        <w:tc>
          <w:tcPr>
            <w:tcW w:w="796" w:type="pct"/>
            <w:shd w:val="clear" w:color="auto" w:fill="F79646" w:themeFill="accent6"/>
            <w:vAlign w:val="center"/>
          </w:tcPr>
          <w:p w:rsidR="006971FB" w:rsidRPr="00F8652D" w:rsidRDefault="006971FB" w:rsidP="00F8652D">
            <w:pPr>
              <w:bidi w:val="0"/>
              <w:snapToGrid w:val="0"/>
              <w:jc w:val="both"/>
              <w:cnfStyle w:val="000000000000"/>
              <w:rPr>
                <w:rFonts w:ascii="Times New Roman" w:hAnsi="Times New Roman" w:cs="Times New Roman"/>
                <w:sz w:val="20"/>
                <w:szCs w:val="19"/>
                <w:lang w:bidi="ar-EG"/>
              </w:rPr>
            </w:pPr>
            <w:r w:rsidRPr="00F8652D">
              <w:rPr>
                <w:rFonts w:ascii="Times New Roman" w:hAnsi="Times New Roman" w:cs="Times New Roman"/>
                <w:sz w:val="20"/>
                <w:szCs w:val="19"/>
                <w:lang w:bidi="ar-EG"/>
              </w:rPr>
              <w:t>Peg IFN</w:t>
            </w:r>
          </w:p>
        </w:tc>
        <w:tc>
          <w:tcPr>
            <w:tcW w:w="321" w:type="pct"/>
            <w:vAlign w:val="center"/>
          </w:tcPr>
          <w:p w:rsidR="006971FB" w:rsidRPr="00F8652D" w:rsidRDefault="006971FB"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30</w:t>
            </w:r>
          </w:p>
        </w:tc>
        <w:tc>
          <w:tcPr>
            <w:tcW w:w="333" w:type="pct"/>
            <w:vAlign w:val="center"/>
          </w:tcPr>
          <w:p w:rsidR="006971FB" w:rsidRPr="00F8652D" w:rsidRDefault="006971FB" w:rsidP="00F8652D">
            <w:pPr>
              <w:bidi w:val="0"/>
              <w:snapToGrid w:val="0"/>
              <w:jc w:val="both"/>
              <w:cnfStyle w:val="000000000000"/>
              <w:rPr>
                <w:rFonts w:ascii="Times New Roman" w:hAnsi="Times New Roman" w:cs="Times New Roman"/>
                <w:sz w:val="20"/>
                <w:szCs w:val="19"/>
              </w:rPr>
            </w:pPr>
            <w:r w:rsidRPr="00F8652D">
              <w:rPr>
                <w:rFonts w:ascii="Times New Roman" w:hAnsi="Times New Roman" w:cs="Times New Roman"/>
                <w:sz w:val="20"/>
                <w:szCs w:val="19"/>
                <w:lang w:bidi="ar-EG"/>
              </w:rPr>
              <w:t>20%</w:t>
            </w:r>
          </w:p>
        </w:tc>
        <w:tc>
          <w:tcPr>
            <w:tcW w:w="337" w:type="pct"/>
            <w:vAlign w:val="center"/>
          </w:tcPr>
          <w:p w:rsidR="006971FB" w:rsidRPr="00F8652D" w:rsidRDefault="006971FB" w:rsidP="00F8652D">
            <w:pPr>
              <w:bidi w:val="0"/>
              <w:snapToGrid w:val="0"/>
              <w:jc w:val="both"/>
              <w:cnfStyle w:val="000000000000"/>
              <w:rPr>
                <w:rFonts w:ascii="Times New Roman" w:hAnsi="Times New Roman" w:cs="Times New Roman"/>
                <w:b/>
                <w:bCs/>
                <w:sz w:val="20"/>
                <w:szCs w:val="19"/>
                <w:lang w:bidi="ar-EG"/>
              </w:rPr>
            </w:pPr>
            <w:r w:rsidRPr="00F8652D">
              <w:rPr>
                <w:rFonts w:ascii="Times New Roman" w:hAnsi="Times New Roman" w:cs="Times New Roman"/>
                <w:b/>
                <w:bCs/>
                <w:sz w:val="20"/>
                <w:szCs w:val="19"/>
                <w:lang w:bidi="ar-EG"/>
              </w:rPr>
              <w:t>110</w:t>
            </w:r>
          </w:p>
        </w:tc>
        <w:tc>
          <w:tcPr>
            <w:tcW w:w="483" w:type="pct"/>
            <w:vAlign w:val="center"/>
          </w:tcPr>
          <w:p w:rsidR="006971FB" w:rsidRPr="00F8652D" w:rsidRDefault="006971FB" w:rsidP="00F8652D">
            <w:pPr>
              <w:bidi w:val="0"/>
              <w:snapToGrid w:val="0"/>
              <w:jc w:val="both"/>
              <w:cnfStyle w:val="000000000000"/>
              <w:rPr>
                <w:rFonts w:ascii="Times New Roman" w:hAnsi="Times New Roman" w:cs="Times New Roman"/>
                <w:sz w:val="20"/>
                <w:szCs w:val="19"/>
              </w:rPr>
            </w:pPr>
            <w:r w:rsidRPr="00F8652D">
              <w:rPr>
                <w:rFonts w:ascii="Times New Roman" w:hAnsi="Times New Roman" w:cs="Times New Roman"/>
                <w:b/>
                <w:bCs/>
                <w:sz w:val="20"/>
                <w:szCs w:val="19"/>
                <w:lang w:bidi="ar-EG"/>
              </w:rPr>
              <w:t>18.3%</w:t>
            </w:r>
          </w:p>
        </w:tc>
        <w:tc>
          <w:tcPr>
            <w:tcW w:w="354" w:type="pct"/>
            <w:vMerge/>
            <w:shd w:val="clear" w:color="auto" w:fill="C2D69B" w:themeFill="accent3" w:themeFillTint="99"/>
            <w:vAlign w:val="center"/>
          </w:tcPr>
          <w:p w:rsidR="006971FB" w:rsidRPr="00F8652D" w:rsidRDefault="006971FB" w:rsidP="00F8652D">
            <w:pPr>
              <w:bidi w:val="0"/>
              <w:snapToGrid w:val="0"/>
              <w:jc w:val="both"/>
              <w:cnfStyle w:val="000000000000"/>
              <w:rPr>
                <w:rFonts w:ascii="Times New Roman" w:hAnsi="Times New Roman" w:cs="Times New Roman"/>
                <w:b/>
                <w:bCs/>
                <w:sz w:val="20"/>
                <w:szCs w:val="19"/>
                <w:lang w:bidi="ar-EG"/>
              </w:rPr>
            </w:pPr>
          </w:p>
        </w:tc>
        <w:tc>
          <w:tcPr>
            <w:tcW w:w="416" w:type="pct"/>
            <w:vMerge/>
            <w:shd w:val="clear" w:color="auto" w:fill="C2D69B" w:themeFill="accent3" w:themeFillTint="99"/>
            <w:vAlign w:val="center"/>
          </w:tcPr>
          <w:p w:rsidR="006971FB" w:rsidRPr="00F8652D" w:rsidRDefault="006971FB" w:rsidP="00F8652D">
            <w:pPr>
              <w:bidi w:val="0"/>
              <w:snapToGrid w:val="0"/>
              <w:jc w:val="both"/>
              <w:cnfStyle w:val="000000000000"/>
              <w:rPr>
                <w:rFonts w:ascii="Times New Roman" w:hAnsi="Times New Roman" w:cs="Times New Roman"/>
                <w:b/>
                <w:bCs/>
                <w:sz w:val="20"/>
                <w:szCs w:val="19"/>
                <w:lang w:bidi="ar-EG"/>
              </w:rPr>
            </w:pPr>
          </w:p>
        </w:tc>
        <w:tc>
          <w:tcPr>
            <w:tcW w:w="360" w:type="pct"/>
            <w:vMerge/>
            <w:shd w:val="clear" w:color="auto" w:fill="C2D69B" w:themeFill="accent3" w:themeFillTint="99"/>
            <w:vAlign w:val="center"/>
          </w:tcPr>
          <w:p w:rsidR="006971FB" w:rsidRPr="00F8652D" w:rsidRDefault="006971FB" w:rsidP="00F8652D">
            <w:pPr>
              <w:bidi w:val="0"/>
              <w:snapToGrid w:val="0"/>
              <w:jc w:val="both"/>
              <w:cnfStyle w:val="000000000000"/>
              <w:rPr>
                <w:rFonts w:ascii="Times New Roman" w:hAnsi="Times New Roman" w:cs="Times New Roman"/>
                <w:b/>
                <w:bCs/>
                <w:sz w:val="20"/>
                <w:szCs w:val="19"/>
                <w:lang w:bidi="ar-EG"/>
              </w:rPr>
            </w:pPr>
          </w:p>
        </w:tc>
        <w:tc>
          <w:tcPr>
            <w:tcW w:w="606" w:type="pct"/>
            <w:vMerge/>
            <w:shd w:val="clear" w:color="auto" w:fill="C2D69B" w:themeFill="accent3" w:themeFillTint="99"/>
            <w:vAlign w:val="center"/>
          </w:tcPr>
          <w:p w:rsidR="006971FB" w:rsidRPr="00F8652D" w:rsidRDefault="006971FB" w:rsidP="00F8652D">
            <w:pPr>
              <w:bidi w:val="0"/>
              <w:snapToGrid w:val="0"/>
              <w:jc w:val="both"/>
              <w:cnfStyle w:val="000000000000"/>
              <w:rPr>
                <w:rFonts w:ascii="Times New Roman" w:hAnsi="Times New Roman" w:cs="Times New Roman"/>
                <w:b/>
                <w:bCs/>
                <w:sz w:val="20"/>
                <w:szCs w:val="19"/>
                <w:lang w:bidi="ar-EG"/>
              </w:rPr>
            </w:pPr>
          </w:p>
        </w:tc>
      </w:tr>
    </w:tbl>
    <w:p w:rsidR="00D21744" w:rsidRPr="00B44AD9" w:rsidRDefault="00D21744" w:rsidP="00F8652D">
      <w:pPr>
        <w:shd w:val="clear" w:color="auto" w:fill="FFFFFF"/>
        <w:bidi w:val="0"/>
        <w:snapToGrid w:val="0"/>
        <w:spacing w:after="0" w:line="240" w:lineRule="auto"/>
        <w:jc w:val="center"/>
        <w:rPr>
          <w:rFonts w:ascii="Times New Roman" w:hAnsi="Times New Roman" w:cs="Times New Roman"/>
          <w:i/>
          <w:iCs/>
          <w:sz w:val="20"/>
          <w:szCs w:val="10"/>
          <w:lang w:bidi="ar-EG"/>
        </w:rPr>
      </w:pPr>
    </w:p>
    <w:p w:rsidR="00520406" w:rsidRPr="00B44AD9" w:rsidRDefault="00520406" w:rsidP="00F8652D">
      <w:pPr>
        <w:shd w:val="clear" w:color="auto" w:fill="FFFFFF"/>
        <w:bidi w:val="0"/>
        <w:snapToGrid w:val="0"/>
        <w:spacing w:after="0" w:line="240" w:lineRule="auto"/>
        <w:jc w:val="center"/>
        <w:rPr>
          <w:rFonts w:ascii="Times New Roman" w:hAnsi="Times New Roman" w:cs="Times New Roman"/>
          <w:sz w:val="20"/>
          <w:szCs w:val="18"/>
          <w:lang w:bidi="ar-EG"/>
        </w:rPr>
      </w:pPr>
      <w:r w:rsidRPr="00B44AD9">
        <w:rPr>
          <w:rFonts w:ascii="Times New Roman" w:hAnsi="Times New Roman" w:cs="Times New Roman"/>
          <w:b/>
          <w:bCs/>
          <w:color w:val="000000"/>
          <w:sz w:val="20"/>
          <w:szCs w:val="18"/>
        </w:rPr>
        <w:t>Table 3: Multivariable logistic regression for studied risk factors</w:t>
      </w:r>
    </w:p>
    <w:tbl>
      <w:tblPr>
        <w:tblW w:w="5000" w:type="pct"/>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6" w:space="0" w:color="984806" w:themeColor="accent6" w:themeShade="80"/>
          <w:insideV w:val="single" w:sz="6" w:space="0" w:color="984806" w:themeColor="accent6" w:themeShade="80"/>
        </w:tblBorders>
        <w:tblCellMar>
          <w:left w:w="57" w:type="dxa"/>
          <w:right w:w="57" w:type="dxa"/>
        </w:tblCellMar>
        <w:tblLook w:val="0000"/>
      </w:tblPr>
      <w:tblGrid>
        <w:gridCol w:w="2553"/>
        <w:gridCol w:w="1190"/>
        <w:gridCol w:w="1567"/>
        <w:gridCol w:w="1359"/>
        <w:gridCol w:w="1416"/>
        <w:gridCol w:w="1391"/>
      </w:tblGrid>
      <w:tr w:rsidR="00B44AD9" w:rsidRPr="00B44AD9" w:rsidTr="00B44AD9">
        <w:trPr>
          <w:cantSplit/>
          <w:jc w:val="center"/>
        </w:trPr>
        <w:tc>
          <w:tcPr>
            <w:tcW w:w="1347" w:type="pct"/>
            <w:vMerge w:val="restart"/>
            <w:tcBorders>
              <w:top w:val="single" w:sz="18" w:space="0" w:color="984806" w:themeColor="accent6" w:themeShade="80"/>
            </w:tcBorders>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sz w:val="20"/>
                <w:szCs w:val="18"/>
              </w:rPr>
            </w:pPr>
          </w:p>
        </w:tc>
        <w:tc>
          <w:tcPr>
            <w:tcW w:w="628" w:type="pct"/>
            <w:vMerge w:val="restart"/>
            <w:tcBorders>
              <w:top w:val="single" w:sz="18" w:space="0" w:color="984806" w:themeColor="accent6" w:themeShade="80"/>
            </w:tcBorders>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B</w:t>
            </w:r>
          </w:p>
        </w:tc>
        <w:tc>
          <w:tcPr>
            <w:tcW w:w="827" w:type="pct"/>
            <w:vMerge w:val="restart"/>
            <w:tcBorders>
              <w:top w:val="single" w:sz="18" w:space="0" w:color="984806" w:themeColor="accent6" w:themeShade="80"/>
            </w:tcBorders>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P value</w:t>
            </w:r>
          </w:p>
        </w:tc>
        <w:tc>
          <w:tcPr>
            <w:tcW w:w="717" w:type="pct"/>
            <w:vMerge w:val="restart"/>
            <w:tcBorders>
              <w:top w:val="single" w:sz="18" w:space="0" w:color="984806" w:themeColor="accent6" w:themeShade="80"/>
            </w:tcBorders>
            <w:shd w:val="clear" w:color="auto" w:fill="F79646" w:themeFill="accent6"/>
            <w:vAlign w:val="center"/>
          </w:tcPr>
          <w:p w:rsidR="00D21744" w:rsidRPr="00B44AD9" w:rsidRDefault="00E65991"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sz w:val="20"/>
                <w:szCs w:val="18"/>
                <w:lang w:bidi="ar-EG"/>
              </w:rPr>
              <w:t>Exp.B</w:t>
            </w:r>
          </w:p>
        </w:tc>
        <w:tc>
          <w:tcPr>
            <w:tcW w:w="1481" w:type="pct"/>
            <w:gridSpan w:val="2"/>
            <w:tcBorders>
              <w:top w:val="single" w:sz="18" w:space="0" w:color="984806" w:themeColor="accent6" w:themeShade="80"/>
            </w:tcBorders>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95% CI</w:t>
            </w:r>
          </w:p>
        </w:tc>
      </w:tr>
      <w:tr w:rsidR="00B44AD9" w:rsidRPr="00B44AD9" w:rsidTr="00B44AD9">
        <w:trPr>
          <w:cantSplit/>
          <w:jc w:val="center"/>
        </w:trPr>
        <w:tc>
          <w:tcPr>
            <w:tcW w:w="1347" w:type="pct"/>
            <w:vMerge/>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628" w:type="pct"/>
            <w:vMerge/>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827" w:type="pct"/>
            <w:vMerge/>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717" w:type="pct"/>
            <w:vMerge/>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747" w:type="pct"/>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Lower</w:t>
            </w:r>
          </w:p>
        </w:tc>
        <w:tc>
          <w:tcPr>
            <w:tcW w:w="734" w:type="pct"/>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Upper</w:t>
            </w:r>
          </w:p>
        </w:tc>
      </w:tr>
      <w:tr w:rsidR="00B44AD9" w:rsidRPr="00B44AD9" w:rsidTr="00B44AD9">
        <w:trPr>
          <w:cantSplit/>
          <w:jc w:val="center"/>
        </w:trPr>
        <w:tc>
          <w:tcPr>
            <w:tcW w:w="1347" w:type="pct"/>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FIB4</w:t>
            </w:r>
            <w:r w:rsidR="003C5280" w:rsidRPr="00B44AD9">
              <w:rPr>
                <w:rFonts w:ascii="Times New Roman" w:hAnsi="Times New Roman" w:cs="Times New Roman"/>
                <w:b/>
                <w:bCs/>
                <w:color w:val="000000"/>
                <w:sz w:val="20"/>
                <w:szCs w:val="18"/>
              </w:rPr>
              <w:t xml:space="preserve"> score</w:t>
            </w:r>
          </w:p>
        </w:tc>
        <w:tc>
          <w:tcPr>
            <w:tcW w:w="628"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0.486</w:t>
            </w:r>
          </w:p>
        </w:tc>
        <w:tc>
          <w:tcPr>
            <w:tcW w:w="827"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0.0001</w:t>
            </w:r>
          </w:p>
        </w:tc>
        <w:tc>
          <w:tcPr>
            <w:tcW w:w="717"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1.626</w:t>
            </w:r>
          </w:p>
        </w:tc>
        <w:tc>
          <w:tcPr>
            <w:tcW w:w="747"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1.347</w:t>
            </w:r>
          </w:p>
        </w:tc>
        <w:tc>
          <w:tcPr>
            <w:tcW w:w="734"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1.964</w:t>
            </w:r>
          </w:p>
        </w:tc>
      </w:tr>
      <w:tr w:rsidR="00B44AD9" w:rsidRPr="00B44AD9" w:rsidTr="00B44AD9">
        <w:trPr>
          <w:cantSplit/>
          <w:jc w:val="center"/>
        </w:trPr>
        <w:tc>
          <w:tcPr>
            <w:tcW w:w="1347" w:type="pct"/>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Child</w:t>
            </w:r>
            <w:r w:rsidR="003C5280" w:rsidRPr="00B44AD9">
              <w:rPr>
                <w:rFonts w:ascii="Times New Roman" w:hAnsi="Times New Roman" w:cs="Times New Roman"/>
                <w:b/>
                <w:bCs/>
                <w:color w:val="000000"/>
                <w:sz w:val="20"/>
                <w:szCs w:val="18"/>
              </w:rPr>
              <w:t xml:space="preserve"> score</w:t>
            </w:r>
          </w:p>
        </w:tc>
        <w:tc>
          <w:tcPr>
            <w:tcW w:w="628"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0.355</w:t>
            </w:r>
          </w:p>
        </w:tc>
        <w:tc>
          <w:tcPr>
            <w:tcW w:w="827"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0.0001</w:t>
            </w:r>
          </w:p>
        </w:tc>
        <w:tc>
          <w:tcPr>
            <w:tcW w:w="717"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1.426</w:t>
            </w:r>
          </w:p>
        </w:tc>
        <w:tc>
          <w:tcPr>
            <w:tcW w:w="747"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1.172</w:t>
            </w:r>
          </w:p>
        </w:tc>
        <w:tc>
          <w:tcPr>
            <w:tcW w:w="734"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1.734</w:t>
            </w:r>
          </w:p>
        </w:tc>
      </w:tr>
      <w:tr w:rsidR="00B44AD9" w:rsidRPr="00B44AD9" w:rsidTr="00B44AD9">
        <w:trPr>
          <w:cantSplit/>
          <w:jc w:val="center"/>
        </w:trPr>
        <w:tc>
          <w:tcPr>
            <w:tcW w:w="1347" w:type="pct"/>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MELD</w:t>
            </w:r>
            <w:r w:rsidR="003C5280" w:rsidRPr="00B44AD9">
              <w:rPr>
                <w:rFonts w:ascii="Times New Roman" w:hAnsi="Times New Roman" w:cs="Times New Roman"/>
                <w:b/>
                <w:bCs/>
                <w:color w:val="000000"/>
                <w:sz w:val="20"/>
                <w:szCs w:val="18"/>
              </w:rPr>
              <w:t xml:space="preserve"> score</w:t>
            </w:r>
          </w:p>
        </w:tc>
        <w:tc>
          <w:tcPr>
            <w:tcW w:w="628"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0.116</w:t>
            </w:r>
          </w:p>
        </w:tc>
        <w:tc>
          <w:tcPr>
            <w:tcW w:w="827"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0.028</w:t>
            </w:r>
          </w:p>
        </w:tc>
        <w:tc>
          <w:tcPr>
            <w:tcW w:w="717"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1.124</w:t>
            </w:r>
          </w:p>
        </w:tc>
        <w:tc>
          <w:tcPr>
            <w:tcW w:w="747"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1.013</w:t>
            </w:r>
          </w:p>
        </w:tc>
        <w:tc>
          <w:tcPr>
            <w:tcW w:w="734" w:type="pct"/>
            <w:shd w:val="clear" w:color="auto" w:fill="FDE9D9" w:themeFill="accent6" w:themeFillTint="33"/>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1.246</w:t>
            </w:r>
          </w:p>
        </w:tc>
      </w:tr>
      <w:tr w:rsidR="00B44AD9" w:rsidRPr="00B44AD9" w:rsidTr="00B44AD9">
        <w:trPr>
          <w:cantSplit/>
          <w:jc w:val="center"/>
        </w:trPr>
        <w:tc>
          <w:tcPr>
            <w:tcW w:w="1347" w:type="pct"/>
            <w:shd w:val="clear" w:color="auto" w:fill="F79646" w:themeFill="accent6"/>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DM</w:t>
            </w:r>
          </w:p>
        </w:tc>
        <w:tc>
          <w:tcPr>
            <w:tcW w:w="628"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0.183</w:t>
            </w:r>
          </w:p>
        </w:tc>
        <w:tc>
          <w:tcPr>
            <w:tcW w:w="827"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0.431</w:t>
            </w:r>
          </w:p>
        </w:tc>
        <w:tc>
          <w:tcPr>
            <w:tcW w:w="717"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1.200</w:t>
            </w:r>
          </w:p>
        </w:tc>
        <w:tc>
          <w:tcPr>
            <w:tcW w:w="747"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0.762</w:t>
            </w:r>
          </w:p>
        </w:tc>
        <w:tc>
          <w:tcPr>
            <w:tcW w:w="734" w:type="pct"/>
            <w:shd w:val="clear" w:color="auto" w:fill="FABF8F" w:themeFill="accent6" w:themeFillTint="99"/>
            <w:vAlign w:val="center"/>
          </w:tcPr>
          <w:p w:rsidR="00D21744" w:rsidRPr="00B44AD9" w:rsidRDefault="00D21744"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1.891</w:t>
            </w:r>
          </w:p>
        </w:tc>
      </w:tr>
    </w:tbl>
    <w:p w:rsidR="00BB206A" w:rsidRPr="00B44AD9" w:rsidRDefault="00B44AD9" w:rsidP="00F8652D">
      <w:pPr>
        <w:shd w:val="clear" w:color="auto" w:fill="FFFFFF"/>
        <w:bidi w:val="0"/>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i/>
          <w:iCs/>
          <w:color w:val="984806" w:themeColor="accent6" w:themeShade="80"/>
          <w:sz w:val="20"/>
          <w:szCs w:val="20"/>
          <w:lang w:bidi="ar-EG"/>
        </w:rPr>
        <w:cr/>
      </w:r>
      <w:r w:rsidR="00BB206A" w:rsidRPr="00B44AD9">
        <w:rPr>
          <w:rFonts w:ascii="Times New Roman" w:hAnsi="Times New Roman" w:cs="Times New Roman"/>
          <w:b/>
          <w:bCs/>
          <w:sz w:val="20"/>
          <w:szCs w:val="20"/>
          <w:lang w:bidi="ar-EG"/>
        </w:rPr>
        <w:t xml:space="preserve">Evaluation of the optimum cut-off values for the significant </w:t>
      </w:r>
      <w:r w:rsidR="00896B63" w:rsidRPr="00B44AD9">
        <w:rPr>
          <w:rFonts w:ascii="Times New Roman" w:hAnsi="Times New Roman" w:cs="Times New Roman"/>
          <w:b/>
          <w:bCs/>
          <w:sz w:val="20"/>
          <w:szCs w:val="20"/>
          <w:lang w:bidi="ar-EG"/>
        </w:rPr>
        <w:t>risk predictors:</w:t>
      </w:r>
    </w:p>
    <w:p w:rsidR="00D850A4" w:rsidRPr="00B44AD9" w:rsidRDefault="00896B63"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 xml:space="preserve">Table 4 </w:t>
      </w:r>
      <w:r w:rsidR="00DA0080" w:rsidRPr="00B44AD9">
        <w:rPr>
          <w:rFonts w:ascii="Times New Roman" w:hAnsi="Times New Roman" w:cs="Times New Roman"/>
          <w:sz w:val="20"/>
          <w:szCs w:val="20"/>
          <w:lang w:bidi="ar-EG"/>
        </w:rPr>
        <w:t>and figures 1show</w:t>
      </w:r>
      <w:r w:rsidRPr="00B44AD9">
        <w:rPr>
          <w:rFonts w:ascii="Times New Roman" w:hAnsi="Times New Roman" w:cs="Times New Roman"/>
          <w:sz w:val="20"/>
          <w:szCs w:val="20"/>
          <w:lang w:bidi="ar-EG"/>
        </w:rPr>
        <w:t xml:space="preserve"> the different cut-off values for FIB4 score, Child Pugh score and MELD score with </w:t>
      </w:r>
      <w:r w:rsidR="00FD7826" w:rsidRPr="00B44AD9">
        <w:rPr>
          <w:rFonts w:ascii="Times New Roman" w:hAnsi="Times New Roman" w:cs="Times New Roman"/>
          <w:sz w:val="20"/>
          <w:szCs w:val="20"/>
          <w:lang w:bidi="ar-EG"/>
        </w:rPr>
        <w:t>their respective AUC, likelihood ratio, sensitivity and specificity.</w:t>
      </w:r>
    </w:p>
    <w:p w:rsidR="00B44AD9" w:rsidRPr="00B44AD9" w:rsidRDefault="00B44AD9" w:rsidP="00F8652D">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p w:rsidR="00520406" w:rsidRPr="00B44AD9" w:rsidRDefault="00520406" w:rsidP="00F8652D">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10"/>
        </w:rPr>
      </w:pPr>
    </w:p>
    <w:p w:rsidR="00520406" w:rsidRDefault="00520406" w:rsidP="00F8652D">
      <w:pPr>
        <w:autoSpaceDE w:val="0"/>
        <w:autoSpaceDN w:val="0"/>
        <w:bidi w:val="0"/>
        <w:adjustRightInd w:val="0"/>
        <w:snapToGrid w:val="0"/>
        <w:spacing w:after="0" w:line="240" w:lineRule="auto"/>
        <w:jc w:val="center"/>
        <w:rPr>
          <w:rFonts w:ascii="Times New Roman" w:hAnsi="Times New Roman" w:cs="Times New Roman"/>
          <w:b/>
          <w:bCs/>
          <w:color w:val="000000"/>
          <w:sz w:val="20"/>
          <w:szCs w:val="18"/>
          <w:lang w:eastAsia="zh-CN"/>
        </w:rPr>
      </w:pPr>
      <w:r w:rsidRPr="00B44AD9">
        <w:rPr>
          <w:rFonts w:ascii="Times New Roman" w:hAnsi="Times New Roman" w:cs="Times New Roman"/>
          <w:b/>
          <w:bCs/>
          <w:color w:val="000000"/>
          <w:sz w:val="20"/>
          <w:szCs w:val="18"/>
        </w:rPr>
        <w:lastRenderedPageBreak/>
        <w:t>Table 4: ROC curve for the significant risk predictors</w:t>
      </w:r>
    </w:p>
    <w:tbl>
      <w:tblPr>
        <w:tblW w:w="5000" w:type="pct"/>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6" w:space="0" w:color="984806" w:themeColor="accent6" w:themeShade="80"/>
          <w:insideV w:val="single" w:sz="6" w:space="0" w:color="984806" w:themeColor="accent6" w:themeShade="80"/>
        </w:tblBorders>
        <w:tblCellMar>
          <w:left w:w="57" w:type="dxa"/>
          <w:right w:w="57" w:type="dxa"/>
        </w:tblCellMar>
        <w:tblLook w:val="0000"/>
      </w:tblPr>
      <w:tblGrid>
        <w:gridCol w:w="1523"/>
        <w:gridCol w:w="709"/>
        <w:gridCol w:w="932"/>
        <w:gridCol w:w="841"/>
        <w:gridCol w:w="828"/>
        <w:gridCol w:w="1541"/>
        <w:gridCol w:w="584"/>
        <w:gridCol w:w="1260"/>
        <w:gridCol w:w="1258"/>
      </w:tblGrid>
      <w:tr w:rsidR="00B44AD9" w:rsidRPr="00B44AD9" w:rsidTr="00F8652D">
        <w:trPr>
          <w:cantSplit/>
          <w:jc w:val="center"/>
        </w:trPr>
        <w:tc>
          <w:tcPr>
            <w:tcW w:w="803" w:type="pct"/>
            <w:vMerge w:val="restart"/>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sz w:val="20"/>
                <w:szCs w:val="18"/>
              </w:rPr>
            </w:pPr>
          </w:p>
        </w:tc>
        <w:tc>
          <w:tcPr>
            <w:tcW w:w="374" w:type="pct"/>
            <w:vMerge w:val="restart"/>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AUC</w:t>
            </w:r>
          </w:p>
        </w:tc>
        <w:tc>
          <w:tcPr>
            <w:tcW w:w="492" w:type="pct"/>
            <w:vMerge w:val="restart"/>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P value</w:t>
            </w:r>
          </w:p>
        </w:tc>
        <w:tc>
          <w:tcPr>
            <w:tcW w:w="881" w:type="pct"/>
            <w:gridSpan w:val="2"/>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95% C.I</w:t>
            </w:r>
            <w:r w:rsidR="00D850A4" w:rsidRPr="00B44AD9">
              <w:rPr>
                <w:rFonts w:ascii="Times New Roman" w:hAnsi="Times New Roman" w:cs="Times New Roman"/>
                <w:b/>
                <w:bCs/>
                <w:color w:val="000000"/>
                <w:sz w:val="20"/>
                <w:szCs w:val="18"/>
              </w:rPr>
              <w:t>.</w:t>
            </w:r>
          </w:p>
        </w:tc>
        <w:tc>
          <w:tcPr>
            <w:tcW w:w="813" w:type="pct"/>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Cut off value</w:t>
            </w:r>
          </w:p>
        </w:tc>
        <w:tc>
          <w:tcPr>
            <w:tcW w:w="308" w:type="pct"/>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LR</w:t>
            </w:r>
          </w:p>
        </w:tc>
        <w:tc>
          <w:tcPr>
            <w:tcW w:w="665" w:type="pct"/>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Sensitivity</w:t>
            </w:r>
          </w:p>
        </w:tc>
        <w:tc>
          <w:tcPr>
            <w:tcW w:w="665" w:type="pct"/>
            <w:tcBorders>
              <w:top w:val="single" w:sz="18" w:space="0" w:color="984806" w:themeColor="accent6" w:themeShade="80"/>
            </w:tcBorders>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Specificity</w:t>
            </w:r>
          </w:p>
        </w:tc>
      </w:tr>
      <w:tr w:rsidR="00B44AD9" w:rsidRPr="00B44AD9" w:rsidTr="00F8652D">
        <w:trPr>
          <w:cantSplit/>
          <w:jc w:val="center"/>
        </w:trPr>
        <w:tc>
          <w:tcPr>
            <w:tcW w:w="803" w:type="pct"/>
            <w:vMerge/>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74" w:type="pct"/>
            <w:vMerge/>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492" w:type="pct"/>
            <w:vMerge/>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444"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Lower</w:t>
            </w:r>
          </w:p>
        </w:tc>
        <w:tc>
          <w:tcPr>
            <w:tcW w:w="437"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Upper</w:t>
            </w:r>
          </w:p>
        </w:tc>
        <w:tc>
          <w:tcPr>
            <w:tcW w:w="813"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p>
        </w:tc>
        <w:tc>
          <w:tcPr>
            <w:tcW w:w="308"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FF0000"/>
                <w:sz w:val="20"/>
                <w:szCs w:val="18"/>
              </w:rPr>
            </w:pPr>
          </w:p>
        </w:tc>
        <w:tc>
          <w:tcPr>
            <w:tcW w:w="665"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FF0000"/>
                <w:sz w:val="20"/>
                <w:szCs w:val="18"/>
              </w:rPr>
            </w:pPr>
          </w:p>
        </w:tc>
        <w:tc>
          <w:tcPr>
            <w:tcW w:w="665"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FF0000"/>
                <w:sz w:val="20"/>
                <w:szCs w:val="18"/>
              </w:rPr>
            </w:pPr>
          </w:p>
        </w:tc>
      </w:tr>
      <w:tr w:rsidR="00B44AD9" w:rsidRPr="00B44AD9" w:rsidTr="00F8652D">
        <w:trPr>
          <w:cantSplit/>
          <w:jc w:val="center"/>
        </w:trPr>
        <w:tc>
          <w:tcPr>
            <w:tcW w:w="803"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FIB4</w:t>
            </w:r>
            <w:r w:rsidR="00896B63" w:rsidRPr="00B44AD9">
              <w:rPr>
                <w:rFonts w:ascii="Times New Roman" w:hAnsi="Times New Roman" w:cs="Times New Roman"/>
                <w:b/>
                <w:bCs/>
                <w:color w:val="000000"/>
                <w:sz w:val="20"/>
                <w:szCs w:val="18"/>
              </w:rPr>
              <w:t xml:space="preserve"> score</w:t>
            </w:r>
          </w:p>
        </w:tc>
        <w:tc>
          <w:tcPr>
            <w:tcW w:w="374"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0.780</w:t>
            </w:r>
          </w:p>
        </w:tc>
        <w:tc>
          <w:tcPr>
            <w:tcW w:w="492"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0.0001</w:t>
            </w:r>
          </w:p>
        </w:tc>
        <w:tc>
          <w:tcPr>
            <w:tcW w:w="444"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0.736</w:t>
            </w:r>
          </w:p>
        </w:tc>
        <w:tc>
          <w:tcPr>
            <w:tcW w:w="437"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0.824</w:t>
            </w:r>
          </w:p>
        </w:tc>
        <w:tc>
          <w:tcPr>
            <w:tcW w:w="813"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4.34</w:t>
            </w:r>
          </w:p>
        </w:tc>
        <w:tc>
          <w:tcPr>
            <w:tcW w:w="308"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10.9</w:t>
            </w:r>
          </w:p>
        </w:tc>
        <w:tc>
          <w:tcPr>
            <w:tcW w:w="665"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46.7%</w:t>
            </w:r>
          </w:p>
        </w:tc>
        <w:tc>
          <w:tcPr>
            <w:tcW w:w="665"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95.7%</w:t>
            </w:r>
          </w:p>
        </w:tc>
      </w:tr>
      <w:tr w:rsidR="00B44AD9" w:rsidRPr="00B44AD9" w:rsidTr="00F8652D">
        <w:trPr>
          <w:cantSplit/>
          <w:jc w:val="center"/>
        </w:trPr>
        <w:tc>
          <w:tcPr>
            <w:tcW w:w="803"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Child</w:t>
            </w:r>
            <w:r w:rsidR="00896B63" w:rsidRPr="00B44AD9">
              <w:rPr>
                <w:rFonts w:ascii="Times New Roman" w:hAnsi="Times New Roman" w:cs="Times New Roman"/>
                <w:b/>
                <w:bCs/>
                <w:color w:val="000000"/>
                <w:sz w:val="20"/>
                <w:szCs w:val="18"/>
              </w:rPr>
              <w:t xml:space="preserve"> score</w:t>
            </w:r>
          </w:p>
        </w:tc>
        <w:tc>
          <w:tcPr>
            <w:tcW w:w="374"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0.783</w:t>
            </w:r>
          </w:p>
        </w:tc>
        <w:tc>
          <w:tcPr>
            <w:tcW w:w="492"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0.0001</w:t>
            </w:r>
          </w:p>
        </w:tc>
        <w:tc>
          <w:tcPr>
            <w:tcW w:w="444"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0.742</w:t>
            </w:r>
          </w:p>
        </w:tc>
        <w:tc>
          <w:tcPr>
            <w:tcW w:w="437"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0.824</w:t>
            </w:r>
          </w:p>
        </w:tc>
        <w:tc>
          <w:tcPr>
            <w:tcW w:w="813"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8</w:t>
            </w:r>
          </w:p>
        </w:tc>
        <w:tc>
          <w:tcPr>
            <w:tcW w:w="308"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4.08</w:t>
            </w:r>
          </w:p>
        </w:tc>
        <w:tc>
          <w:tcPr>
            <w:tcW w:w="665"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58%</w:t>
            </w:r>
          </w:p>
        </w:tc>
        <w:tc>
          <w:tcPr>
            <w:tcW w:w="665" w:type="pct"/>
            <w:shd w:val="clear" w:color="auto" w:fill="FABF8F" w:themeFill="accent6" w:themeFillTint="99"/>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85.8%</w:t>
            </w:r>
          </w:p>
        </w:tc>
      </w:tr>
      <w:tr w:rsidR="00B44AD9" w:rsidRPr="00B44AD9" w:rsidTr="00F8652D">
        <w:trPr>
          <w:cantSplit/>
          <w:jc w:val="center"/>
        </w:trPr>
        <w:tc>
          <w:tcPr>
            <w:tcW w:w="803" w:type="pct"/>
            <w:shd w:val="clear" w:color="auto" w:fill="F79646" w:themeFill="accent6"/>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B44AD9">
              <w:rPr>
                <w:rFonts w:ascii="Times New Roman" w:hAnsi="Times New Roman" w:cs="Times New Roman"/>
                <w:b/>
                <w:bCs/>
                <w:color w:val="000000"/>
                <w:sz w:val="20"/>
                <w:szCs w:val="18"/>
              </w:rPr>
              <w:t>MELD</w:t>
            </w:r>
            <w:r w:rsidR="00896B63" w:rsidRPr="00B44AD9">
              <w:rPr>
                <w:rFonts w:ascii="Times New Roman" w:hAnsi="Times New Roman" w:cs="Times New Roman"/>
                <w:b/>
                <w:bCs/>
                <w:color w:val="000000"/>
                <w:sz w:val="20"/>
                <w:szCs w:val="18"/>
              </w:rPr>
              <w:t xml:space="preserve"> score</w:t>
            </w:r>
          </w:p>
        </w:tc>
        <w:tc>
          <w:tcPr>
            <w:tcW w:w="374"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0.751</w:t>
            </w:r>
          </w:p>
        </w:tc>
        <w:tc>
          <w:tcPr>
            <w:tcW w:w="492"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0.0001</w:t>
            </w:r>
          </w:p>
        </w:tc>
        <w:tc>
          <w:tcPr>
            <w:tcW w:w="444"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0.710</w:t>
            </w:r>
          </w:p>
        </w:tc>
        <w:tc>
          <w:tcPr>
            <w:tcW w:w="437"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0.793</w:t>
            </w:r>
          </w:p>
        </w:tc>
        <w:tc>
          <w:tcPr>
            <w:tcW w:w="813"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16.95</w:t>
            </w:r>
          </w:p>
        </w:tc>
        <w:tc>
          <w:tcPr>
            <w:tcW w:w="308"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37.4</w:t>
            </w:r>
          </w:p>
        </w:tc>
        <w:tc>
          <w:tcPr>
            <w:tcW w:w="665"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18.7%</w:t>
            </w:r>
          </w:p>
        </w:tc>
        <w:tc>
          <w:tcPr>
            <w:tcW w:w="665" w:type="pct"/>
            <w:shd w:val="clear" w:color="auto" w:fill="FDE9D9" w:themeFill="accent6" w:themeFillTint="33"/>
            <w:vAlign w:val="center"/>
          </w:tcPr>
          <w:p w:rsidR="00700E53" w:rsidRPr="00B44AD9" w:rsidRDefault="00700E53" w:rsidP="00F8652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B44AD9">
              <w:rPr>
                <w:rFonts w:ascii="Times New Roman" w:hAnsi="Times New Roman" w:cs="Times New Roman"/>
                <w:b/>
                <w:bCs/>
                <w:sz w:val="20"/>
                <w:szCs w:val="18"/>
              </w:rPr>
              <w:t>99.5%</w:t>
            </w:r>
          </w:p>
        </w:tc>
      </w:tr>
    </w:tbl>
    <w:p w:rsidR="00B44AD9" w:rsidRPr="00B44AD9" w:rsidRDefault="00B44AD9" w:rsidP="00F8652D">
      <w:pPr>
        <w:shd w:val="clear" w:color="auto" w:fill="FFFFFF"/>
        <w:bidi w:val="0"/>
        <w:snapToGrid w:val="0"/>
        <w:spacing w:after="0" w:line="240" w:lineRule="auto"/>
        <w:ind w:firstLine="425"/>
        <w:jc w:val="both"/>
        <w:rPr>
          <w:rFonts w:ascii="Times New Roman" w:hAnsi="Times New Roman" w:cs="Times New Roman"/>
          <w:i/>
          <w:iCs/>
          <w:sz w:val="20"/>
          <w:szCs w:val="20"/>
          <w:lang w:bidi="ar-EG"/>
        </w:rPr>
      </w:pPr>
    </w:p>
    <w:p w:rsidR="00F8652D" w:rsidRDefault="00B44AD9" w:rsidP="00F8652D">
      <w:pPr>
        <w:autoSpaceDE w:val="0"/>
        <w:autoSpaceDN w:val="0"/>
        <w:bidi w:val="0"/>
        <w:adjustRightInd w:val="0"/>
        <w:snapToGrid w:val="0"/>
        <w:spacing w:after="0" w:line="240" w:lineRule="auto"/>
        <w:jc w:val="center"/>
        <w:rPr>
          <w:rFonts w:ascii="Times New Roman" w:hAnsi="Times New Roman" w:cs="Times New Roman"/>
          <w:i/>
          <w:iCs/>
          <w:sz w:val="20"/>
          <w:szCs w:val="20"/>
          <w:lang w:bidi="ar-EG"/>
        </w:rPr>
        <w:sectPr w:rsidR="00F8652D" w:rsidSect="00B44AD9">
          <w:type w:val="continuous"/>
          <w:pgSz w:w="12242" w:h="15842" w:code="1"/>
          <w:pgMar w:top="1440" w:right="1440" w:bottom="1440" w:left="1440" w:header="720" w:footer="720" w:gutter="0"/>
          <w:cols w:space="720"/>
          <w:docGrid w:linePitch="360"/>
        </w:sectPr>
      </w:pPr>
      <w:r>
        <w:rPr>
          <w:rFonts w:ascii="Times New Roman" w:hAnsi="Times New Roman" w:cs="Times New Roman"/>
          <w:i/>
          <w:iCs/>
          <w:sz w:val="20"/>
          <w:szCs w:val="20"/>
          <w:lang w:bidi="ar-EG"/>
        </w:rPr>
        <w:cr/>
      </w:r>
    </w:p>
    <w:p w:rsidR="00F275C5" w:rsidRPr="00B44AD9" w:rsidRDefault="00F275C5" w:rsidP="00F8652D">
      <w:pPr>
        <w:autoSpaceDE w:val="0"/>
        <w:autoSpaceDN w:val="0"/>
        <w:bidi w:val="0"/>
        <w:adjustRightInd w:val="0"/>
        <w:snapToGrid w:val="0"/>
        <w:spacing w:after="0" w:line="240" w:lineRule="auto"/>
        <w:jc w:val="center"/>
        <w:rPr>
          <w:rFonts w:ascii="Times New Roman" w:hAnsi="Times New Roman" w:cs="Times New Roman"/>
          <w:i/>
          <w:iCs/>
          <w:sz w:val="20"/>
          <w:szCs w:val="20"/>
        </w:rPr>
      </w:pPr>
      <w:r w:rsidRPr="00B44AD9">
        <w:rPr>
          <w:rFonts w:ascii="Times New Roman" w:hAnsi="Times New Roman" w:cs="Times New Roman"/>
          <w:i/>
          <w:iCs/>
          <w:noProof/>
          <w:sz w:val="20"/>
          <w:szCs w:val="20"/>
          <w:lang w:eastAsia="zh-CN"/>
        </w:rPr>
        <w:lastRenderedPageBreak/>
        <w:drawing>
          <wp:inline distT="0" distB="0" distL="0" distR="0">
            <wp:extent cx="2819566" cy="251901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435" r="8453"/>
                    <a:stretch>
                      <a:fillRect/>
                    </a:stretch>
                  </pic:blipFill>
                  <pic:spPr bwMode="auto">
                    <a:xfrm>
                      <a:off x="0" y="0"/>
                      <a:ext cx="2823456" cy="2522490"/>
                    </a:xfrm>
                    <a:prstGeom prst="rect">
                      <a:avLst/>
                    </a:prstGeom>
                    <a:noFill/>
                    <a:ln w="9525">
                      <a:noFill/>
                      <a:miter lim="800000"/>
                      <a:headEnd/>
                      <a:tailEnd/>
                    </a:ln>
                  </pic:spPr>
                </pic:pic>
              </a:graphicData>
            </a:graphic>
          </wp:inline>
        </w:drawing>
      </w:r>
    </w:p>
    <w:p w:rsidR="00F8652D" w:rsidRDefault="00F8652D" w:rsidP="00F8652D">
      <w:pPr>
        <w:shd w:val="clear" w:color="auto" w:fill="FFFFFF"/>
        <w:bidi w:val="0"/>
        <w:snapToGrid w:val="0"/>
        <w:spacing w:after="0" w:line="240" w:lineRule="auto"/>
        <w:ind w:firstLine="425"/>
        <w:jc w:val="both"/>
        <w:rPr>
          <w:rFonts w:ascii="Times New Roman" w:hAnsi="Times New Roman" w:cs="Times New Roman"/>
          <w:sz w:val="20"/>
          <w:szCs w:val="20"/>
          <w:lang w:eastAsia="zh-CN" w:bidi="ar-EG"/>
        </w:rPr>
      </w:pPr>
    </w:p>
    <w:p w:rsidR="00CF6B22" w:rsidRPr="00B44AD9" w:rsidRDefault="008F0283"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 xml:space="preserve">On the other hand, </w:t>
      </w:r>
      <w:r w:rsidR="00CF6B22" w:rsidRPr="00B44AD9">
        <w:rPr>
          <w:rFonts w:ascii="Times New Roman" w:hAnsi="Times New Roman" w:cs="Times New Roman"/>
          <w:sz w:val="20"/>
          <w:szCs w:val="20"/>
          <w:lang w:bidi="ar-EG"/>
        </w:rPr>
        <w:t>There was</w:t>
      </w:r>
      <w:r w:rsidR="004F7515">
        <w:rPr>
          <w:rFonts w:ascii="Times New Roman" w:hAnsi="Times New Roman" w:cs="Times New Roman" w:hint="eastAsia"/>
          <w:sz w:val="20"/>
          <w:szCs w:val="20"/>
          <w:lang w:eastAsia="zh-CN" w:bidi="ar-EG"/>
        </w:rPr>
        <w:t xml:space="preserve"> </w:t>
      </w:r>
      <w:r w:rsidR="001F4E8E" w:rsidRPr="00B44AD9">
        <w:rPr>
          <w:rFonts w:ascii="Times New Roman" w:hAnsi="Times New Roman" w:cs="Times New Roman"/>
          <w:sz w:val="20"/>
          <w:szCs w:val="20"/>
          <w:lang w:bidi="ar-EG"/>
        </w:rPr>
        <w:t>no</w:t>
      </w:r>
      <w:r w:rsidR="00CF6B22" w:rsidRPr="00B44AD9">
        <w:rPr>
          <w:rFonts w:ascii="Times New Roman" w:hAnsi="Times New Roman" w:cs="Times New Roman"/>
          <w:sz w:val="20"/>
          <w:szCs w:val="20"/>
          <w:lang w:bidi="ar-EG"/>
        </w:rPr>
        <w:t xml:space="preserve"> any significant difference as </w:t>
      </w:r>
      <w:r w:rsidR="00C720C5" w:rsidRPr="00B44AD9">
        <w:rPr>
          <w:rFonts w:ascii="Times New Roman" w:hAnsi="Times New Roman" w:cs="Times New Roman"/>
          <w:sz w:val="20"/>
          <w:szCs w:val="20"/>
          <w:lang w:bidi="ar-EG"/>
        </w:rPr>
        <w:t>regards</w:t>
      </w:r>
      <w:r w:rsidR="00CF6B22" w:rsidRPr="00B44AD9">
        <w:rPr>
          <w:rFonts w:ascii="Times New Roman" w:hAnsi="Times New Roman" w:cs="Times New Roman"/>
          <w:sz w:val="20"/>
          <w:szCs w:val="20"/>
          <w:lang w:bidi="ar-EG"/>
        </w:rPr>
        <w:t xml:space="preserve"> the time to HCC occurrence between patients </w:t>
      </w:r>
      <w:r w:rsidR="001F4E8E" w:rsidRPr="00B44AD9">
        <w:rPr>
          <w:rFonts w:ascii="Times New Roman" w:hAnsi="Times New Roman" w:cs="Times New Roman"/>
          <w:sz w:val="20"/>
          <w:szCs w:val="20"/>
          <w:lang w:bidi="ar-EG"/>
        </w:rPr>
        <w:t xml:space="preserve">who </w:t>
      </w:r>
      <w:r w:rsidR="00A54BFC" w:rsidRPr="00B44AD9">
        <w:rPr>
          <w:rFonts w:ascii="Times New Roman" w:hAnsi="Times New Roman" w:cs="Times New Roman"/>
          <w:sz w:val="20"/>
          <w:szCs w:val="20"/>
          <w:lang w:bidi="ar-EG"/>
        </w:rPr>
        <w:t>were treated with DAA</w:t>
      </w:r>
      <w:r w:rsidR="00CF6B22" w:rsidRPr="00B44AD9">
        <w:rPr>
          <w:rFonts w:ascii="Times New Roman" w:hAnsi="Times New Roman" w:cs="Times New Roman"/>
          <w:sz w:val="20"/>
          <w:szCs w:val="20"/>
          <w:lang w:bidi="ar-EG"/>
        </w:rPr>
        <w:t xml:space="preserve"> an</w:t>
      </w:r>
      <w:r w:rsidR="00AB2993" w:rsidRPr="00B44AD9">
        <w:rPr>
          <w:rFonts w:ascii="Times New Roman" w:hAnsi="Times New Roman" w:cs="Times New Roman"/>
          <w:sz w:val="20"/>
          <w:szCs w:val="20"/>
          <w:lang w:bidi="ar-EG"/>
        </w:rPr>
        <w:t>d</w:t>
      </w:r>
      <w:r w:rsidR="004F7515">
        <w:rPr>
          <w:rFonts w:ascii="Times New Roman" w:hAnsi="Times New Roman" w:cs="Times New Roman" w:hint="eastAsia"/>
          <w:sz w:val="20"/>
          <w:szCs w:val="20"/>
          <w:lang w:eastAsia="zh-CN" w:bidi="ar-EG"/>
        </w:rPr>
        <w:t xml:space="preserve"> </w:t>
      </w:r>
      <w:r w:rsidR="00F86FEC" w:rsidRPr="00B44AD9">
        <w:rPr>
          <w:rFonts w:ascii="Times New Roman" w:hAnsi="Times New Roman" w:cs="Times New Roman"/>
          <w:sz w:val="20"/>
          <w:szCs w:val="20"/>
          <w:lang w:bidi="ar-EG"/>
        </w:rPr>
        <w:t>those</w:t>
      </w:r>
      <w:r w:rsidR="004F7515">
        <w:rPr>
          <w:rFonts w:ascii="Times New Roman" w:hAnsi="Times New Roman" w:cs="Times New Roman" w:hint="eastAsia"/>
          <w:sz w:val="20"/>
          <w:szCs w:val="20"/>
          <w:lang w:eastAsia="zh-CN" w:bidi="ar-EG"/>
        </w:rPr>
        <w:t xml:space="preserve"> </w:t>
      </w:r>
      <w:r w:rsidR="00A54BFC" w:rsidRPr="00B44AD9">
        <w:rPr>
          <w:rFonts w:ascii="Times New Roman" w:hAnsi="Times New Roman" w:cs="Times New Roman"/>
          <w:sz w:val="20"/>
          <w:szCs w:val="20"/>
          <w:lang w:bidi="ar-EG"/>
        </w:rPr>
        <w:t>treated with</w:t>
      </w:r>
      <w:r w:rsidR="00CF6B22" w:rsidRPr="00B44AD9">
        <w:rPr>
          <w:rFonts w:ascii="Times New Roman" w:hAnsi="Times New Roman" w:cs="Times New Roman"/>
          <w:sz w:val="20"/>
          <w:szCs w:val="20"/>
          <w:lang w:bidi="ar-EG"/>
        </w:rPr>
        <w:t xml:space="preserve"> Peg-IFN (P value =0.302).</w:t>
      </w:r>
    </w:p>
    <w:p w:rsidR="00520406"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p>
    <w:p w:rsidR="006771BF"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t xml:space="preserve">4. </w:t>
      </w:r>
      <w:r w:rsidR="006771BF" w:rsidRPr="00B44AD9">
        <w:rPr>
          <w:rFonts w:ascii="Times New Roman" w:eastAsia="Calibri" w:hAnsi="Times New Roman" w:cs="Times New Roman"/>
          <w:b/>
          <w:bCs/>
          <w:sz w:val="20"/>
          <w:szCs w:val="20"/>
        </w:rPr>
        <w:t>Discussion:</w:t>
      </w:r>
    </w:p>
    <w:p w:rsidR="00276E52" w:rsidRPr="00B44AD9" w:rsidRDefault="00276E52"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rPr>
        <w:t xml:space="preserve">Recently, the occurrence of de novo or recurrence of HCC in HCV patients who </w:t>
      </w:r>
      <w:r w:rsidR="00A54BFC" w:rsidRPr="00B44AD9">
        <w:rPr>
          <w:rFonts w:ascii="Times New Roman" w:hAnsi="Times New Roman" w:cs="Times New Roman"/>
          <w:sz w:val="20"/>
          <w:szCs w:val="20"/>
        </w:rPr>
        <w:t xml:space="preserve">were </w:t>
      </w:r>
      <w:r w:rsidRPr="00B44AD9">
        <w:rPr>
          <w:rFonts w:ascii="Times New Roman" w:hAnsi="Times New Roman" w:cs="Times New Roman"/>
          <w:sz w:val="20"/>
          <w:szCs w:val="20"/>
        </w:rPr>
        <w:t xml:space="preserve">treated with the new </w:t>
      </w:r>
      <w:r w:rsidR="00A54BFC" w:rsidRPr="00B44AD9">
        <w:rPr>
          <w:rFonts w:ascii="Times New Roman" w:hAnsi="Times New Roman" w:cs="Times New Roman"/>
          <w:sz w:val="20"/>
          <w:szCs w:val="20"/>
        </w:rPr>
        <w:t>DAA</w:t>
      </w:r>
      <w:r w:rsidR="004F7515">
        <w:rPr>
          <w:rFonts w:ascii="Times New Roman" w:hAnsi="Times New Roman" w:cs="Times New Roman" w:hint="eastAsia"/>
          <w:sz w:val="20"/>
          <w:szCs w:val="20"/>
          <w:lang w:eastAsia="zh-CN"/>
        </w:rPr>
        <w:t xml:space="preserve"> </w:t>
      </w:r>
      <w:r w:rsidRPr="00B44AD9">
        <w:rPr>
          <w:rFonts w:ascii="Times New Roman" w:hAnsi="Times New Roman" w:cs="Times New Roman"/>
          <w:sz w:val="20"/>
          <w:szCs w:val="20"/>
        </w:rPr>
        <w:t xml:space="preserve">has </w:t>
      </w:r>
      <w:r w:rsidR="006B29C7" w:rsidRPr="00B44AD9">
        <w:rPr>
          <w:rFonts w:ascii="Times New Roman" w:hAnsi="Times New Roman" w:cs="Times New Roman"/>
          <w:sz w:val="20"/>
          <w:szCs w:val="20"/>
        </w:rPr>
        <w:t xml:space="preserve">gained </w:t>
      </w:r>
      <w:r w:rsidRPr="00B44AD9">
        <w:rPr>
          <w:rFonts w:ascii="Times New Roman" w:hAnsi="Times New Roman" w:cs="Times New Roman"/>
          <w:sz w:val="20"/>
          <w:szCs w:val="20"/>
        </w:rPr>
        <w:t xml:space="preserve">rising interest </w:t>
      </w:r>
      <w:r w:rsidR="006B29C7" w:rsidRPr="00B44AD9">
        <w:rPr>
          <w:rFonts w:ascii="Times New Roman" w:hAnsi="Times New Roman" w:cs="Times New Roman"/>
          <w:sz w:val="20"/>
          <w:szCs w:val="20"/>
        </w:rPr>
        <w:t xml:space="preserve">and wide debates </w:t>
      </w:r>
      <w:r w:rsidRPr="00B44AD9">
        <w:rPr>
          <w:rFonts w:ascii="Times New Roman" w:hAnsi="Times New Roman" w:cs="Times New Roman"/>
          <w:sz w:val="20"/>
          <w:szCs w:val="20"/>
        </w:rPr>
        <w:t xml:space="preserve">in clinical application. </w:t>
      </w:r>
      <w:r w:rsidRPr="00B44AD9">
        <w:rPr>
          <w:rFonts w:ascii="Times New Roman" w:hAnsi="Times New Roman" w:cs="Times New Roman"/>
          <w:sz w:val="20"/>
          <w:szCs w:val="20"/>
          <w:lang w:bidi="ar-EG"/>
        </w:rPr>
        <w:t>The recent published studies</w:t>
      </w:r>
      <w:r w:rsidR="004F7515">
        <w:rPr>
          <w:rFonts w:ascii="Times New Roman" w:hAnsi="Times New Roman" w:cs="Times New Roman" w:hint="eastAsia"/>
          <w:sz w:val="20"/>
          <w:szCs w:val="20"/>
          <w:lang w:eastAsia="zh-CN" w:bidi="ar-EG"/>
        </w:rPr>
        <w:t xml:space="preserve"> </w:t>
      </w:r>
      <w:r w:rsidR="00A54BFC" w:rsidRPr="00B44AD9">
        <w:rPr>
          <w:rFonts w:ascii="Times New Roman" w:hAnsi="Times New Roman" w:cs="Times New Roman"/>
          <w:sz w:val="20"/>
          <w:szCs w:val="20"/>
          <w:lang w:bidi="ar-EG"/>
        </w:rPr>
        <w:t>regard</w:t>
      </w:r>
      <w:r w:rsidRPr="00B44AD9">
        <w:rPr>
          <w:rFonts w:ascii="Times New Roman" w:hAnsi="Times New Roman" w:cs="Times New Roman"/>
          <w:sz w:val="20"/>
          <w:szCs w:val="20"/>
          <w:lang w:bidi="ar-EG"/>
        </w:rPr>
        <w:t>ing the risk of developing HCC after treatment with DAA</w:t>
      </w:r>
      <w:r w:rsidR="006B29C7" w:rsidRPr="00B44AD9">
        <w:rPr>
          <w:rFonts w:ascii="Times New Roman" w:hAnsi="Times New Roman" w:cs="Times New Roman"/>
          <w:sz w:val="20"/>
          <w:szCs w:val="20"/>
          <w:lang w:bidi="ar-EG"/>
        </w:rPr>
        <w:t>s</w:t>
      </w:r>
      <w:r w:rsidRPr="00B44AD9">
        <w:rPr>
          <w:rFonts w:ascii="Times New Roman" w:hAnsi="Times New Roman" w:cs="Times New Roman"/>
          <w:sz w:val="20"/>
          <w:szCs w:val="20"/>
          <w:lang w:bidi="ar-EG"/>
        </w:rPr>
        <w:t xml:space="preserve"> conclu</w:t>
      </w:r>
      <w:r w:rsidR="00A54BFC" w:rsidRPr="00B44AD9">
        <w:rPr>
          <w:rFonts w:ascii="Times New Roman" w:hAnsi="Times New Roman" w:cs="Times New Roman"/>
          <w:sz w:val="20"/>
          <w:szCs w:val="20"/>
          <w:lang w:bidi="ar-EG"/>
        </w:rPr>
        <w:t>ded that achieving SVR with DAA</w:t>
      </w:r>
      <w:r w:rsidRPr="00B44AD9">
        <w:rPr>
          <w:rFonts w:ascii="Times New Roman" w:hAnsi="Times New Roman" w:cs="Times New Roman"/>
          <w:sz w:val="20"/>
          <w:szCs w:val="20"/>
          <w:lang w:bidi="ar-EG"/>
        </w:rPr>
        <w:t xml:space="preserve"> regimens was associated with a si</w:t>
      </w:r>
      <w:r w:rsidR="00A54BFC" w:rsidRPr="00B44AD9">
        <w:rPr>
          <w:rFonts w:ascii="Times New Roman" w:hAnsi="Times New Roman" w:cs="Times New Roman"/>
          <w:sz w:val="20"/>
          <w:szCs w:val="20"/>
          <w:lang w:bidi="ar-EG"/>
        </w:rPr>
        <w:t>gnificant risk reduction of HCC, h</w:t>
      </w:r>
      <w:r w:rsidRPr="00B44AD9">
        <w:rPr>
          <w:rFonts w:ascii="Times New Roman" w:hAnsi="Times New Roman" w:cs="Times New Roman"/>
          <w:sz w:val="20"/>
          <w:szCs w:val="20"/>
          <w:lang w:bidi="ar-EG"/>
        </w:rPr>
        <w:t>owever, this risk remained high in patients with advanced fibrosis, thus demanding continuous surveillance strategies in this populatio</w:t>
      </w:r>
      <w:r w:rsidR="00B44AD9" w:rsidRPr="00B44AD9">
        <w:rPr>
          <w:rFonts w:ascii="Times New Roman" w:hAnsi="Times New Roman" w:cs="Times New Roman"/>
          <w:sz w:val="20"/>
          <w:szCs w:val="20"/>
          <w:lang w:bidi="ar-EG"/>
        </w:rPr>
        <w:t xml:space="preserve">n </w:t>
      </w:r>
      <w:r w:rsidR="00B44AD9" w:rsidRPr="00B44AD9">
        <w:rPr>
          <w:rFonts w:ascii="Times New Roman" w:hAnsi="Times New Roman" w:cs="Times New Roman"/>
          <w:b/>
          <w:bCs/>
          <w:sz w:val="20"/>
          <w:szCs w:val="20"/>
          <w:lang w:bidi="ar-EG"/>
        </w:rPr>
        <w:t>(</w:t>
      </w:r>
      <w:r w:rsidR="00955FB8" w:rsidRPr="00B44AD9">
        <w:rPr>
          <w:rFonts w:ascii="Times New Roman" w:hAnsi="Times New Roman" w:cs="Times New Roman"/>
          <w:b/>
          <w:bCs/>
          <w:sz w:val="20"/>
          <w:szCs w:val="20"/>
          <w:lang w:bidi="ar-EG"/>
        </w:rPr>
        <w:t>7</w:t>
      </w:r>
      <w:r w:rsidR="002B065F" w:rsidRPr="00B44AD9">
        <w:rPr>
          <w:rFonts w:ascii="Times New Roman" w:hAnsi="Times New Roman" w:cs="Times New Roman"/>
          <w:b/>
          <w:bCs/>
          <w:sz w:val="20"/>
          <w:szCs w:val="20"/>
          <w:lang w:bidi="ar-EG"/>
        </w:rPr>
        <w:t>-8</w:t>
      </w:r>
      <w:r w:rsidR="00955FB8" w:rsidRPr="00B44AD9">
        <w:rPr>
          <w:rFonts w:ascii="Times New Roman" w:hAnsi="Times New Roman" w:cs="Times New Roman"/>
          <w:b/>
          <w:bCs/>
          <w:sz w:val="20"/>
          <w:szCs w:val="20"/>
          <w:lang w:bidi="ar-EG"/>
        </w:rPr>
        <w:t>)</w:t>
      </w:r>
      <w:r w:rsidRPr="00B44AD9">
        <w:rPr>
          <w:rFonts w:ascii="Times New Roman" w:hAnsi="Times New Roman" w:cs="Times New Roman"/>
          <w:sz w:val="20"/>
          <w:szCs w:val="20"/>
          <w:lang w:bidi="ar-EG"/>
        </w:rPr>
        <w:t xml:space="preserve">. </w:t>
      </w:r>
      <w:r w:rsidR="006B29C7" w:rsidRPr="00B44AD9">
        <w:rPr>
          <w:rFonts w:ascii="Times New Roman" w:hAnsi="Times New Roman" w:cs="Times New Roman"/>
          <w:sz w:val="20"/>
          <w:szCs w:val="20"/>
        </w:rPr>
        <w:t xml:space="preserve">We tried in this study to face these debates and to </w:t>
      </w:r>
      <w:r w:rsidRPr="00B44AD9">
        <w:rPr>
          <w:rFonts w:ascii="Times New Roman" w:hAnsi="Times New Roman" w:cs="Times New Roman"/>
          <w:sz w:val="20"/>
          <w:szCs w:val="20"/>
        </w:rPr>
        <w:t xml:space="preserve">evaluate </w:t>
      </w:r>
      <w:r w:rsidR="006B29C7" w:rsidRPr="00B44AD9">
        <w:rPr>
          <w:rFonts w:ascii="Times New Roman" w:hAnsi="Times New Roman" w:cs="Times New Roman"/>
          <w:sz w:val="20"/>
          <w:szCs w:val="20"/>
        </w:rPr>
        <w:t xml:space="preserve">the </w:t>
      </w:r>
      <w:r w:rsidRPr="00B44AD9">
        <w:rPr>
          <w:rFonts w:ascii="Times New Roman" w:hAnsi="Times New Roman" w:cs="Times New Roman"/>
          <w:sz w:val="20"/>
          <w:szCs w:val="20"/>
        </w:rPr>
        <w:t>possible risk predictors related to de novo HCC in HCV patients who achieve</w:t>
      </w:r>
      <w:r w:rsidR="00F8652D" w:rsidRPr="00B44AD9">
        <w:rPr>
          <w:rFonts w:ascii="Times New Roman" w:hAnsi="Times New Roman" w:cs="Times New Roman"/>
          <w:sz w:val="20"/>
          <w:szCs w:val="20"/>
        </w:rPr>
        <w:t>d</w:t>
      </w:r>
      <w:r w:rsidR="00F8652D">
        <w:rPr>
          <w:rFonts w:ascii="Times New Roman" w:hAnsi="Times New Roman" w:cs="Times New Roman"/>
          <w:sz w:val="20"/>
          <w:szCs w:val="20"/>
        </w:rPr>
        <w:t xml:space="preserve"> </w:t>
      </w:r>
      <w:r w:rsidR="00F8652D" w:rsidRPr="00B44AD9">
        <w:rPr>
          <w:rFonts w:ascii="Times New Roman" w:hAnsi="Times New Roman" w:cs="Times New Roman"/>
          <w:sz w:val="20"/>
          <w:szCs w:val="20"/>
        </w:rPr>
        <w:t>S</w:t>
      </w:r>
      <w:r w:rsidR="006B29C7" w:rsidRPr="00B44AD9">
        <w:rPr>
          <w:rFonts w:ascii="Times New Roman" w:hAnsi="Times New Roman" w:cs="Times New Roman"/>
          <w:sz w:val="20"/>
          <w:szCs w:val="20"/>
        </w:rPr>
        <w:t>VR to</w:t>
      </w:r>
      <w:r w:rsidRPr="00B44AD9">
        <w:rPr>
          <w:rFonts w:ascii="Times New Roman" w:hAnsi="Times New Roman" w:cs="Times New Roman"/>
          <w:sz w:val="20"/>
          <w:szCs w:val="20"/>
        </w:rPr>
        <w:t xml:space="preserve"> either the new DAAs or peg-IFN regimens.</w:t>
      </w:r>
    </w:p>
    <w:p w:rsidR="005F7BCB" w:rsidRPr="00B44AD9" w:rsidRDefault="005F7BCB" w:rsidP="00F8652D">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Evaluation of the risk estimate of liver fibrosis using the FIB4 scores:</w:t>
      </w:r>
    </w:p>
    <w:p w:rsidR="00276E52" w:rsidRPr="00B44AD9" w:rsidRDefault="005F7BCB"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 xml:space="preserve">Our results showed that liver fibrosis using FIB4 score is a significant independent risk predictor for occurrence of de novo HCC, moreover de novo HCC has a high likelihood ratio (10.9) to </w:t>
      </w:r>
      <w:r w:rsidR="004F7515">
        <w:rPr>
          <w:rFonts w:ascii="Times New Roman" w:hAnsi="Times New Roman" w:cs="Times New Roman"/>
          <w:sz w:val="20"/>
          <w:szCs w:val="20"/>
        </w:rPr>
        <w:t>occurred</w:t>
      </w:r>
      <w:r w:rsidR="004F7515">
        <w:rPr>
          <w:rFonts w:ascii="Times New Roman" w:hAnsi="Times New Roman" w:cs="Times New Roman" w:hint="eastAsia"/>
          <w:sz w:val="20"/>
          <w:szCs w:val="20"/>
          <w:lang w:eastAsia="zh-CN"/>
        </w:rPr>
        <w:t xml:space="preserve"> </w:t>
      </w:r>
      <w:r w:rsidR="00D975BA" w:rsidRPr="00B44AD9">
        <w:rPr>
          <w:rFonts w:ascii="Times New Roman" w:hAnsi="Times New Roman" w:cs="Times New Roman"/>
          <w:sz w:val="20"/>
          <w:szCs w:val="20"/>
        </w:rPr>
        <w:t>at</w:t>
      </w:r>
      <w:r w:rsidR="004F7515">
        <w:rPr>
          <w:rFonts w:ascii="Times New Roman" w:hAnsi="Times New Roman" w:cs="Times New Roman" w:hint="eastAsia"/>
          <w:sz w:val="20"/>
          <w:szCs w:val="20"/>
          <w:lang w:eastAsia="zh-CN"/>
        </w:rPr>
        <w:t xml:space="preserve"> </w:t>
      </w:r>
      <w:r w:rsidR="00D975BA" w:rsidRPr="00B44AD9">
        <w:rPr>
          <w:rFonts w:ascii="Times New Roman" w:hAnsi="Times New Roman" w:cs="Times New Roman"/>
          <w:sz w:val="20"/>
          <w:szCs w:val="20"/>
        </w:rPr>
        <w:t xml:space="preserve">a </w:t>
      </w:r>
      <w:r w:rsidRPr="00B44AD9">
        <w:rPr>
          <w:rFonts w:ascii="Times New Roman" w:hAnsi="Times New Roman" w:cs="Times New Roman"/>
          <w:sz w:val="20"/>
          <w:szCs w:val="20"/>
        </w:rPr>
        <w:t xml:space="preserve">cut off </w:t>
      </w:r>
      <w:r w:rsidR="00127B62" w:rsidRPr="00B44AD9">
        <w:rPr>
          <w:rFonts w:ascii="Times New Roman" w:hAnsi="Times New Roman" w:cs="Times New Roman"/>
          <w:sz w:val="20"/>
          <w:szCs w:val="20"/>
        </w:rPr>
        <w:t xml:space="preserve">level for FIB4 score of 4.34. Many </w:t>
      </w:r>
      <w:r w:rsidR="00D975BA" w:rsidRPr="00B44AD9">
        <w:rPr>
          <w:rFonts w:ascii="Times New Roman" w:hAnsi="Times New Roman" w:cs="Times New Roman"/>
          <w:sz w:val="20"/>
          <w:szCs w:val="20"/>
        </w:rPr>
        <w:t xml:space="preserve">recently </w:t>
      </w:r>
      <w:r w:rsidR="00127B62" w:rsidRPr="00B44AD9">
        <w:rPr>
          <w:rFonts w:ascii="Times New Roman" w:hAnsi="Times New Roman" w:cs="Times New Roman"/>
          <w:sz w:val="20"/>
          <w:szCs w:val="20"/>
        </w:rPr>
        <w:t xml:space="preserve">published papers </w:t>
      </w:r>
      <w:r w:rsidR="003F30DE" w:rsidRPr="00B44AD9">
        <w:rPr>
          <w:rFonts w:ascii="Times New Roman" w:hAnsi="Times New Roman" w:cs="Times New Roman"/>
          <w:sz w:val="20"/>
          <w:szCs w:val="20"/>
        </w:rPr>
        <w:t>had</w:t>
      </w:r>
      <w:r w:rsidR="00127B62" w:rsidRPr="00B44AD9">
        <w:rPr>
          <w:rFonts w:ascii="Times New Roman" w:hAnsi="Times New Roman" w:cs="Times New Roman"/>
          <w:sz w:val="20"/>
          <w:szCs w:val="20"/>
        </w:rPr>
        <w:t xml:space="preserve"> similar results that identified the carcinogenic hazard of advanced liver fibrosis</w:t>
      </w:r>
      <w:r w:rsidR="005401EE" w:rsidRPr="00B44AD9">
        <w:rPr>
          <w:rFonts w:ascii="Times New Roman" w:hAnsi="Times New Roman" w:cs="Times New Roman"/>
          <w:sz w:val="20"/>
          <w:szCs w:val="20"/>
        </w:rPr>
        <w:t xml:space="preserve"> and </w:t>
      </w:r>
      <w:r w:rsidR="005401EE" w:rsidRPr="00B44AD9">
        <w:rPr>
          <w:rFonts w:ascii="Times New Roman" w:hAnsi="Times New Roman" w:cs="Times New Roman"/>
          <w:sz w:val="20"/>
          <w:szCs w:val="20"/>
        </w:rPr>
        <w:lastRenderedPageBreak/>
        <w:t>concluded that non-invasive markers of liver fibrosis can be used to identify patients at increased risk for HCC following DAA therapy</w:t>
      </w:r>
      <w:r w:rsidR="00127B62" w:rsidRPr="00B44AD9">
        <w:rPr>
          <w:rFonts w:ascii="Times New Roman" w:hAnsi="Times New Roman" w:cs="Times New Roman"/>
          <w:sz w:val="20"/>
          <w:szCs w:val="20"/>
        </w:rPr>
        <w:t xml:space="preserve"> in HCV </w:t>
      </w:r>
      <w:r w:rsidR="00BE7BF7" w:rsidRPr="00B44AD9">
        <w:rPr>
          <w:rFonts w:ascii="Times New Roman" w:hAnsi="Times New Roman" w:cs="Times New Roman"/>
          <w:sz w:val="20"/>
          <w:szCs w:val="20"/>
        </w:rPr>
        <w:t>patient</w:t>
      </w:r>
      <w:r w:rsidR="00B44AD9" w:rsidRPr="00B44AD9">
        <w:rPr>
          <w:rFonts w:ascii="Times New Roman" w:hAnsi="Times New Roman" w:cs="Times New Roman"/>
          <w:sz w:val="20"/>
          <w:szCs w:val="20"/>
        </w:rPr>
        <w:t xml:space="preserve">s </w:t>
      </w:r>
      <w:r w:rsidR="00B44AD9" w:rsidRPr="00B44AD9">
        <w:rPr>
          <w:rFonts w:ascii="Times New Roman" w:hAnsi="Times New Roman" w:cs="Times New Roman"/>
          <w:b/>
          <w:bCs/>
          <w:sz w:val="20"/>
          <w:szCs w:val="20"/>
        </w:rPr>
        <w:t>(</w:t>
      </w:r>
      <w:r w:rsidR="00A94423" w:rsidRPr="00B44AD9">
        <w:rPr>
          <w:rFonts w:ascii="Times New Roman" w:hAnsi="Times New Roman" w:cs="Times New Roman"/>
          <w:b/>
          <w:bCs/>
          <w:sz w:val="20"/>
          <w:szCs w:val="20"/>
        </w:rPr>
        <w:t>9-11</w:t>
      </w:r>
      <w:r w:rsidR="002B065F" w:rsidRPr="00B44AD9">
        <w:rPr>
          <w:rFonts w:ascii="Times New Roman" w:hAnsi="Times New Roman" w:cs="Times New Roman"/>
          <w:b/>
          <w:bCs/>
          <w:sz w:val="20"/>
          <w:szCs w:val="20"/>
        </w:rPr>
        <w:t>)</w:t>
      </w:r>
      <w:r w:rsidR="00BE7BF7" w:rsidRPr="00B44AD9">
        <w:rPr>
          <w:rFonts w:ascii="Times New Roman" w:hAnsi="Times New Roman" w:cs="Times New Roman"/>
          <w:sz w:val="20"/>
          <w:szCs w:val="20"/>
        </w:rPr>
        <w:t>.</w:t>
      </w:r>
    </w:p>
    <w:p w:rsidR="007724D2" w:rsidRPr="00B44AD9" w:rsidRDefault="007724D2" w:rsidP="00F8652D">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Evaluation of the risk estimate of liver dysfunction using MELD or Child Pugh scores:</w:t>
      </w:r>
    </w:p>
    <w:p w:rsidR="005F7BCB" w:rsidRPr="00B44AD9" w:rsidRDefault="007724D2" w:rsidP="00F8652D">
      <w:pPr>
        <w:shd w:val="clear" w:color="auto" w:fill="FFFFFF"/>
        <w:bidi w:val="0"/>
        <w:snapToGrid w:val="0"/>
        <w:spacing w:after="0" w:line="240" w:lineRule="auto"/>
        <w:ind w:firstLine="425"/>
        <w:jc w:val="both"/>
        <w:rPr>
          <w:rFonts w:ascii="Times New Roman" w:hAnsi="Times New Roman" w:cs="Times New Roman"/>
          <w:sz w:val="20"/>
          <w:szCs w:val="20"/>
        </w:rPr>
      </w:pPr>
      <w:r w:rsidRPr="00B44AD9">
        <w:rPr>
          <w:rFonts w:ascii="Times New Roman" w:hAnsi="Times New Roman" w:cs="Times New Roman"/>
          <w:sz w:val="20"/>
          <w:szCs w:val="20"/>
        </w:rPr>
        <w:t xml:space="preserve">Our results showed that MELD and Child Pugh scores are significant independent risk predictors for occurrence of de novo HCC; moreover de novo HCC has a high likelihood ratio to occure in patients with higher MELD and Child Pugh scores (LR; 37.4 and 4.08 respectively with cut off levels; 16.95 and 8 respectively). </w:t>
      </w:r>
      <w:r w:rsidR="00A94423" w:rsidRPr="00B44AD9">
        <w:rPr>
          <w:rFonts w:ascii="Times New Roman" w:hAnsi="Times New Roman" w:cs="Times New Roman"/>
          <w:sz w:val="20"/>
          <w:szCs w:val="20"/>
        </w:rPr>
        <w:t xml:space="preserve">The results of </w:t>
      </w:r>
      <w:r w:rsidR="00944332" w:rsidRPr="00B44AD9">
        <w:rPr>
          <w:rFonts w:ascii="Times New Roman" w:hAnsi="Times New Roman" w:cs="Times New Roman"/>
          <w:sz w:val="20"/>
          <w:szCs w:val="20"/>
        </w:rPr>
        <w:t>Sye</w:t>
      </w:r>
      <w:r w:rsidR="00F8652D" w:rsidRPr="00B44AD9">
        <w:rPr>
          <w:rFonts w:ascii="Times New Roman" w:hAnsi="Times New Roman" w:cs="Times New Roman"/>
          <w:sz w:val="20"/>
          <w:szCs w:val="20"/>
        </w:rPr>
        <w:t>d</w:t>
      </w:r>
      <w:r w:rsidR="00F8652D">
        <w:rPr>
          <w:rFonts w:ascii="Times New Roman" w:hAnsi="Times New Roman" w:cs="Times New Roman"/>
          <w:sz w:val="20"/>
          <w:szCs w:val="20"/>
        </w:rPr>
        <w:t xml:space="preserve"> </w:t>
      </w:r>
      <w:r w:rsidR="00F8652D" w:rsidRPr="00B44AD9">
        <w:rPr>
          <w:rFonts w:ascii="Times New Roman" w:hAnsi="Times New Roman" w:cs="Times New Roman"/>
          <w:sz w:val="20"/>
          <w:szCs w:val="20"/>
        </w:rPr>
        <w:t>T</w:t>
      </w:r>
      <w:r w:rsidR="003251FD" w:rsidRPr="00B44AD9">
        <w:rPr>
          <w:rFonts w:ascii="Times New Roman" w:hAnsi="Times New Roman" w:cs="Times New Roman"/>
          <w:sz w:val="20"/>
          <w:szCs w:val="20"/>
        </w:rPr>
        <w:t xml:space="preserve"> </w:t>
      </w:r>
      <w:r w:rsidR="00944332" w:rsidRPr="00B44AD9">
        <w:rPr>
          <w:rFonts w:ascii="Times New Roman" w:hAnsi="Times New Roman" w:cs="Times New Roman"/>
          <w:sz w:val="20"/>
          <w:szCs w:val="20"/>
        </w:rPr>
        <w:t xml:space="preserve">et al, showed </w:t>
      </w:r>
      <w:r w:rsidR="00A94423" w:rsidRPr="00B44AD9">
        <w:rPr>
          <w:rFonts w:ascii="Times New Roman" w:hAnsi="Times New Roman" w:cs="Times New Roman"/>
          <w:sz w:val="20"/>
          <w:szCs w:val="20"/>
        </w:rPr>
        <w:t>higher</w:t>
      </w:r>
      <w:r w:rsidR="003251FD" w:rsidRPr="00B44AD9">
        <w:rPr>
          <w:rFonts w:ascii="Times New Roman" w:hAnsi="Times New Roman" w:cs="Times New Roman"/>
          <w:sz w:val="20"/>
          <w:szCs w:val="20"/>
        </w:rPr>
        <w:t>,</w:t>
      </w:r>
      <w:r w:rsidR="00A94423" w:rsidRPr="00B44AD9">
        <w:rPr>
          <w:rFonts w:ascii="Times New Roman" w:hAnsi="Times New Roman" w:cs="Times New Roman"/>
          <w:sz w:val="20"/>
          <w:szCs w:val="20"/>
        </w:rPr>
        <w:t xml:space="preserve"> however </w:t>
      </w:r>
      <w:r w:rsidR="00944332" w:rsidRPr="00B44AD9">
        <w:rPr>
          <w:rFonts w:ascii="Times New Roman" w:hAnsi="Times New Roman" w:cs="Times New Roman"/>
          <w:sz w:val="20"/>
          <w:szCs w:val="20"/>
        </w:rPr>
        <w:t>non-significant</w:t>
      </w:r>
      <w:r w:rsidR="003251FD" w:rsidRPr="00B44AD9">
        <w:rPr>
          <w:rFonts w:ascii="Times New Roman" w:hAnsi="Times New Roman" w:cs="Times New Roman"/>
          <w:sz w:val="20"/>
          <w:szCs w:val="20"/>
        </w:rPr>
        <w:t>,</w:t>
      </w:r>
      <w:r w:rsidR="00944332" w:rsidRPr="00B44AD9">
        <w:rPr>
          <w:rFonts w:ascii="Times New Roman" w:hAnsi="Times New Roman" w:cs="Times New Roman"/>
          <w:sz w:val="20"/>
          <w:szCs w:val="20"/>
        </w:rPr>
        <w:t xml:space="preserve"> difference </w:t>
      </w:r>
      <w:r w:rsidR="00A94423" w:rsidRPr="00B44AD9">
        <w:rPr>
          <w:rFonts w:ascii="Times New Roman" w:hAnsi="Times New Roman" w:cs="Times New Roman"/>
          <w:sz w:val="20"/>
          <w:szCs w:val="20"/>
        </w:rPr>
        <w:t xml:space="preserve">as </w:t>
      </w:r>
      <w:r w:rsidR="00C720C5" w:rsidRPr="00B44AD9">
        <w:rPr>
          <w:rFonts w:ascii="Times New Roman" w:hAnsi="Times New Roman" w:cs="Times New Roman"/>
          <w:sz w:val="20"/>
          <w:szCs w:val="20"/>
        </w:rPr>
        <w:t>regards</w:t>
      </w:r>
      <w:r w:rsidR="00A94423" w:rsidRPr="00B44AD9">
        <w:rPr>
          <w:rFonts w:ascii="Times New Roman" w:hAnsi="Times New Roman" w:cs="Times New Roman"/>
          <w:sz w:val="20"/>
          <w:szCs w:val="20"/>
        </w:rPr>
        <w:t xml:space="preserve"> both MELD </w:t>
      </w:r>
      <w:r w:rsidR="003251FD" w:rsidRPr="00B44AD9">
        <w:rPr>
          <w:rFonts w:ascii="Times New Roman" w:hAnsi="Times New Roman" w:cs="Times New Roman"/>
          <w:sz w:val="20"/>
          <w:szCs w:val="20"/>
        </w:rPr>
        <w:t>and Child</w:t>
      </w:r>
      <w:r w:rsidR="00A94423" w:rsidRPr="00B44AD9">
        <w:rPr>
          <w:rFonts w:ascii="Times New Roman" w:hAnsi="Times New Roman" w:cs="Times New Roman"/>
          <w:sz w:val="20"/>
          <w:szCs w:val="20"/>
        </w:rPr>
        <w:t xml:space="preserve"> Pugh score</w:t>
      </w:r>
      <w:r w:rsidR="00B44AD9" w:rsidRPr="00B44AD9">
        <w:rPr>
          <w:rFonts w:ascii="Times New Roman" w:hAnsi="Times New Roman" w:cs="Times New Roman"/>
          <w:sz w:val="20"/>
          <w:szCs w:val="20"/>
        </w:rPr>
        <w:t>s (</w:t>
      </w:r>
      <w:r w:rsidR="00A94423" w:rsidRPr="00B44AD9">
        <w:rPr>
          <w:rFonts w:ascii="Times New Roman" w:hAnsi="Times New Roman" w:cs="Times New Roman"/>
          <w:sz w:val="20"/>
          <w:szCs w:val="20"/>
        </w:rPr>
        <w:t>p value</w:t>
      </w:r>
      <w:r w:rsidR="003251FD" w:rsidRPr="00B44AD9">
        <w:rPr>
          <w:rFonts w:ascii="Times New Roman" w:hAnsi="Times New Roman" w:cs="Times New Roman"/>
          <w:sz w:val="20"/>
          <w:szCs w:val="20"/>
        </w:rPr>
        <w:t xml:space="preserve"> =</w:t>
      </w:r>
      <w:r w:rsidR="00A94423" w:rsidRPr="00B44AD9">
        <w:rPr>
          <w:rFonts w:ascii="Times New Roman" w:hAnsi="Times New Roman" w:cs="Times New Roman"/>
          <w:sz w:val="20"/>
          <w:szCs w:val="20"/>
        </w:rPr>
        <w:t xml:space="preserve">0.173 and 0.064 respectively) between </w:t>
      </w:r>
      <w:r w:rsidR="003251FD" w:rsidRPr="00B44AD9">
        <w:rPr>
          <w:rFonts w:ascii="Times New Roman" w:hAnsi="Times New Roman" w:cs="Times New Roman"/>
          <w:sz w:val="20"/>
          <w:szCs w:val="20"/>
        </w:rPr>
        <w:t xml:space="preserve">treated </w:t>
      </w:r>
      <w:r w:rsidR="00A94423" w:rsidRPr="00B44AD9">
        <w:rPr>
          <w:rFonts w:ascii="Times New Roman" w:hAnsi="Times New Roman" w:cs="Times New Roman"/>
          <w:sz w:val="20"/>
          <w:szCs w:val="20"/>
        </w:rPr>
        <w:t>HCV patients with HCC and t</w:t>
      </w:r>
      <w:r w:rsidR="00FF2CC7" w:rsidRPr="00B44AD9">
        <w:rPr>
          <w:rFonts w:ascii="Times New Roman" w:hAnsi="Times New Roman" w:cs="Times New Roman"/>
          <w:sz w:val="20"/>
          <w:szCs w:val="20"/>
        </w:rPr>
        <w:t xml:space="preserve">hose without HCC </w:t>
      </w:r>
      <w:r w:rsidR="00FF2CC7" w:rsidRPr="00B44AD9">
        <w:rPr>
          <w:rFonts w:ascii="Times New Roman" w:hAnsi="Times New Roman" w:cs="Times New Roman"/>
          <w:b/>
          <w:bCs/>
          <w:sz w:val="20"/>
          <w:szCs w:val="20"/>
        </w:rPr>
        <w:t>(11)</w:t>
      </w:r>
      <w:r w:rsidR="00FF2CC7" w:rsidRPr="00B44AD9">
        <w:rPr>
          <w:rFonts w:ascii="Times New Roman" w:hAnsi="Times New Roman" w:cs="Times New Roman"/>
          <w:sz w:val="20"/>
          <w:szCs w:val="20"/>
        </w:rPr>
        <w:t>.</w:t>
      </w:r>
    </w:p>
    <w:p w:rsidR="0022333E" w:rsidRPr="00B44AD9" w:rsidRDefault="0022333E" w:rsidP="00F8652D">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Evaluation of the risk estimate of DM:</w:t>
      </w:r>
    </w:p>
    <w:p w:rsidR="0022333E" w:rsidRPr="00B44AD9" w:rsidRDefault="0022333E"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Our results show that the diabetic patients had higher significant risk for HCC however, after adjustment of this risk estimate by multivariable logistic regression; we found that DM had a non-significant risk for HCC. These results are against many papers who concluded that DM can be used to identify patients at i</w:t>
      </w:r>
      <w:r w:rsidR="00B41F40" w:rsidRPr="00B44AD9">
        <w:rPr>
          <w:rFonts w:ascii="Times New Roman" w:hAnsi="Times New Roman" w:cs="Times New Roman"/>
          <w:sz w:val="20"/>
          <w:szCs w:val="20"/>
          <w:lang w:bidi="ar-EG"/>
        </w:rPr>
        <w:t xml:space="preserve">ncreased risk for HCC </w:t>
      </w:r>
      <w:r w:rsidR="003251FD" w:rsidRPr="00B44AD9">
        <w:rPr>
          <w:rFonts w:ascii="Times New Roman" w:hAnsi="Times New Roman" w:cs="Times New Roman"/>
          <w:sz w:val="20"/>
          <w:szCs w:val="20"/>
          <w:lang w:bidi="ar-EG"/>
        </w:rPr>
        <w:t>following DAA</w:t>
      </w:r>
      <w:r w:rsidRPr="00B44AD9">
        <w:rPr>
          <w:rFonts w:ascii="Times New Roman" w:hAnsi="Times New Roman" w:cs="Times New Roman"/>
          <w:sz w:val="20"/>
          <w:szCs w:val="20"/>
          <w:lang w:bidi="ar-EG"/>
        </w:rPr>
        <w:t xml:space="preserve"> therap</w:t>
      </w:r>
      <w:r w:rsidR="00B44AD9" w:rsidRPr="00B44AD9">
        <w:rPr>
          <w:rFonts w:ascii="Times New Roman" w:hAnsi="Times New Roman" w:cs="Times New Roman"/>
          <w:sz w:val="20"/>
          <w:szCs w:val="20"/>
          <w:lang w:bidi="ar-EG"/>
        </w:rPr>
        <w:t xml:space="preserve">y </w:t>
      </w:r>
      <w:r w:rsidR="00B44AD9" w:rsidRPr="00B44AD9">
        <w:rPr>
          <w:rFonts w:ascii="Times New Roman" w:hAnsi="Times New Roman" w:cs="Times New Roman"/>
          <w:b/>
          <w:bCs/>
          <w:sz w:val="20"/>
          <w:szCs w:val="20"/>
          <w:lang w:bidi="ar-EG"/>
        </w:rPr>
        <w:t>(</w:t>
      </w:r>
      <w:r w:rsidR="000F253D" w:rsidRPr="00B44AD9">
        <w:rPr>
          <w:rFonts w:ascii="Times New Roman" w:hAnsi="Times New Roman" w:cs="Times New Roman"/>
          <w:b/>
          <w:bCs/>
          <w:sz w:val="20"/>
          <w:szCs w:val="20"/>
          <w:lang w:bidi="ar-EG"/>
        </w:rPr>
        <w:t>9-13)</w:t>
      </w:r>
      <w:r w:rsidR="00F8652D" w:rsidRPr="00B44AD9">
        <w:rPr>
          <w:rFonts w:ascii="Times New Roman" w:hAnsi="Times New Roman" w:cs="Times New Roman"/>
          <w:sz w:val="20"/>
          <w:szCs w:val="20"/>
          <w:lang w:bidi="ar-EG"/>
        </w:rPr>
        <w:t>.</w:t>
      </w:r>
      <w:r w:rsidR="00F8652D">
        <w:rPr>
          <w:rFonts w:ascii="Times New Roman" w:hAnsi="Times New Roman" w:cs="Times New Roman"/>
          <w:sz w:val="20"/>
          <w:szCs w:val="20"/>
          <w:lang w:bidi="ar-EG"/>
        </w:rPr>
        <w:t xml:space="preserve"> </w:t>
      </w:r>
      <w:r w:rsidR="00F8652D" w:rsidRPr="00B44AD9">
        <w:rPr>
          <w:rFonts w:ascii="Times New Roman" w:hAnsi="Times New Roman" w:cs="Times New Roman"/>
          <w:sz w:val="20"/>
          <w:szCs w:val="20"/>
          <w:lang w:bidi="ar-EG"/>
        </w:rPr>
        <w:t>A</w:t>
      </w:r>
      <w:r w:rsidR="00B41F40" w:rsidRPr="00B44AD9">
        <w:rPr>
          <w:rFonts w:ascii="Times New Roman" w:hAnsi="Times New Roman" w:cs="Times New Roman"/>
          <w:sz w:val="20"/>
          <w:szCs w:val="20"/>
          <w:lang w:bidi="ar-EG"/>
        </w:rPr>
        <w:t xml:space="preserve">lthough, the exact mechanisms of carcinogenesis due to diabetes mellitus have not been reported, it has been </w:t>
      </w:r>
      <w:r w:rsidR="00270B6D" w:rsidRPr="00B44AD9">
        <w:rPr>
          <w:rFonts w:ascii="Times New Roman" w:hAnsi="Times New Roman" w:cs="Times New Roman"/>
          <w:sz w:val="20"/>
          <w:szCs w:val="20"/>
          <w:lang w:bidi="ar-EG"/>
        </w:rPr>
        <w:t>hypothesized</w:t>
      </w:r>
      <w:r w:rsidR="00B41F40" w:rsidRPr="00B44AD9">
        <w:rPr>
          <w:rFonts w:ascii="Times New Roman" w:hAnsi="Times New Roman" w:cs="Times New Roman"/>
          <w:sz w:val="20"/>
          <w:szCs w:val="20"/>
          <w:lang w:bidi="ar-EG"/>
        </w:rPr>
        <w:t xml:space="preserve"> that insulin resistance promoted susceptibility of t</w:t>
      </w:r>
      <w:r w:rsidR="00270B6D" w:rsidRPr="00B44AD9">
        <w:rPr>
          <w:rFonts w:ascii="Times New Roman" w:hAnsi="Times New Roman" w:cs="Times New Roman"/>
          <w:sz w:val="20"/>
          <w:szCs w:val="20"/>
          <w:lang w:bidi="ar-EG"/>
        </w:rPr>
        <w:t xml:space="preserve">he liver to lipid peroxidation and </w:t>
      </w:r>
      <w:r w:rsidR="00B41F40" w:rsidRPr="00B44AD9">
        <w:rPr>
          <w:rFonts w:ascii="Times New Roman" w:hAnsi="Times New Roman" w:cs="Times New Roman"/>
          <w:sz w:val="20"/>
          <w:szCs w:val="20"/>
          <w:lang w:bidi="ar-EG"/>
        </w:rPr>
        <w:t>production of reactive oxygen species, which could lead to carcinogenesi</w:t>
      </w:r>
      <w:r w:rsidR="00B44AD9" w:rsidRPr="00B44AD9">
        <w:rPr>
          <w:rFonts w:ascii="Times New Roman" w:hAnsi="Times New Roman" w:cs="Times New Roman"/>
          <w:sz w:val="20"/>
          <w:szCs w:val="20"/>
          <w:lang w:bidi="ar-EG"/>
        </w:rPr>
        <w:t xml:space="preserve">s </w:t>
      </w:r>
      <w:r w:rsidR="00B44AD9" w:rsidRPr="00B44AD9">
        <w:rPr>
          <w:rFonts w:ascii="Times New Roman" w:hAnsi="Times New Roman" w:cs="Times New Roman"/>
          <w:b/>
          <w:bCs/>
          <w:sz w:val="20"/>
          <w:szCs w:val="20"/>
          <w:lang w:bidi="ar-EG"/>
        </w:rPr>
        <w:t>(</w:t>
      </w:r>
      <w:r w:rsidR="00420BC2" w:rsidRPr="00B44AD9">
        <w:rPr>
          <w:rFonts w:ascii="Times New Roman" w:hAnsi="Times New Roman" w:cs="Times New Roman"/>
          <w:b/>
          <w:bCs/>
          <w:sz w:val="20"/>
          <w:szCs w:val="20"/>
          <w:lang w:bidi="ar-EG"/>
        </w:rPr>
        <w:t>14)</w:t>
      </w:r>
      <w:r w:rsidR="00B41F40" w:rsidRPr="00B44AD9">
        <w:rPr>
          <w:rFonts w:ascii="Times New Roman" w:hAnsi="Times New Roman" w:cs="Times New Roman"/>
          <w:sz w:val="20"/>
          <w:szCs w:val="20"/>
          <w:lang w:bidi="ar-EG"/>
        </w:rPr>
        <w:t>.</w:t>
      </w:r>
    </w:p>
    <w:p w:rsidR="00A021D9" w:rsidRPr="00B44AD9" w:rsidRDefault="00A021D9"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The debate in our results could be explained by the underlying live</w:t>
      </w:r>
      <w:r w:rsidR="00C149BC" w:rsidRPr="00B44AD9">
        <w:rPr>
          <w:rFonts w:ascii="Times New Roman" w:hAnsi="Times New Roman" w:cs="Times New Roman"/>
          <w:sz w:val="20"/>
          <w:szCs w:val="20"/>
          <w:lang w:bidi="ar-EG"/>
        </w:rPr>
        <w:t xml:space="preserve">r cirrhosis which is considered </w:t>
      </w:r>
      <w:r w:rsidRPr="00B44AD9">
        <w:rPr>
          <w:rFonts w:ascii="Times New Roman" w:hAnsi="Times New Roman" w:cs="Times New Roman"/>
          <w:sz w:val="20"/>
          <w:szCs w:val="20"/>
          <w:lang w:bidi="ar-EG"/>
        </w:rPr>
        <w:t>as an i</w:t>
      </w:r>
      <w:r w:rsidR="00C149BC" w:rsidRPr="00B44AD9">
        <w:rPr>
          <w:rFonts w:ascii="Times New Roman" w:hAnsi="Times New Roman" w:cs="Times New Roman"/>
          <w:sz w:val="20"/>
          <w:szCs w:val="20"/>
          <w:lang w:bidi="ar-EG"/>
        </w:rPr>
        <w:t xml:space="preserve">ndependent risk factor of liver </w:t>
      </w:r>
      <w:r w:rsidRPr="00B44AD9">
        <w:rPr>
          <w:rFonts w:ascii="Times New Roman" w:hAnsi="Times New Roman" w:cs="Times New Roman"/>
          <w:sz w:val="20"/>
          <w:szCs w:val="20"/>
          <w:lang w:bidi="ar-EG"/>
        </w:rPr>
        <w:t xml:space="preserve">carcinogenesis and the possible role of DM in this respect could be just a contributory risk factor in liver carcinogenesis. </w:t>
      </w:r>
    </w:p>
    <w:p w:rsidR="00D353FC" w:rsidRPr="00B44AD9" w:rsidRDefault="00D353FC" w:rsidP="00F8652D">
      <w:pPr>
        <w:shd w:val="clear" w:color="auto" w:fill="FFFFFF"/>
        <w:bidi w:val="0"/>
        <w:snapToGrid w:val="0"/>
        <w:spacing w:after="0" w:line="240" w:lineRule="auto"/>
        <w:jc w:val="both"/>
        <w:rPr>
          <w:rFonts w:ascii="Times New Roman" w:hAnsi="Times New Roman" w:cs="Times New Roman"/>
          <w:b/>
          <w:bCs/>
          <w:sz w:val="20"/>
          <w:szCs w:val="20"/>
          <w:lang w:bidi="ar-EG"/>
        </w:rPr>
      </w:pPr>
      <w:r w:rsidRPr="00B44AD9">
        <w:rPr>
          <w:rFonts w:ascii="Times New Roman" w:hAnsi="Times New Roman" w:cs="Times New Roman"/>
          <w:b/>
          <w:bCs/>
          <w:sz w:val="20"/>
          <w:szCs w:val="20"/>
          <w:lang w:bidi="ar-EG"/>
        </w:rPr>
        <w:t>Evaluation of the risk estimate of DAA vs Peg-IFN regimen:</w:t>
      </w:r>
    </w:p>
    <w:p w:rsidR="00F44718" w:rsidRPr="00B44AD9" w:rsidRDefault="00DE6C2E"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DAA effects, on the liver carcinogenesis after achieving an SVR are</w:t>
      </w:r>
      <w:r w:rsidR="00B869BA" w:rsidRPr="00B44AD9">
        <w:rPr>
          <w:rFonts w:ascii="Times New Roman" w:hAnsi="Times New Roman" w:cs="Times New Roman"/>
          <w:sz w:val="20"/>
          <w:szCs w:val="20"/>
          <w:lang w:bidi="ar-EG"/>
        </w:rPr>
        <w:t xml:space="preserve"> not clear. DAAs directly inhibit HCV proliferation, and compared with peg-IFN, they don't activate immunity </w:t>
      </w:r>
      <w:r w:rsidR="00F57499" w:rsidRPr="00B44AD9">
        <w:rPr>
          <w:rFonts w:ascii="Times New Roman" w:hAnsi="Times New Roman" w:cs="Times New Roman"/>
          <w:b/>
          <w:bCs/>
          <w:sz w:val="20"/>
          <w:szCs w:val="20"/>
          <w:lang w:bidi="ar-EG"/>
        </w:rPr>
        <w:t>(15)</w:t>
      </w:r>
      <w:r w:rsidR="00B869BA" w:rsidRPr="00B44AD9">
        <w:rPr>
          <w:rFonts w:ascii="Times New Roman" w:hAnsi="Times New Roman" w:cs="Times New Roman"/>
          <w:sz w:val="20"/>
          <w:szCs w:val="20"/>
          <w:lang w:bidi="ar-EG"/>
        </w:rPr>
        <w:t xml:space="preserve">. Rather, </w:t>
      </w:r>
      <w:r w:rsidR="00E378DA" w:rsidRPr="00B44AD9">
        <w:rPr>
          <w:rFonts w:ascii="Times New Roman" w:hAnsi="Times New Roman" w:cs="Times New Roman"/>
          <w:sz w:val="20"/>
          <w:szCs w:val="20"/>
          <w:lang w:bidi="ar-EG"/>
        </w:rPr>
        <w:t>they</w:t>
      </w:r>
      <w:r w:rsidR="00B869BA" w:rsidRPr="00B44AD9">
        <w:rPr>
          <w:rFonts w:ascii="Times New Roman" w:hAnsi="Times New Roman" w:cs="Times New Roman"/>
          <w:sz w:val="20"/>
          <w:szCs w:val="20"/>
          <w:lang w:bidi="ar-EG"/>
        </w:rPr>
        <w:t xml:space="preserve"> may suppress liver immunity by rapid viral elimination </w:t>
      </w:r>
      <w:r w:rsidR="00F57499" w:rsidRPr="00B44AD9">
        <w:rPr>
          <w:rFonts w:ascii="Times New Roman" w:hAnsi="Times New Roman" w:cs="Times New Roman"/>
          <w:b/>
          <w:bCs/>
          <w:sz w:val="20"/>
          <w:szCs w:val="20"/>
          <w:lang w:bidi="ar-EG"/>
        </w:rPr>
        <w:t>(16)</w:t>
      </w:r>
      <w:r w:rsidR="00B869BA" w:rsidRPr="00B44AD9">
        <w:rPr>
          <w:rFonts w:ascii="Times New Roman" w:hAnsi="Times New Roman" w:cs="Times New Roman"/>
          <w:sz w:val="20"/>
          <w:szCs w:val="20"/>
          <w:lang w:bidi="ar-EG"/>
        </w:rPr>
        <w:t xml:space="preserve">. </w:t>
      </w:r>
      <w:r w:rsidR="000B5BC2" w:rsidRPr="00B44AD9">
        <w:rPr>
          <w:rFonts w:ascii="Times New Roman" w:hAnsi="Times New Roman" w:cs="Times New Roman"/>
          <w:sz w:val="20"/>
          <w:szCs w:val="20"/>
          <w:lang w:bidi="ar-EG"/>
        </w:rPr>
        <w:t xml:space="preserve">The results of our study shows that; </w:t>
      </w:r>
      <w:r w:rsidR="00D353FC" w:rsidRPr="00B44AD9">
        <w:rPr>
          <w:rFonts w:ascii="Times New Roman" w:hAnsi="Times New Roman" w:cs="Times New Roman"/>
          <w:sz w:val="20"/>
          <w:szCs w:val="20"/>
          <w:lang w:bidi="ar-EG"/>
        </w:rPr>
        <w:t xml:space="preserve">HCV patients who were treated </w:t>
      </w:r>
      <w:r w:rsidR="000B5BC2" w:rsidRPr="00B44AD9">
        <w:rPr>
          <w:rFonts w:ascii="Times New Roman" w:hAnsi="Times New Roman" w:cs="Times New Roman"/>
          <w:sz w:val="20"/>
          <w:szCs w:val="20"/>
          <w:lang w:bidi="ar-EG"/>
        </w:rPr>
        <w:t>with</w:t>
      </w:r>
      <w:r w:rsidR="00D353FC" w:rsidRPr="00B44AD9">
        <w:rPr>
          <w:rFonts w:ascii="Times New Roman" w:hAnsi="Times New Roman" w:cs="Times New Roman"/>
          <w:sz w:val="20"/>
          <w:szCs w:val="20"/>
          <w:lang w:bidi="ar-EG"/>
        </w:rPr>
        <w:t xml:space="preserve"> DAAs had lower howev</w:t>
      </w:r>
      <w:r w:rsidR="000B5BC2" w:rsidRPr="00B44AD9">
        <w:rPr>
          <w:rFonts w:ascii="Times New Roman" w:hAnsi="Times New Roman" w:cs="Times New Roman"/>
          <w:sz w:val="20"/>
          <w:szCs w:val="20"/>
          <w:lang w:bidi="ar-EG"/>
        </w:rPr>
        <w:t>er non-</w:t>
      </w:r>
      <w:r w:rsidR="00D353FC" w:rsidRPr="00B44AD9">
        <w:rPr>
          <w:rFonts w:ascii="Times New Roman" w:hAnsi="Times New Roman" w:cs="Times New Roman"/>
          <w:sz w:val="20"/>
          <w:szCs w:val="20"/>
          <w:lang w:bidi="ar-EG"/>
        </w:rPr>
        <w:t>significant risk for</w:t>
      </w:r>
      <w:r w:rsidR="000B5BC2" w:rsidRPr="00B44AD9">
        <w:rPr>
          <w:rFonts w:ascii="Times New Roman" w:hAnsi="Times New Roman" w:cs="Times New Roman"/>
          <w:sz w:val="20"/>
          <w:szCs w:val="20"/>
          <w:lang w:bidi="ar-EG"/>
        </w:rPr>
        <w:t xml:space="preserve"> occurrence of de novo</w:t>
      </w:r>
      <w:r w:rsidR="00D353FC" w:rsidRPr="00B44AD9">
        <w:rPr>
          <w:rFonts w:ascii="Times New Roman" w:hAnsi="Times New Roman" w:cs="Times New Roman"/>
          <w:sz w:val="20"/>
          <w:szCs w:val="20"/>
          <w:lang w:bidi="ar-EG"/>
        </w:rPr>
        <w:t xml:space="preserve"> HCC</w:t>
      </w:r>
      <w:r w:rsidR="00F8652D" w:rsidRPr="00B44AD9">
        <w:rPr>
          <w:rFonts w:ascii="Times New Roman" w:hAnsi="Times New Roman" w:cs="Times New Roman"/>
          <w:sz w:val="20"/>
          <w:szCs w:val="20"/>
          <w:lang w:bidi="ar-EG"/>
        </w:rPr>
        <w:t>.</w:t>
      </w:r>
      <w:r w:rsidR="00F8652D">
        <w:rPr>
          <w:rFonts w:ascii="Times New Roman" w:hAnsi="Times New Roman" w:cs="Times New Roman"/>
          <w:sz w:val="20"/>
          <w:szCs w:val="20"/>
          <w:lang w:bidi="ar-EG"/>
        </w:rPr>
        <w:t xml:space="preserve"> </w:t>
      </w:r>
      <w:r w:rsidR="00F8652D" w:rsidRPr="00B44AD9">
        <w:rPr>
          <w:rFonts w:ascii="Times New Roman" w:hAnsi="Times New Roman" w:cs="Times New Roman"/>
          <w:sz w:val="20"/>
          <w:szCs w:val="20"/>
          <w:lang w:bidi="ar-EG"/>
        </w:rPr>
        <w:t>T</w:t>
      </w:r>
      <w:r w:rsidR="000B5BC2" w:rsidRPr="00B44AD9">
        <w:rPr>
          <w:rFonts w:ascii="Times New Roman" w:hAnsi="Times New Roman" w:cs="Times New Roman"/>
          <w:sz w:val="20"/>
          <w:szCs w:val="20"/>
          <w:lang w:bidi="ar-EG"/>
        </w:rPr>
        <w:t xml:space="preserve">his is similar to Nagata H et al who reported </w:t>
      </w:r>
      <w:r w:rsidR="00F57499" w:rsidRPr="00B44AD9">
        <w:rPr>
          <w:rFonts w:ascii="Times New Roman" w:hAnsi="Times New Roman" w:cs="Times New Roman"/>
          <w:sz w:val="20"/>
          <w:szCs w:val="20"/>
          <w:lang w:bidi="ar-EG"/>
        </w:rPr>
        <w:t xml:space="preserve">that there was </w:t>
      </w:r>
      <w:r w:rsidR="000B5BC2" w:rsidRPr="00B44AD9">
        <w:rPr>
          <w:rFonts w:ascii="Times New Roman" w:hAnsi="Times New Roman" w:cs="Times New Roman"/>
          <w:sz w:val="20"/>
          <w:szCs w:val="20"/>
          <w:lang w:bidi="ar-EG"/>
        </w:rPr>
        <w:t xml:space="preserve">no difference in carcinogenesis </w:t>
      </w:r>
      <w:r w:rsidR="000B5BC2" w:rsidRPr="00B44AD9">
        <w:rPr>
          <w:rFonts w:ascii="Times New Roman" w:hAnsi="Times New Roman" w:cs="Times New Roman"/>
          <w:sz w:val="20"/>
          <w:szCs w:val="20"/>
          <w:lang w:bidi="ar-EG"/>
        </w:rPr>
        <w:lastRenderedPageBreak/>
        <w:t>after an SVR between IFN-based and DAA combination treatment</w:t>
      </w:r>
      <w:r w:rsidR="00B44AD9" w:rsidRPr="00B44AD9">
        <w:rPr>
          <w:rFonts w:ascii="Times New Roman" w:hAnsi="Times New Roman" w:cs="Times New Roman"/>
          <w:sz w:val="20"/>
          <w:szCs w:val="20"/>
          <w:lang w:bidi="ar-EG"/>
        </w:rPr>
        <w:t xml:space="preserve">s </w:t>
      </w:r>
      <w:r w:rsidR="00B44AD9" w:rsidRPr="00B44AD9">
        <w:rPr>
          <w:rFonts w:ascii="Times New Roman" w:hAnsi="Times New Roman" w:cs="Times New Roman"/>
          <w:b/>
          <w:bCs/>
          <w:sz w:val="20"/>
          <w:szCs w:val="20"/>
          <w:lang w:bidi="ar-EG"/>
        </w:rPr>
        <w:t>(</w:t>
      </w:r>
      <w:r w:rsidR="00F57499" w:rsidRPr="00B44AD9">
        <w:rPr>
          <w:rFonts w:ascii="Times New Roman" w:hAnsi="Times New Roman" w:cs="Times New Roman"/>
          <w:b/>
          <w:bCs/>
          <w:sz w:val="20"/>
          <w:szCs w:val="20"/>
          <w:lang w:bidi="ar-EG"/>
        </w:rPr>
        <w:t>17)</w:t>
      </w:r>
      <w:r w:rsidR="000B5BC2" w:rsidRPr="00B44AD9">
        <w:rPr>
          <w:rFonts w:ascii="Times New Roman" w:hAnsi="Times New Roman" w:cs="Times New Roman"/>
          <w:sz w:val="20"/>
          <w:szCs w:val="20"/>
          <w:lang w:bidi="ar-EG"/>
        </w:rPr>
        <w:t xml:space="preserve">. </w:t>
      </w:r>
      <w:r w:rsidR="00B869BA" w:rsidRPr="00B44AD9">
        <w:rPr>
          <w:rFonts w:ascii="Times New Roman" w:hAnsi="Times New Roman" w:cs="Times New Roman"/>
          <w:sz w:val="20"/>
          <w:szCs w:val="20"/>
          <w:lang w:bidi="ar-EG"/>
        </w:rPr>
        <w:t xml:space="preserve">Other studies have reported that DAA treatment promotes HCC whereas other reports deny this effect </w:t>
      </w:r>
      <w:r w:rsidR="00F57499" w:rsidRPr="00B44AD9">
        <w:rPr>
          <w:rFonts w:ascii="Times New Roman" w:hAnsi="Times New Roman" w:cs="Times New Roman"/>
          <w:b/>
          <w:bCs/>
          <w:sz w:val="20"/>
          <w:szCs w:val="20"/>
          <w:lang w:bidi="ar-EG"/>
        </w:rPr>
        <w:t>(18,19)</w:t>
      </w:r>
      <w:r w:rsidR="00B869BA" w:rsidRPr="00B44AD9">
        <w:rPr>
          <w:rFonts w:ascii="Times New Roman" w:hAnsi="Times New Roman" w:cs="Times New Roman"/>
          <w:sz w:val="20"/>
          <w:szCs w:val="20"/>
          <w:lang w:bidi="ar-EG"/>
        </w:rPr>
        <w:t>.</w:t>
      </w:r>
    </w:p>
    <w:p w:rsidR="0007314E" w:rsidRPr="00B44AD9" w:rsidRDefault="0007314E" w:rsidP="00F8652D">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B44AD9">
        <w:rPr>
          <w:rFonts w:ascii="Times New Roman" w:hAnsi="Times New Roman" w:cs="Times New Roman"/>
          <w:sz w:val="20"/>
          <w:szCs w:val="20"/>
          <w:lang w:bidi="ar-EG"/>
        </w:rPr>
        <w:t>From all of the</w:t>
      </w:r>
      <w:r w:rsidR="00602E99" w:rsidRPr="00B44AD9">
        <w:rPr>
          <w:rFonts w:ascii="Times New Roman" w:hAnsi="Times New Roman" w:cs="Times New Roman"/>
          <w:sz w:val="20"/>
          <w:szCs w:val="20"/>
          <w:lang w:bidi="ar-EG"/>
        </w:rPr>
        <w:t>se</w:t>
      </w:r>
      <w:r w:rsidRPr="00B44AD9">
        <w:rPr>
          <w:rFonts w:ascii="Times New Roman" w:hAnsi="Times New Roman" w:cs="Times New Roman"/>
          <w:sz w:val="20"/>
          <w:szCs w:val="20"/>
          <w:lang w:bidi="ar-EG"/>
        </w:rPr>
        <w:t xml:space="preserve"> results, we could conclude that advanced liver </w:t>
      </w:r>
      <w:r w:rsidR="00602E99" w:rsidRPr="00B44AD9">
        <w:rPr>
          <w:rFonts w:ascii="Times New Roman" w:hAnsi="Times New Roman" w:cs="Times New Roman"/>
          <w:sz w:val="20"/>
          <w:szCs w:val="20"/>
          <w:lang w:bidi="ar-EG"/>
        </w:rPr>
        <w:t xml:space="preserve">fibrosis, </w:t>
      </w:r>
      <w:r w:rsidR="00F969A2" w:rsidRPr="00B44AD9">
        <w:rPr>
          <w:rFonts w:ascii="Times New Roman" w:hAnsi="Times New Roman" w:cs="Times New Roman"/>
          <w:sz w:val="20"/>
          <w:szCs w:val="20"/>
          <w:lang w:bidi="ar-EG"/>
        </w:rPr>
        <w:t>which is</w:t>
      </w:r>
      <w:r w:rsidR="00602E99" w:rsidRPr="00B44AD9">
        <w:rPr>
          <w:rFonts w:ascii="Times New Roman" w:hAnsi="Times New Roman" w:cs="Times New Roman"/>
          <w:sz w:val="20"/>
          <w:szCs w:val="20"/>
          <w:lang w:bidi="ar-EG"/>
        </w:rPr>
        <w:t xml:space="preserve"> </w:t>
      </w:r>
      <w:r w:rsidRPr="00B44AD9">
        <w:rPr>
          <w:rFonts w:ascii="Times New Roman" w:hAnsi="Times New Roman" w:cs="Times New Roman"/>
          <w:sz w:val="20"/>
          <w:szCs w:val="20"/>
          <w:lang w:bidi="ar-EG"/>
        </w:rPr>
        <w:t>identified non-invasively by FIB4 score, and advanced liver dysfunction</w:t>
      </w:r>
      <w:r w:rsidR="00F8652D" w:rsidRPr="00B44AD9">
        <w:rPr>
          <w:rFonts w:ascii="Times New Roman" w:hAnsi="Times New Roman" w:cs="Times New Roman"/>
          <w:sz w:val="20"/>
          <w:szCs w:val="20"/>
          <w:lang w:bidi="ar-EG"/>
        </w:rPr>
        <w:t>,</w:t>
      </w:r>
      <w:r w:rsidR="00F8652D">
        <w:rPr>
          <w:rFonts w:ascii="Times New Roman" w:hAnsi="Times New Roman" w:cs="Times New Roman"/>
          <w:sz w:val="20"/>
          <w:szCs w:val="20"/>
          <w:lang w:bidi="ar-EG"/>
        </w:rPr>
        <w:t xml:space="preserve"> </w:t>
      </w:r>
      <w:r w:rsidR="00F969A2" w:rsidRPr="00B44AD9">
        <w:rPr>
          <w:rFonts w:ascii="Times New Roman" w:hAnsi="Times New Roman" w:cs="Times New Roman"/>
          <w:sz w:val="20"/>
          <w:szCs w:val="20"/>
          <w:lang w:bidi="ar-EG"/>
        </w:rPr>
        <w:t>which is</w:t>
      </w:r>
      <w:r w:rsidR="00602E99" w:rsidRPr="00B44AD9">
        <w:rPr>
          <w:rFonts w:ascii="Times New Roman" w:hAnsi="Times New Roman" w:cs="Times New Roman"/>
          <w:sz w:val="20"/>
          <w:szCs w:val="20"/>
          <w:lang w:bidi="ar-EG"/>
        </w:rPr>
        <w:t xml:space="preserve"> </w:t>
      </w:r>
      <w:r w:rsidRPr="00B44AD9">
        <w:rPr>
          <w:rFonts w:ascii="Times New Roman" w:hAnsi="Times New Roman" w:cs="Times New Roman"/>
          <w:sz w:val="20"/>
          <w:szCs w:val="20"/>
          <w:lang w:bidi="ar-EG"/>
        </w:rPr>
        <w:t>identified either by MELD score or Child Pugh score</w:t>
      </w:r>
      <w:r w:rsidR="00F8652D" w:rsidRPr="00B44AD9">
        <w:rPr>
          <w:rFonts w:ascii="Times New Roman" w:hAnsi="Times New Roman" w:cs="Times New Roman"/>
          <w:sz w:val="20"/>
          <w:szCs w:val="20"/>
          <w:lang w:bidi="ar-EG"/>
        </w:rPr>
        <w:t>,</w:t>
      </w:r>
      <w:r w:rsidR="00F8652D">
        <w:rPr>
          <w:rFonts w:ascii="Times New Roman" w:hAnsi="Times New Roman" w:cs="Times New Roman"/>
          <w:sz w:val="20"/>
          <w:szCs w:val="20"/>
          <w:lang w:bidi="ar-EG"/>
        </w:rPr>
        <w:t xml:space="preserve"> </w:t>
      </w:r>
      <w:r w:rsidR="00F8652D" w:rsidRPr="00B44AD9">
        <w:rPr>
          <w:rFonts w:ascii="Times New Roman" w:hAnsi="Times New Roman" w:cs="Times New Roman"/>
          <w:sz w:val="20"/>
          <w:szCs w:val="20"/>
          <w:lang w:bidi="ar-EG"/>
        </w:rPr>
        <w:t>a</w:t>
      </w:r>
      <w:r w:rsidRPr="00B44AD9">
        <w:rPr>
          <w:rFonts w:ascii="Times New Roman" w:hAnsi="Times New Roman" w:cs="Times New Roman"/>
          <w:sz w:val="20"/>
          <w:szCs w:val="20"/>
          <w:lang w:bidi="ar-EG"/>
        </w:rPr>
        <w:t xml:space="preserve">re independent risk predictors for occurrence of de novo HCC in HCV patients who </w:t>
      </w:r>
      <w:r w:rsidR="00602E99" w:rsidRPr="00B44AD9">
        <w:rPr>
          <w:rFonts w:ascii="Times New Roman" w:hAnsi="Times New Roman" w:cs="Times New Roman"/>
          <w:sz w:val="20"/>
          <w:szCs w:val="20"/>
          <w:lang w:bidi="ar-EG"/>
        </w:rPr>
        <w:t xml:space="preserve">were </w:t>
      </w:r>
      <w:r w:rsidRPr="00B44AD9">
        <w:rPr>
          <w:rFonts w:ascii="Times New Roman" w:hAnsi="Times New Roman" w:cs="Times New Roman"/>
          <w:sz w:val="20"/>
          <w:szCs w:val="20"/>
          <w:lang w:bidi="ar-EG"/>
        </w:rPr>
        <w:t>treated wi</w:t>
      </w:r>
      <w:r w:rsidR="00602E99" w:rsidRPr="00B44AD9">
        <w:rPr>
          <w:rFonts w:ascii="Times New Roman" w:hAnsi="Times New Roman" w:cs="Times New Roman"/>
          <w:sz w:val="20"/>
          <w:szCs w:val="20"/>
          <w:lang w:bidi="ar-EG"/>
        </w:rPr>
        <w:t>th DAA</w:t>
      </w:r>
      <w:r w:rsidRPr="00B44AD9">
        <w:rPr>
          <w:rFonts w:ascii="Times New Roman" w:hAnsi="Times New Roman" w:cs="Times New Roman"/>
          <w:sz w:val="20"/>
          <w:szCs w:val="20"/>
          <w:lang w:bidi="ar-EG"/>
        </w:rPr>
        <w:t xml:space="preserve"> and achieved SVR. In those patients regular screening </w:t>
      </w:r>
      <w:r w:rsidR="00602E99" w:rsidRPr="00B44AD9">
        <w:rPr>
          <w:rFonts w:ascii="Times New Roman" w:hAnsi="Times New Roman" w:cs="Times New Roman"/>
          <w:sz w:val="20"/>
          <w:szCs w:val="20"/>
          <w:lang w:bidi="ar-EG"/>
        </w:rPr>
        <w:t xml:space="preserve">strategies </w:t>
      </w:r>
      <w:r w:rsidRPr="00B44AD9">
        <w:rPr>
          <w:rFonts w:ascii="Times New Roman" w:hAnsi="Times New Roman" w:cs="Times New Roman"/>
          <w:sz w:val="20"/>
          <w:szCs w:val="20"/>
          <w:lang w:bidi="ar-EG"/>
        </w:rPr>
        <w:t xml:space="preserve">for HCC is mandatory for early diagnosis of </w:t>
      </w:r>
      <w:r w:rsidR="00602E99" w:rsidRPr="00B44AD9">
        <w:rPr>
          <w:rFonts w:ascii="Times New Roman" w:hAnsi="Times New Roman" w:cs="Times New Roman"/>
          <w:sz w:val="20"/>
          <w:szCs w:val="20"/>
          <w:lang w:bidi="ar-EG"/>
        </w:rPr>
        <w:t xml:space="preserve">hepatocellular carcinomas </w:t>
      </w:r>
      <w:r w:rsidRPr="00B44AD9">
        <w:rPr>
          <w:rFonts w:ascii="Times New Roman" w:hAnsi="Times New Roman" w:cs="Times New Roman"/>
          <w:sz w:val="20"/>
          <w:szCs w:val="20"/>
          <w:lang w:bidi="ar-EG"/>
        </w:rPr>
        <w:t xml:space="preserve">that are more liable to </w:t>
      </w:r>
      <w:r w:rsidR="00602E99" w:rsidRPr="00B44AD9">
        <w:rPr>
          <w:rFonts w:ascii="Times New Roman" w:hAnsi="Times New Roman" w:cs="Times New Roman"/>
          <w:sz w:val="20"/>
          <w:szCs w:val="20"/>
          <w:lang w:bidi="ar-EG"/>
        </w:rPr>
        <w:t xml:space="preserve">recent </w:t>
      </w:r>
      <w:r w:rsidRPr="00B44AD9">
        <w:rPr>
          <w:rFonts w:ascii="Times New Roman" w:hAnsi="Times New Roman" w:cs="Times New Roman"/>
          <w:sz w:val="20"/>
          <w:szCs w:val="20"/>
          <w:lang w:bidi="ar-EG"/>
        </w:rPr>
        <w:t>curative treatment modali</w:t>
      </w:r>
      <w:r w:rsidR="003F13B2" w:rsidRPr="00B44AD9">
        <w:rPr>
          <w:rFonts w:ascii="Times New Roman" w:hAnsi="Times New Roman" w:cs="Times New Roman"/>
          <w:sz w:val="20"/>
          <w:szCs w:val="20"/>
          <w:lang w:bidi="ar-EG"/>
        </w:rPr>
        <w:t>ties.</w:t>
      </w:r>
    </w:p>
    <w:p w:rsidR="00520406"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p>
    <w:p w:rsidR="00011B23" w:rsidRPr="00B44AD9" w:rsidRDefault="00011B23"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t>Conflict of interest:</w:t>
      </w:r>
    </w:p>
    <w:p w:rsidR="00011B23" w:rsidRPr="00B44AD9" w:rsidRDefault="00011B23" w:rsidP="00F8652D">
      <w:pPr>
        <w:shd w:val="clear" w:color="auto" w:fill="FFFFFF"/>
        <w:bidi w:val="0"/>
        <w:snapToGrid w:val="0"/>
        <w:spacing w:after="0" w:line="240" w:lineRule="auto"/>
        <w:ind w:firstLine="425"/>
        <w:jc w:val="both"/>
        <w:rPr>
          <w:rFonts w:ascii="Times New Roman" w:eastAsia="Calibri" w:hAnsi="Times New Roman" w:cs="Times New Roman"/>
          <w:sz w:val="20"/>
          <w:szCs w:val="20"/>
          <w:lang w:bidi="ar-EG"/>
        </w:rPr>
      </w:pPr>
      <w:r w:rsidRPr="00B44AD9">
        <w:rPr>
          <w:rFonts w:ascii="Times New Roman" w:eastAsia="Calibri" w:hAnsi="Times New Roman" w:cs="Times New Roman"/>
          <w:sz w:val="20"/>
          <w:szCs w:val="20"/>
          <w:lang w:bidi="ar-EG"/>
        </w:rPr>
        <w:t>The authors have non to declare.</w:t>
      </w:r>
    </w:p>
    <w:p w:rsidR="00520406"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p>
    <w:p w:rsidR="003D02E7" w:rsidRPr="00B44AD9" w:rsidRDefault="003D02E7" w:rsidP="00F8652D">
      <w:pPr>
        <w:shd w:val="clear" w:color="auto" w:fill="FFFFFF"/>
        <w:bidi w:val="0"/>
        <w:snapToGrid w:val="0"/>
        <w:spacing w:after="0" w:line="240" w:lineRule="auto"/>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t>Abbreviations:</w:t>
      </w:r>
    </w:p>
    <w:p w:rsidR="003D02E7" w:rsidRPr="00B44AD9" w:rsidRDefault="003D02E7" w:rsidP="00F8652D">
      <w:pPr>
        <w:shd w:val="clear" w:color="auto" w:fill="FFFFFF"/>
        <w:bidi w:val="0"/>
        <w:snapToGrid w:val="0"/>
        <w:spacing w:after="0" w:line="240" w:lineRule="auto"/>
        <w:ind w:firstLine="425"/>
        <w:jc w:val="both"/>
        <w:rPr>
          <w:rFonts w:ascii="Times New Roman" w:eastAsia="Calibri" w:hAnsi="Times New Roman" w:cs="Times New Roman"/>
          <w:sz w:val="20"/>
          <w:szCs w:val="20"/>
          <w:lang w:bidi="ar-EG"/>
        </w:rPr>
      </w:pPr>
      <w:r w:rsidRPr="00B44AD9">
        <w:rPr>
          <w:rFonts w:ascii="Times New Roman" w:eastAsia="Calibri" w:hAnsi="Times New Roman" w:cs="Times New Roman"/>
          <w:sz w:val="20"/>
          <w:szCs w:val="20"/>
          <w:lang w:bidi="ar-EG"/>
        </w:rPr>
        <w:t xml:space="preserve">HCV: hepatitis C virus, HCC: hepatocellular carcinoma, DAA: direct acting antiviral, </w:t>
      </w:r>
      <w:r w:rsidR="004A1ED3" w:rsidRPr="00B44AD9">
        <w:rPr>
          <w:rFonts w:ascii="Times New Roman" w:eastAsia="Calibri" w:hAnsi="Times New Roman" w:cs="Times New Roman"/>
          <w:sz w:val="20"/>
          <w:szCs w:val="20"/>
          <w:lang w:bidi="ar-EG"/>
        </w:rPr>
        <w:t xml:space="preserve">SVR: sustained </w:t>
      </w:r>
      <w:r w:rsidR="00AC7AF5" w:rsidRPr="00B44AD9">
        <w:rPr>
          <w:rFonts w:ascii="Times New Roman" w:eastAsia="Calibri" w:hAnsi="Times New Roman" w:cs="Times New Roman"/>
          <w:sz w:val="20"/>
          <w:szCs w:val="20"/>
          <w:lang w:bidi="ar-EG"/>
        </w:rPr>
        <w:t>virologic</w:t>
      </w:r>
      <w:r w:rsidR="004A1ED3" w:rsidRPr="00B44AD9">
        <w:rPr>
          <w:rFonts w:ascii="Times New Roman" w:eastAsia="Calibri" w:hAnsi="Times New Roman" w:cs="Times New Roman"/>
          <w:sz w:val="20"/>
          <w:szCs w:val="20"/>
          <w:lang w:bidi="ar-EG"/>
        </w:rPr>
        <w:t xml:space="preserve"> response, </w:t>
      </w:r>
      <w:r w:rsidRPr="00B44AD9">
        <w:rPr>
          <w:rFonts w:ascii="Times New Roman" w:eastAsia="Calibri" w:hAnsi="Times New Roman" w:cs="Times New Roman"/>
          <w:sz w:val="20"/>
          <w:szCs w:val="20"/>
          <w:lang w:bidi="ar-EG"/>
        </w:rPr>
        <w:t xml:space="preserve">MELD: model of end stage </w:t>
      </w:r>
      <w:r w:rsidR="00DB533C" w:rsidRPr="00B44AD9">
        <w:rPr>
          <w:rFonts w:ascii="Times New Roman" w:eastAsia="Calibri" w:hAnsi="Times New Roman" w:cs="Times New Roman"/>
          <w:sz w:val="20"/>
          <w:szCs w:val="20"/>
          <w:lang w:bidi="ar-EG"/>
        </w:rPr>
        <w:t>liver disease, DM: diabetes mellitus, ms: months</w:t>
      </w:r>
      <w:r w:rsidR="00285AB1" w:rsidRPr="00B44AD9">
        <w:rPr>
          <w:rFonts w:ascii="Times New Roman" w:eastAsia="Calibri" w:hAnsi="Times New Roman" w:cs="Times New Roman"/>
          <w:sz w:val="20"/>
          <w:szCs w:val="20"/>
          <w:lang w:bidi="ar-EG"/>
        </w:rPr>
        <w:t>, AUC: area under the curve.</w:t>
      </w:r>
    </w:p>
    <w:p w:rsidR="00520406" w:rsidRPr="00B44AD9" w:rsidRDefault="00520406" w:rsidP="00F8652D">
      <w:pPr>
        <w:shd w:val="clear" w:color="auto" w:fill="FFFFFF"/>
        <w:bidi w:val="0"/>
        <w:snapToGrid w:val="0"/>
        <w:spacing w:after="0" w:line="240" w:lineRule="auto"/>
        <w:jc w:val="both"/>
        <w:rPr>
          <w:rFonts w:ascii="Times New Roman" w:eastAsia="Calibri" w:hAnsi="Times New Roman" w:cs="Times New Roman"/>
          <w:b/>
          <w:bCs/>
          <w:sz w:val="20"/>
          <w:szCs w:val="20"/>
        </w:rPr>
      </w:pPr>
    </w:p>
    <w:p w:rsidR="00011B23" w:rsidRPr="00B44AD9" w:rsidRDefault="00011B23" w:rsidP="00F8652D">
      <w:pPr>
        <w:shd w:val="clear" w:color="auto" w:fill="FFFFFF"/>
        <w:bidi w:val="0"/>
        <w:snapToGrid w:val="0"/>
        <w:spacing w:after="0" w:line="240" w:lineRule="auto"/>
        <w:ind w:left="425" w:hanging="425"/>
        <w:jc w:val="both"/>
        <w:rPr>
          <w:rFonts w:ascii="Times New Roman" w:eastAsia="Calibri" w:hAnsi="Times New Roman" w:cs="Times New Roman"/>
          <w:b/>
          <w:bCs/>
          <w:sz w:val="20"/>
          <w:szCs w:val="20"/>
        </w:rPr>
      </w:pPr>
      <w:r w:rsidRPr="00B44AD9">
        <w:rPr>
          <w:rFonts w:ascii="Times New Roman" w:eastAsia="Calibri" w:hAnsi="Times New Roman" w:cs="Times New Roman"/>
          <w:b/>
          <w:bCs/>
          <w:sz w:val="20"/>
          <w:szCs w:val="20"/>
        </w:rPr>
        <w:t>References:</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Ziada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El</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Sadany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Soliman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AbdElsalam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Salama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Haw</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ash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Selim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Hamisa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Elsabagh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HM</w:t>
      </w:r>
      <w:r w:rsidR="006029E4" w:rsidRPr="00F8652D">
        <w:rPr>
          <w:rFonts w:ascii="Times New Roman" w:hAnsi="Times New Roman" w:cs="Times New Roman"/>
          <w:sz w:val="20"/>
          <w:szCs w:val="20"/>
          <w:lang w:bidi="ar-EG"/>
        </w:rPr>
        <w:t>.</w:t>
      </w:r>
      <w:r w:rsidR="00B44AD9" w:rsidRPr="00F8652D">
        <w:rPr>
          <w:rFonts w:ascii="Times New Roman" w:hAnsi="Times New Roman" w:cs="Times New Roman"/>
          <w:sz w:val="20"/>
          <w:szCs w:val="20"/>
          <w:lang w:bidi="ar-EG"/>
        </w:rPr>
        <w:t xml:space="preserve"> </w:t>
      </w:r>
      <w:r w:rsidR="006029E4" w:rsidRPr="00F8652D">
        <w:rPr>
          <w:rFonts w:ascii="Times New Roman" w:hAnsi="Times New Roman" w:cs="Times New Roman"/>
          <w:sz w:val="20"/>
          <w:szCs w:val="20"/>
          <w:lang w:bidi="ar-EG"/>
        </w:rPr>
        <w:t>Prevalence</w:t>
      </w:r>
      <w:r w:rsidR="00B44AD9" w:rsidRPr="00F8652D">
        <w:rPr>
          <w:rFonts w:ascii="Times New Roman" w:hAnsi="Times New Roman" w:cs="Times New Roman"/>
          <w:sz w:val="20"/>
          <w:szCs w:val="20"/>
          <w:lang w:bidi="ar-EG"/>
        </w:rPr>
        <w:t xml:space="preserve"> </w:t>
      </w:r>
      <w:r w:rsidR="006029E4"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chronic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hepatitis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patients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00335864" w:rsidRPr="00F8652D">
        <w:rPr>
          <w:rFonts w:ascii="Times New Roman" w:hAnsi="Times New Roman" w:cs="Times New Roman"/>
          <w:sz w:val="20"/>
          <w:szCs w:val="20"/>
          <w:lang w:bidi="ar-EG"/>
        </w:rPr>
        <w:t>Mid</w:t>
      </w:r>
      <w:r w:rsidR="00B44AD9" w:rsidRPr="00F8652D">
        <w:rPr>
          <w:rFonts w:ascii="Times New Roman" w:hAnsi="Times New Roman" w:cs="Times New Roman"/>
          <w:sz w:val="20"/>
          <w:szCs w:val="20"/>
          <w:lang w:bidi="ar-EG"/>
        </w:rPr>
        <w:t xml:space="preserve"> </w:t>
      </w:r>
      <w:r w:rsidR="00335864" w:rsidRPr="00F8652D">
        <w:rPr>
          <w:rFonts w:ascii="Times New Roman" w:hAnsi="Times New Roman" w:cs="Times New Roman"/>
          <w:sz w:val="20"/>
          <w:szCs w:val="20"/>
          <w:lang w:bidi="ar-EG"/>
        </w:rPr>
        <w:t>Delta</w:t>
      </w:r>
      <w:r w:rsidRPr="00F8652D">
        <w:rPr>
          <w:rFonts w:ascii="Times New Roman" w:hAnsi="Times New Roman" w:cs="Times New Roman"/>
          <w:sz w:val="20"/>
          <w:szCs w:val="20"/>
          <w:lang w:bidi="ar-EG"/>
        </w:rPr>
        <w: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Egypt: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single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center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study.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Journal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the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Egyptian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National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Cancer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Institute.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2016;</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28(4):</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257-262.</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Hammam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Magdy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Anas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Rahim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Heedaya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Helmy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Expression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hnRNPK</w:t>
      </w:r>
      <w:r w:rsidR="00B44AD9" w:rsidRPr="00F8652D">
        <w:rPr>
          <w:rFonts w:ascii="Times New Roman" w:hAnsi="Times New Roman" w:cs="Times New Roman"/>
          <w:sz w:val="20"/>
          <w:szCs w:val="20"/>
          <w:lang w:bidi="ar-EG"/>
        </w:rPr>
        <w:t xml:space="preserve"> &amp; </w:t>
      </w:r>
      <w:r w:rsidRPr="00F8652D">
        <w:rPr>
          <w:rFonts w:ascii="Times New Roman" w:hAnsi="Times New Roman" w:cs="Times New Roman"/>
          <w:sz w:val="20"/>
          <w:szCs w:val="20"/>
          <w:lang w:bidi="ar-EG"/>
        </w:rPr>
        <w:t>Claudin-4</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HCV-Induced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Early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Adjacent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Liver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Tissue.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Open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Access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Maced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Sci.</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2017</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Jul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31;5(5):595-602.</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Koutb</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Abdel-Rahman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Hassona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Haggag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sz w:val="20"/>
          <w:szCs w:val="20"/>
          <w:lang w:bidi="ar-EG"/>
        </w:rPr>
        <w:t>Association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C-myc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p53</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Gene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Expression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Polymorphisms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Hepatitis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(HCV)</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Chronic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Infection,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Cirrhosis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Stages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Egypt.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Asian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Pac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w:t>
      </w:r>
      <w:r w:rsidR="00B44AD9" w:rsidRPr="00F8652D">
        <w:rPr>
          <w:rFonts w:ascii="Times New Roman" w:hAnsi="Times New Roman" w:cs="Times New Roman"/>
          <w:sz w:val="20"/>
          <w:szCs w:val="20"/>
          <w:lang w:bidi="ar-EG"/>
        </w:rPr>
        <w:t xml:space="preserve"> </w:t>
      </w:r>
      <w:r w:rsidR="00107CF4" w:rsidRPr="00F8652D">
        <w:rPr>
          <w:rFonts w:ascii="Times New Roman" w:hAnsi="Times New Roman" w:cs="Times New Roman"/>
          <w:sz w:val="20"/>
          <w:szCs w:val="20"/>
          <w:lang w:bidi="ar-EG"/>
        </w:rPr>
        <w:t>Cancer</w:t>
      </w:r>
      <w:r w:rsidR="00B44AD9" w:rsidRPr="00F8652D">
        <w:rPr>
          <w:rFonts w:ascii="Times New Roman" w:hAnsi="Times New Roman" w:cs="Times New Roman"/>
          <w:sz w:val="20"/>
          <w:szCs w:val="20"/>
          <w:lang w:bidi="ar-EG"/>
        </w:rPr>
        <w:t xml:space="preserve"> </w:t>
      </w:r>
      <w:r w:rsidR="00107CF4" w:rsidRPr="00F8652D">
        <w:rPr>
          <w:rFonts w:ascii="Times New Roman" w:hAnsi="Times New Roman" w:cs="Times New Roman"/>
          <w:sz w:val="20"/>
          <w:szCs w:val="20"/>
          <w:lang w:bidi="ar-EG"/>
        </w:rPr>
        <w:t>Prev</w:t>
      </w:r>
      <w:r w:rsidRPr="00F8652D">
        <w:rPr>
          <w:rFonts w:ascii="Times New Roman" w:hAnsi="Times New Roman" w:cs="Times New Roman"/>
          <w:sz w:val="20"/>
          <w:szCs w:val="20"/>
          <w:lang w:bidi="ar-EG"/>
        </w:rPr>
        <w: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2017</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Aug</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27;18(8):2049-2057.</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Hajarizadeh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Grebely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J,</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Dore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GJ.</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Epidemiology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natural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history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HCV</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infection.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Nat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Rev</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Gastroentero</w:t>
      </w:r>
      <w:r w:rsidR="00F8652D" w:rsidRPr="00F8652D">
        <w:rPr>
          <w:rFonts w:ascii="Times New Roman" w:hAnsi="Times New Roman" w:cs="Times New Roman"/>
          <w:sz w:val="20"/>
          <w:szCs w:val="20"/>
          <w:lang w:bidi="ar-EG"/>
        </w:rPr>
        <w:t>l</w:t>
      </w:r>
      <w:r w:rsidR="00F8652D">
        <w:rPr>
          <w:rFonts w:ascii="Times New Roman" w:hAnsi="Times New Roman" w:cs="Times New Roman"/>
          <w:sz w:val="20"/>
          <w:szCs w:val="20"/>
          <w:lang w:bidi="ar-EG"/>
        </w:rPr>
        <w:t xml:space="preserve"> </w:t>
      </w:r>
      <w:r w:rsidR="00F8652D" w:rsidRPr="00F8652D">
        <w:rPr>
          <w:rFonts w:ascii="Times New Roman" w:hAnsi="Times New Roman" w:cs="Times New Roman"/>
          <w:sz w:val="20"/>
          <w:szCs w:val="20"/>
          <w:lang w:bidi="ar-EG"/>
        </w:rPr>
        <w:t>H</w:t>
      </w:r>
      <w:r w:rsidRPr="00F8652D">
        <w:rPr>
          <w:rFonts w:ascii="Times New Roman" w:hAnsi="Times New Roman" w:cs="Times New Roman"/>
          <w:sz w:val="20"/>
          <w:szCs w:val="20"/>
          <w:lang w:bidi="ar-EG"/>
        </w:rPr>
        <w:t>epatol.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2013</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Sep;10(9):553-62.</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Heerboth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Housman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Leary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Longacre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Byler</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Lapinska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Willbanks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Sarkar</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EMT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tumor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metastasis.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Clinical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Translational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Medicine.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2015;</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4:7.</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Guo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Zhao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J,</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J,</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Wu</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Q,</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Wang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X,</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Lai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Q.</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Heterogeneous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nuclear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ribonucleoprotein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lastRenderedPageBreak/>
        <w:t>(hnRNP</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tissue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biomarker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for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detection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early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patients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cirrhosis.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Journal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Hematology</w:t>
      </w:r>
      <w:r w:rsidR="00B44AD9" w:rsidRPr="00F8652D">
        <w:rPr>
          <w:rFonts w:ascii="Times New Roman" w:hAnsi="Times New Roman" w:cs="Times New Roman"/>
          <w:sz w:val="20"/>
          <w:szCs w:val="20"/>
          <w:lang w:bidi="ar-EG"/>
        </w:rPr>
        <w:t xml:space="preserve"> &amp; </w:t>
      </w:r>
      <w:r w:rsidRPr="00F8652D">
        <w:rPr>
          <w:rFonts w:ascii="Times New Roman" w:hAnsi="Times New Roman" w:cs="Times New Roman"/>
          <w:sz w:val="20"/>
          <w:szCs w:val="20"/>
          <w:lang w:bidi="ar-EG"/>
        </w:rPr>
        <w:t>Oncology.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2012;</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5:37.</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Ravaioli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Conti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Brillanti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Andreone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P,</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Mazzella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Buonfiglioli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Serio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Verrucchi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Bacch</w:t>
      </w:r>
      <w:r w:rsidR="00F8652D" w:rsidRPr="00F8652D">
        <w:rPr>
          <w:rFonts w:ascii="Times New Roman" w:hAnsi="Times New Roman" w:cs="Times New Roman"/>
          <w:bCs/>
          <w:sz w:val="20"/>
          <w:szCs w:val="20"/>
          <w:lang w:bidi="ar-EG"/>
        </w:rPr>
        <w:t>i</w:t>
      </w:r>
      <w:r w:rsidR="00F8652D">
        <w:rPr>
          <w:rFonts w:ascii="Times New Roman" w:hAnsi="Times New Roman" w:cs="Times New Roman"/>
          <w:bCs/>
          <w:sz w:val="20"/>
          <w:szCs w:val="20"/>
          <w:lang w:bidi="ar-EG"/>
        </w:rPr>
        <w:t xml:space="preserve"> </w:t>
      </w:r>
      <w:r w:rsidR="00F8652D" w:rsidRPr="00F8652D">
        <w:rPr>
          <w:rFonts w:ascii="Times New Roman" w:hAnsi="Times New Roman" w:cs="Times New Roman"/>
          <w:bCs/>
          <w:sz w:val="20"/>
          <w:szCs w:val="20"/>
          <w:lang w:bidi="ar-EG"/>
        </w:rPr>
        <w:t>R</w:t>
      </w:r>
      <w:r w:rsidRPr="00F8652D">
        <w:rPr>
          <w:rFonts w:ascii="Times New Roman" w:hAnsi="Times New Roman" w:cs="Times New Roman"/>
          <w:bCs/>
          <w:sz w:val="20"/>
          <w:szCs w:val="20"/>
          <w:lang w:bidi="ar-EG"/>
        </w:rPr>
        <w:t>eggiani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ML,</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Colli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Marasco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Colecchia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Festi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risk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assessment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by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the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measurement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liver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stiffness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variations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HCV</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cirrhotics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treated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direct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acting</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antivirals.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Dig</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Liver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2018</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Jun;50(6):573-579.</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Piñero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Mendizabal</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Ridruejo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Herz</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Wolff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Ameigeiras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Anders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Schinoni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Reggiardo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V,</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Palazzo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Videla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Alonso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Santos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Varón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Figueroa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Vistarini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Adrover</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Fernández</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Perez</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Tanno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Hernández</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Sixto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Borzi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Bruno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Cocozzella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Soza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Descalzi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V,</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Estepo</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Zerega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deAraujo</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Cheinquer</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Silva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LALREAN.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Treatment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direct-acting</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antivirals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for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HCV</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decreases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but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does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not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eliminate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the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risk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Liver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2019</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Jan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13.</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Yamada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Hiramatsu</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N,</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Oze</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Urabe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Tahata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Morishita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Kodama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Hikita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Sakamori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Yakushijin</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Yamada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Hagiwara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Mita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Oshita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Itoh</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Fukui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Inui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Hijioka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Inada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Katayama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Tamura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Inoue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Imai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Tatsumi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Hamasaki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Hayashi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N,</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Takehara</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Incidence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risk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factors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change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over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time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HCV</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patients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who</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achieved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sustained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virologic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response.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Res.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2019</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Jan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8.</w:t>
      </w:r>
    </w:p>
    <w:p w:rsidR="002B065F" w:rsidRPr="00F8652D" w:rsidRDefault="002B065F"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proofErr w:type="spellStart"/>
      <w:r w:rsidRPr="00F8652D">
        <w:rPr>
          <w:rFonts w:ascii="Times New Roman" w:hAnsi="Times New Roman" w:cs="Times New Roman"/>
          <w:bCs/>
          <w:sz w:val="20"/>
          <w:szCs w:val="20"/>
          <w:lang w:bidi="ar-EG"/>
        </w:rPr>
        <w:t>Degasperi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D'Ambrosio</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Iavarone</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Sangiovanni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Aghemo</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Soffredini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Borghi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Lunghi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Colombo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Lampertico</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P</w:t>
      </w:r>
      <w:r w:rsidRPr="00F8652D">
        <w:rPr>
          <w:rFonts w:ascii="Times New Roman" w:hAnsi="Times New Roman" w:cs="Times New Roman"/>
          <w:sz w:val="20"/>
          <w:szCs w:val="20"/>
          <w:lang w:bidi="ar-EG"/>
        </w:rPr>
        <w: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Factors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Associated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Increased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Risk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Novo</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Recurrent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Patients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Cirrhosis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Treated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Direct-Acting</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Antivirals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for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HCV</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Infection.</w:t>
      </w:r>
      <w:r w:rsidR="00B44AD9" w:rsidRPr="00F8652D">
        <w:rPr>
          <w:rFonts w:ascii="Times New Roman" w:hAnsi="Times New Roman" w:cs="Times New Roman"/>
          <w:sz w:val="20"/>
          <w:szCs w:val="20"/>
          <w:lang w:bidi="ar-EG"/>
        </w:rPr>
        <w:t xml:space="preserve"> </w:t>
      </w:r>
      <w:proofErr w:type="spellStart"/>
      <w:r w:rsidRPr="00F8652D">
        <w:rPr>
          <w:rFonts w:ascii="Times New Roman" w:hAnsi="Times New Roman" w:cs="Times New Roman"/>
          <w:sz w:val="20"/>
          <w:szCs w:val="20"/>
          <w:lang w:bidi="ar-EG"/>
        </w:rPr>
        <w:t>Cli</w:t>
      </w:r>
      <w:r w:rsidR="00F8652D" w:rsidRPr="00F8652D">
        <w:rPr>
          <w:rFonts w:ascii="Times New Roman" w:hAnsi="Times New Roman" w:cs="Times New Roman"/>
          <w:sz w:val="20"/>
          <w:szCs w:val="20"/>
          <w:lang w:bidi="ar-EG"/>
        </w:rPr>
        <w:t>n</w:t>
      </w:r>
      <w:proofErr w:type="spellEnd"/>
      <w:r w:rsidR="00F8652D">
        <w:rPr>
          <w:rFonts w:ascii="Times New Roman" w:hAnsi="Times New Roman" w:cs="Times New Roman"/>
          <w:sz w:val="20"/>
          <w:szCs w:val="20"/>
          <w:lang w:bidi="ar-EG"/>
        </w:rPr>
        <w:t xml:space="preserve"> </w:t>
      </w:r>
      <w:r w:rsidR="00F8652D" w:rsidRPr="00F8652D">
        <w:rPr>
          <w:rFonts w:ascii="Times New Roman" w:hAnsi="Times New Roman" w:cs="Times New Roman"/>
          <w:sz w:val="20"/>
          <w:szCs w:val="20"/>
          <w:lang w:bidi="ar-EG"/>
        </w:rPr>
        <w:t>G</w:t>
      </w:r>
      <w:r w:rsidRPr="00F8652D">
        <w:rPr>
          <w:rFonts w:ascii="Times New Roman" w:hAnsi="Times New Roman" w:cs="Times New Roman"/>
          <w:sz w:val="20"/>
          <w:szCs w:val="20"/>
          <w:lang w:bidi="ar-EG"/>
        </w:rPr>
        <w:t>astroentero</w:t>
      </w:r>
      <w:r w:rsidR="00F8652D" w:rsidRPr="00F8652D">
        <w:rPr>
          <w:rFonts w:ascii="Times New Roman" w:hAnsi="Times New Roman" w:cs="Times New Roman"/>
          <w:sz w:val="20"/>
          <w:szCs w:val="20"/>
          <w:lang w:bidi="ar-EG"/>
        </w:rPr>
        <w:t>l</w:t>
      </w:r>
      <w:r w:rsidR="00F8652D">
        <w:rPr>
          <w:rFonts w:ascii="Times New Roman" w:hAnsi="Times New Roman" w:cs="Times New Roman"/>
          <w:sz w:val="20"/>
          <w:szCs w:val="20"/>
          <w:lang w:bidi="ar-EG"/>
        </w:rPr>
        <w:t xml:space="preserve"> </w:t>
      </w:r>
      <w:r w:rsidR="00F8652D" w:rsidRPr="00F8652D">
        <w:rPr>
          <w:rFonts w:ascii="Times New Roman" w:hAnsi="Times New Roman" w:cs="Times New Roman"/>
          <w:sz w:val="20"/>
          <w:szCs w:val="20"/>
          <w:lang w:bidi="ar-EG"/>
        </w:rPr>
        <w:t>H</w:t>
      </w:r>
      <w:r w:rsidRPr="00F8652D">
        <w:rPr>
          <w:rFonts w:ascii="Times New Roman" w:hAnsi="Times New Roman" w:cs="Times New Roman"/>
          <w:sz w:val="20"/>
          <w:szCs w:val="20"/>
          <w:lang w:bidi="ar-EG"/>
        </w:rPr>
        <w:t>epatol.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2018</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Oct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26.</w:t>
      </w:r>
      <w:r w:rsidR="00B44AD9" w:rsidRPr="00F8652D">
        <w:rPr>
          <w:rFonts w:ascii="Times New Roman" w:hAnsi="Times New Roman" w:cs="Times New Roman"/>
          <w:sz w:val="20"/>
          <w:szCs w:val="20"/>
          <w:lang w:bidi="ar-EG"/>
        </w:rPr>
        <w:t xml:space="preserve"> </w:t>
      </w:r>
      <w:proofErr w:type="spellStart"/>
      <w:r w:rsidRPr="00F8652D">
        <w:rPr>
          <w:rFonts w:ascii="Times New Roman" w:hAnsi="Times New Roman" w:cs="Times New Roman"/>
          <w:sz w:val="20"/>
          <w:szCs w:val="20"/>
          <w:lang w:bidi="ar-EG"/>
        </w:rPr>
        <w:t>pii</w:t>
      </w:r>
      <w:proofErr w:type="spellEnd"/>
      <w:r w:rsidRPr="00F8652D">
        <w:rPr>
          <w:rFonts w:ascii="Times New Roman" w:hAnsi="Times New Roman" w:cs="Times New Roman"/>
          <w:sz w:val="20"/>
          <w:szCs w:val="20"/>
          <w:lang w:bidi="ar-EG"/>
        </w:rPr>
        <w: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S1542-3565(18)31202-3.</w:t>
      </w:r>
    </w:p>
    <w:p w:rsidR="00681C85" w:rsidRPr="00F8652D" w:rsidRDefault="00681C85"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Syed</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Fazili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J,</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Ali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Zhao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Hughes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Mahmood</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Syed</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Fazili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J</w:t>
      </w:r>
      <w:r w:rsidR="00F8652D" w:rsidRPr="00F8652D">
        <w:rPr>
          <w:rFonts w:ascii="Times New Roman" w:hAnsi="Times New Roman" w:cs="Times New Roman"/>
          <w:bCs/>
          <w:sz w:val="20"/>
          <w:szCs w:val="20"/>
          <w:lang w:bidi="ar-EG"/>
        </w:rPr>
        <w:t>.</w:t>
      </w:r>
      <w:r w:rsidR="00F8652D">
        <w:rPr>
          <w:rFonts w:ascii="Times New Roman" w:hAnsi="Times New Roman" w:cs="Times New Roman"/>
          <w:bCs/>
          <w:sz w:val="20"/>
          <w:szCs w:val="20"/>
          <w:lang w:bidi="ar-EG"/>
        </w:rPr>
        <w:t xml:space="preserve"> </w:t>
      </w:r>
      <w:r w:rsidR="00F8652D" w:rsidRPr="00F8652D">
        <w:rPr>
          <w:rFonts w:ascii="Times New Roman" w:hAnsi="Times New Roman" w:cs="Times New Roman"/>
          <w:sz w:val="20"/>
          <w:szCs w:val="20"/>
          <w:lang w:bidi="ar-EG"/>
        </w:rPr>
        <w:t>H</w:t>
      </w:r>
      <w:r w:rsidRPr="00F8652D">
        <w:rPr>
          <w:rFonts w:ascii="Times New Roman" w:hAnsi="Times New Roman" w:cs="Times New Roman"/>
          <w:sz w:val="20"/>
          <w:szCs w:val="20"/>
          <w:lang w:bidi="ar-EG"/>
        </w:rPr>
        <w:t>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Occurrence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Recurrence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in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Hepatitis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C-infected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Patients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Treated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Direct-acting</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Antivirals.</w:t>
      </w:r>
      <w:r w:rsidR="00B44AD9" w:rsidRPr="00F8652D">
        <w:rPr>
          <w:rFonts w:ascii="Times New Roman" w:hAnsi="Times New Roman" w:cs="Times New Roman"/>
          <w:sz w:val="20"/>
          <w:szCs w:val="20"/>
          <w:lang w:bidi="ar-EG"/>
        </w:rPr>
        <w:t xml:space="preserve"> </w:t>
      </w:r>
      <w:proofErr w:type="spellStart"/>
      <w:r w:rsidRPr="00F8652D">
        <w:rPr>
          <w:rFonts w:ascii="Times New Roman" w:hAnsi="Times New Roman" w:cs="Times New Roman"/>
          <w:sz w:val="20"/>
          <w:szCs w:val="20"/>
          <w:lang w:bidi="ar-EG"/>
        </w:rPr>
        <w:t>Cureus</w:t>
      </w:r>
      <w:proofErr w:type="spellEnd"/>
      <w:r w:rsidRPr="00F8652D">
        <w:rPr>
          <w:rFonts w:ascii="Times New Roman" w:hAnsi="Times New Roman" w:cs="Times New Roman"/>
          <w:sz w:val="20"/>
          <w:szCs w:val="20"/>
          <w:lang w:bidi="ar-EG"/>
        </w:rPr>
        <w: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June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19,</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2018</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10(6).</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lang w:bidi="ar-EG"/>
        </w:rPr>
        <w:t>Simon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King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Chong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DQ,</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Nguyen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LH,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Ma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VoPham</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T,</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Giovannucci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EL,</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Fuchs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CS,</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Meyerhardt</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JA,</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Corey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KE,</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Khalili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Chung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RT,</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Zhang</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X,</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Chan</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Diabetes,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metabolic</w:t>
      </w:r>
      <w:r w:rsidR="00B44AD9" w:rsidRPr="00F8652D">
        <w:rPr>
          <w:rFonts w:ascii="Times New Roman" w:hAnsi="Times New Roman" w:cs="Times New Roman"/>
          <w:sz w:val="20"/>
          <w:szCs w:val="20"/>
          <w:lang w:bidi="ar-EG"/>
        </w:rPr>
        <w:t xml:space="preserve"> </w:t>
      </w:r>
      <w:proofErr w:type="spellStart"/>
      <w:r w:rsidRPr="00F8652D">
        <w:rPr>
          <w:rFonts w:ascii="Times New Roman" w:hAnsi="Times New Roman" w:cs="Times New Roman"/>
          <w:sz w:val="20"/>
          <w:szCs w:val="20"/>
          <w:lang w:bidi="ar-EG"/>
        </w:rPr>
        <w:t>comorbidities</w:t>
      </w:r>
      <w:proofErr w:type="spellEnd"/>
      <w:r w:rsidRPr="00F8652D">
        <w:rPr>
          <w:rFonts w:ascii="Times New Roman" w:hAnsi="Times New Roman" w:cs="Times New Roman"/>
          <w:sz w:val="20"/>
          <w:szCs w:val="20"/>
          <w:lang w:bidi="ar-EG"/>
        </w:rPr>
        <w: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risk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Results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from</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two</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prospective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cohort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studies.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Hepatology.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2018</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May;67(5):1797-1806.</w:t>
      </w:r>
    </w:p>
    <w:p w:rsidR="00E465FA" w:rsidRPr="00F8652D" w:rsidRDefault="00E465FA"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proofErr w:type="spellStart"/>
      <w:r w:rsidRPr="00F8652D">
        <w:rPr>
          <w:rFonts w:ascii="Times New Roman" w:hAnsi="Times New Roman" w:cs="Times New Roman"/>
          <w:bCs/>
          <w:sz w:val="20"/>
          <w:szCs w:val="20"/>
          <w:lang w:bidi="ar-EG"/>
        </w:rPr>
        <w:lastRenderedPageBreak/>
        <w:t>Mantovani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Targher</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G.</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Type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diabetes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mellitus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risk</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spotlight</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on</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nonalcoholic</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fatty</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liver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disease.</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Ann</w:t>
      </w:r>
      <w:r w:rsidR="00B44AD9" w:rsidRPr="00F8652D">
        <w:rPr>
          <w:rFonts w:ascii="Times New Roman" w:hAnsi="Times New Roman" w:cs="Times New Roman"/>
          <w:sz w:val="20"/>
          <w:szCs w:val="20"/>
          <w:lang w:bidi="ar-EG"/>
        </w:rPr>
        <w:t xml:space="preserve"> </w:t>
      </w:r>
      <w:proofErr w:type="spellStart"/>
      <w:r w:rsidRPr="00F8652D">
        <w:rPr>
          <w:rFonts w:ascii="Times New Roman" w:hAnsi="Times New Roman" w:cs="Times New Roman"/>
          <w:sz w:val="20"/>
          <w:szCs w:val="20"/>
          <w:lang w:bidi="ar-EG"/>
        </w:rPr>
        <w:t>Transl</w:t>
      </w:r>
      <w:proofErr w:type="spellEnd"/>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Med.</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2017</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Jul;5(13):270.</w:t>
      </w:r>
    </w:p>
    <w:p w:rsidR="000F253D" w:rsidRPr="00F8652D" w:rsidRDefault="000F253D"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proofErr w:type="spellStart"/>
      <w:r w:rsidRPr="00F8652D">
        <w:rPr>
          <w:rFonts w:ascii="Times New Roman" w:hAnsi="Times New Roman" w:cs="Times New Roman"/>
          <w:bCs/>
          <w:sz w:val="20"/>
          <w:szCs w:val="20"/>
          <w:lang w:bidi="ar-EG"/>
        </w:rPr>
        <w:t>Yasui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Hashimoto</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Komorizono</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Koike</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K,</w:t>
      </w:r>
      <w:r w:rsidR="00B44AD9" w:rsidRPr="00F8652D">
        <w:rPr>
          <w:rFonts w:ascii="Times New Roman" w:hAnsi="Times New Roman" w:cs="Times New Roman"/>
          <w:bCs/>
          <w:sz w:val="20"/>
          <w:szCs w:val="20"/>
          <w:lang w:bidi="ar-EG"/>
        </w:rPr>
        <w:t xml:space="preserve"> </w:t>
      </w:r>
      <w:proofErr w:type="spellStart"/>
      <w:r w:rsidRPr="00F8652D">
        <w:rPr>
          <w:rFonts w:ascii="Times New Roman" w:hAnsi="Times New Roman" w:cs="Times New Roman"/>
          <w:bCs/>
          <w:sz w:val="20"/>
          <w:szCs w:val="20"/>
          <w:lang w:bidi="ar-EG"/>
        </w:rPr>
        <w:t>Arii</w:t>
      </w:r>
      <w:proofErr w:type="spellEnd"/>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S,</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Imai</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Y,</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et</w:t>
      </w:r>
      <w:r w:rsidR="00B44AD9" w:rsidRPr="00F8652D">
        <w:rPr>
          <w:rFonts w:ascii="Times New Roman" w:hAnsi="Times New Roman" w:cs="Times New Roman"/>
          <w:bCs/>
          <w:sz w:val="20"/>
          <w:szCs w:val="20"/>
          <w:lang w:bidi="ar-EG"/>
        </w:rPr>
        <w:t xml:space="preserve"> </w:t>
      </w:r>
      <w:r w:rsidRPr="00F8652D">
        <w:rPr>
          <w:rFonts w:ascii="Times New Roman" w:hAnsi="Times New Roman" w:cs="Times New Roman"/>
          <w:bCs/>
          <w:sz w:val="20"/>
          <w:szCs w:val="20"/>
          <w:lang w:bidi="ar-EG"/>
        </w:rPr>
        <w:t>al.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Characteristics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of</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patients</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with</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nonalcoholic</w:t>
      </w:r>
      <w:r w:rsidR="00B44AD9" w:rsidRPr="00F8652D">
        <w:rPr>
          <w:rFonts w:ascii="Times New Roman" w:hAnsi="Times New Roman" w:cs="Times New Roman"/>
          <w:sz w:val="20"/>
          <w:szCs w:val="20"/>
          <w:lang w:bidi="ar-EG"/>
        </w:rPr>
        <w:t xml:space="preserve"> </w:t>
      </w:r>
      <w:proofErr w:type="spellStart"/>
      <w:r w:rsidRPr="00F8652D">
        <w:rPr>
          <w:rFonts w:ascii="Times New Roman" w:hAnsi="Times New Roman" w:cs="Times New Roman"/>
          <w:sz w:val="20"/>
          <w:szCs w:val="20"/>
          <w:lang w:bidi="ar-EG"/>
        </w:rPr>
        <w:t>steatohepatitis</w:t>
      </w:r>
      <w:proofErr w:type="spellEnd"/>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who</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develop</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hepatocellular</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carcinoma.</w:t>
      </w:r>
      <w:r w:rsidR="00B44AD9" w:rsidRPr="00F8652D">
        <w:rPr>
          <w:rFonts w:ascii="Times New Roman" w:hAnsi="Times New Roman" w:cs="Times New Roman"/>
          <w:sz w:val="20"/>
          <w:szCs w:val="20"/>
          <w:lang w:bidi="ar-EG"/>
        </w:rPr>
        <w:t xml:space="preserve"> </w:t>
      </w:r>
      <w:proofErr w:type="spellStart"/>
      <w:r w:rsidRPr="00F8652D">
        <w:rPr>
          <w:rFonts w:ascii="Times New Roman" w:hAnsi="Times New Roman" w:cs="Times New Roman"/>
          <w:sz w:val="20"/>
          <w:szCs w:val="20"/>
          <w:lang w:bidi="ar-EG"/>
        </w:rPr>
        <w:t>Cli</w:t>
      </w:r>
      <w:r w:rsidR="00F8652D" w:rsidRPr="00F8652D">
        <w:rPr>
          <w:rFonts w:ascii="Times New Roman" w:hAnsi="Times New Roman" w:cs="Times New Roman"/>
          <w:sz w:val="20"/>
          <w:szCs w:val="20"/>
          <w:lang w:bidi="ar-EG"/>
        </w:rPr>
        <w:t>n</w:t>
      </w:r>
      <w:proofErr w:type="spellEnd"/>
      <w:r w:rsidR="00F8652D">
        <w:rPr>
          <w:rFonts w:ascii="Times New Roman" w:hAnsi="Times New Roman" w:cs="Times New Roman"/>
          <w:sz w:val="20"/>
          <w:szCs w:val="20"/>
          <w:lang w:bidi="ar-EG"/>
        </w:rPr>
        <w:t xml:space="preserve"> </w:t>
      </w:r>
      <w:r w:rsidR="00F8652D" w:rsidRPr="00F8652D">
        <w:rPr>
          <w:rFonts w:ascii="Times New Roman" w:hAnsi="Times New Roman" w:cs="Times New Roman"/>
          <w:sz w:val="20"/>
          <w:szCs w:val="20"/>
          <w:lang w:bidi="ar-EG"/>
        </w:rPr>
        <w:t>G</w:t>
      </w:r>
      <w:r w:rsidRPr="00F8652D">
        <w:rPr>
          <w:rFonts w:ascii="Times New Roman" w:hAnsi="Times New Roman" w:cs="Times New Roman"/>
          <w:sz w:val="20"/>
          <w:szCs w:val="20"/>
          <w:lang w:bidi="ar-EG"/>
        </w:rPr>
        <w:t>astroentero</w:t>
      </w:r>
      <w:r w:rsidR="00F8652D" w:rsidRPr="00F8652D">
        <w:rPr>
          <w:rFonts w:ascii="Times New Roman" w:hAnsi="Times New Roman" w:cs="Times New Roman"/>
          <w:sz w:val="20"/>
          <w:szCs w:val="20"/>
          <w:lang w:bidi="ar-EG"/>
        </w:rPr>
        <w:t>l</w:t>
      </w:r>
      <w:r w:rsidR="00F8652D">
        <w:rPr>
          <w:rFonts w:ascii="Times New Roman" w:hAnsi="Times New Roman" w:cs="Times New Roman"/>
          <w:sz w:val="20"/>
          <w:szCs w:val="20"/>
          <w:lang w:bidi="ar-EG"/>
        </w:rPr>
        <w:t xml:space="preserve"> </w:t>
      </w:r>
      <w:r w:rsidR="00F8652D" w:rsidRPr="00F8652D">
        <w:rPr>
          <w:rFonts w:ascii="Times New Roman" w:hAnsi="Times New Roman" w:cs="Times New Roman"/>
          <w:sz w:val="20"/>
          <w:szCs w:val="20"/>
          <w:lang w:bidi="ar-EG"/>
        </w:rPr>
        <w:t>H</w:t>
      </w:r>
      <w:r w:rsidRPr="00F8652D">
        <w:rPr>
          <w:rFonts w:ascii="Times New Roman" w:hAnsi="Times New Roman" w:cs="Times New Roman"/>
          <w:sz w:val="20"/>
          <w:szCs w:val="20"/>
          <w:lang w:bidi="ar-EG"/>
        </w:rPr>
        <w:t>epatol</w:t>
      </w:r>
      <w:r w:rsidR="00B44AD9" w:rsidRPr="00F8652D">
        <w:rPr>
          <w:rFonts w:ascii="Times New Roman" w:hAnsi="Times New Roman" w:cs="Times New Roman"/>
          <w:sz w:val="20"/>
          <w:szCs w:val="20"/>
          <w:lang w:bidi="ar-EG"/>
        </w:rPr>
        <w:t xml:space="preserve"> </w:t>
      </w:r>
      <w:r w:rsidRPr="00F8652D">
        <w:rPr>
          <w:rFonts w:ascii="Times New Roman" w:hAnsi="Times New Roman" w:cs="Times New Roman"/>
          <w:sz w:val="20"/>
          <w:szCs w:val="20"/>
          <w:lang w:bidi="ar-EG"/>
        </w:rPr>
        <w:t>2011;9:428-33.</w:t>
      </w:r>
    </w:p>
    <w:p w:rsidR="00335864" w:rsidRPr="00F8652D" w:rsidRDefault="00335864"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proofErr w:type="spellStart"/>
      <w:r w:rsidRPr="00F8652D">
        <w:rPr>
          <w:rFonts w:ascii="Times New Roman" w:hAnsi="Times New Roman" w:cs="Times New Roman"/>
          <w:bCs/>
          <w:sz w:val="20"/>
          <w:szCs w:val="20"/>
        </w:rPr>
        <w:t>Poordad</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F,</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Dieterich</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Treating</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hepatitis</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C:</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current</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standard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of</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care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and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emerging</w:t>
      </w:r>
      <w:r w:rsidR="00F8652D">
        <w:rPr>
          <w:rFonts w:ascii="Times New Roman" w:hAnsi="Times New Roman" w:cs="Times New Roman" w:hint="eastAsia"/>
          <w:sz w:val="20"/>
          <w:szCs w:val="20"/>
          <w:lang w:eastAsia="zh-CN"/>
        </w:rPr>
        <w:t xml:space="preserve"> </w:t>
      </w:r>
      <w:r w:rsidRPr="00F8652D">
        <w:rPr>
          <w:rFonts w:ascii="Times New Roman" w:hAnsi="Times New Roman" w:cs="Times New Roman"/>
          <w:sz w:val="20"/>
          <w:szCs w:val="20"/>
        </w:rPr>
        <w:t>direct-acting</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antiviral</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agents.</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J</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Viral</w:t>
      </w:r>
      <w:r w:rsidR="00B44AD9" w:rsidRPr="00F8652D">
        <w:rPr>
          <w:rFonts w:ascii="Times New Roman" w:hAnsi="Times New Roman" w:cs="Times New Roman"/>
          <w:sz w:val="20"/>
          <w:szCs w:val="20"/>
        </w:rPr>
        <w:t xml:space="preserve"> </w:t>
      </w:r>
      <w:proofErr w:type="spellStart"/>
      <w:r w:rsidRPr="00F8652D">
        <w:rPr>
          <w:rFonts w:ascii="Times New Roman" w:hAnsi="Times New Roman" w:cs="Times New Roman"/>
          <w:sz w:val="20"/>
          <w:szCs w:val="20"/>
        </w:rPr>
        <w:t>Hepat</w:t>
      </w:r>
      <w:proofErr w:type="spellEnd"/>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2012;19:449-64.</w:t>
      </w:r>
    </w:p>
    <w:p w:rsidR="00335864" w:rsidRPr="00F8652D" w:rsidRDefault="00335864"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proofErr w:type="spellStart"/>
      <w:r w:rsidRPr="00F8652D">
        <w:rPr>
          <w:rFonts w:ascii="Times New Roman" w:hAnsi="Times New Roman" w:cs="Times New Roman"/>
          <w:bCs/>
          <w:sz w:val="20"/>
          <w:szCs w:val="20"/>
        </w:rPr>
        <w:t>Meissner</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EG,</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Wu</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D,</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Osinusi</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Bon</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D,</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Virtaneva</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K,</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Sturdevant</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D,</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et</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al</w:t>
      </w:r>
      <w:r w:rsidR="00F8652D" w:rsidRPr="00F8652D">
        <w:rPr>
          <w:rFonts w:ascii="Times New Roman" w:hAnsi="Times New Roman" w:cs="Times New Roman"/>
          <w:bCs/>
          <w:sz w:val="20"/>
          <w:szCs w:val="20"/>
        </w:rPr>
        <w:t>.</w:t>
      </w:r>
      <w:r w:rsidR="00F8652D">
        <w:rPr>
          <w:rFonts w:ascii="Times New Roman" w:hAnsi="Times New Roman" w:cs="Times New Roman"/>
          <w:bCs/>
          <w:sz w:val="20"/>
          <w:szCs w:val="20"/>
        </w:rPr>
        <w:t xml:space="preserve"> </w:t>
      </w:r>
      <w:proofErr w:type="spellStart"/>
      <w:r w:rsidR="00F8652D" w:rsidRPr="00F8652D">
        <w:rPr>
          <w:rFonts w:ascii="Times New Roman" w:hAnsi="Times New Roman" w:cs="Times New Roman"/>
          <w:sz w:val="20"/>
          <w:szCs w:val="20"/>
        </w:rPr>
        <w:t>E</w:t>
      </w:r>
      <w:r w:rsidRPr="00F8652D">
        <w:rPr>
          <w:rFonts w:ascii="Times New Roman" w:hAnsi="Times New Roman" w:cs="Times New Roman"/>
          <w:sz w:val="20"/>
          <w:szCs w:val="20"/>
        </w:rPr>
        <w:t>ndogenousintrahepatic</w:t>
      </w:r>
      <w:proofErr w:type="spellEnd"/>
      <w:r w:rsidR="00B44AD9" w:rsidRPr="00F8652D">
        <w:rPr>
          <w:rFonts w:ascii="Times New Roman" w:hAnsi="Times New Roman" w:cs="Times New Roman"/>
          <w:sz w:val="20"/>
          <w:szCs w:val="20"/>
        </w:rPr>
        <w:t xml:space="preserve"> </w:t>
      </w:r>
      <w:proofErr w:type="spellStart"/>
      <w:r w:rsidRPr="00F8652D">
        <w:rPr>
          <w:rFonts w:ascii="Times New Roman" w:hAnsi="Times New Roman" w:cs="Times New Roman"/>
          <w:sz w:val="20"/>
          <w:szCs w:val="20"/>
        </w:rPr>
        <w:t>IFNs</w:t>
      </w:r>
      <w:proofErr w:type="spellEnd"/>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and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association</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with</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IFN-free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HCV</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treatment</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outcome.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J</w:t>
      </w:r>
      <w:r w:rsidR="00B44AD9" w:rsidRPr="00F8652D">
        <w:rPr>
          <w:rFonts w:ascii="Times New Roman" w:hAnsi="Times New Roman" w:cs="Times New Roman"/>
          <w:sz w:val="20"/>
          <w:szCs w:val="20"/>
        </w:rPr>
        <w:t xml:space="preserve"> </w:t>
      </w:r>
      <w:proofErr w:type="spellStart"/>
      <w:r w:rsidRPr="00F8652D">
        <w:rPr>
          <w:rFonts w:ascii="Times New Roman" w:hAnsi="Times New Roman" w:cs="Times New Roman"/>
          <w:sz w:val="20"/>
          <w:szCs w:val="20"/>
        </w:rPr>
        <w:t>Clin</w:t>
      </w:r>
      <w:proofErr w:type="spellEnd"/>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Invest2014;124:3352-63.</w:t>
      </w:r>
    </w:p>
    <w:p w:rsidR="00F57499" w:rsidRPr="00F8652D" w:rsidRDefault="00F57499"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rPr>
        <w:lastRenderedPageBreak/>
        <w:t>Nagata</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H,</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Nakagawa</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M,</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Asahina</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Y,</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Sato</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Asano</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Y,</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Tsunoda</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T,</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et</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al.</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Effect</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of</w:t>
      </w:r>
      <w:r w:rsidR="00F8652D" w:rsidRPr="00F8652D">
        <w:rPr>
          <w:rFonts w:ascii="Times New Roman" w:hAnsi="Times New Roman" w:cs="Times New Roman" w:hint="eastAsia"/>
          <w:sz w:val="20"/>
          <w:szCs w:val="20"/>
          <w:lang w:eastAsia="zh-CN"/>
        </w:rPr>
        <w:t xml:space="preserve"> </w:t>
      </w:r>
      <w:r w:rsidRPr="00F8652D">
        <w:rPr>
          <w:rFonts w:ascii="Times New Roman" w:hAnsi="Times New Roman" w:cs="Times New Roman"/>
          <w:sz w:val="20"/>
          <w:szCs w:val="20"/>
        </w:rPr>
        <w:t>interferon-based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and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-free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therapy</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on</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early</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occurrence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and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recurrence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of</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hepatocellular</w:t>
      </w:r>
      <w:r w:rsidR="00F8652D">
        <w:rPr>
          <w:rFonts w:ascii="Times New Roman" w:hAnsi="Times New Roman" w:cs="Times New Roman" w:hint="eastAsia"/>
          <w:sz w:val="20"/>
          <w:szCs w:val="20"/>
          <w:lang w:eastAsia="zh-CN"/>
        </w:rPr>
        <w:t xml:space="preserve"> </w:t>
      </w:r>
      <w:r w:rsidRPr="00F8652D">
        <w:rPr>
          <w:rFonts w:ascii="Times New Roman" w:hAnsi="Times New Roman" w:cs="Times New Roman"/>
          <w:sz w:val="20"/>
          <w:szCs w:val="20"/>
        </w:rPr>
        <w:t>carcinoma</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in</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chronic</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hepatitis</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C.</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J</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Hepatol</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2017;67:933-9.</w:t>
      </w:r>
    </w:p>
    <w:p w:rsidR="00335864" w:rsidRPr="00F8652D" w:rsidRDefault="00335864"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proofErr w:type="spellStart"/>
      <w:r w:rsidRPr="00F8652D">
        <w:rPr>
          <w:rFonts w:ascii="Times New Roman" w:hAnsi="Times New Roman" w:cs="Times New Roman"/>
          <w:bCs/>
          <w:sz w:val="20"/>
          <w:szCs w:val="20"/>
        </w:rPr>
        <w:t>Reig</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M,</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Marino</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Z,</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Perello</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C,</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Inarrairaegui</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M,</w:t>
      </w:r>
      <w:r w:rsidR="00B44AD9" w:rsidRPr="00F8652D">
        <w:rPr>
          <w:rFonts w:ascii="Times New Roman" w:hAnsi="Times New Roman" w:cs="Times New Roman"/>
          <w:bCs/>
          <w:sz w:val="20"/>
          <w:szCs w:val="20"/>
        </w:rPr>
        <w:t xml:space="preserve"> </w:t>
      </w:r>
      <w:proofErr w:type="spellStart"/>
      <w:r w:rsidRPr="00F8652D">
        <w:rPr>
          <w:rFonts w:ascii="Times New Roman" w:hAnsi="Times New Roman" w:cs="Times New Roman"/>
          <w:bCs/>
          <w:sz w:val="20"/>
          <w:szCs w:val="20"/>
        </w:rPr>
        <w:t>Ribeiro</w:t>
      </w:r>
      <w:proofErr w:type="spellEnd"/>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Lens</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S,</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et</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al.</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Unexpected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high</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rate</w:t>
      </w:r>
      <w:r w:rsidR="00B44AD9" w:rsidRPr="00F8652D">
        <w:rPr>
          <w:rFonts w:ascii="Times New Roman" w:hAnsi="Times New Roman" w:cs="Times New Roman"/>
          <w:sz w:val="20"/>
          <w:szCs w:val="20"/>
        </w:rPr>
        <w:t xml:space="preserve"> </w:t>
      </w:r>
      <w:r w:rsidR="00F969A2" w:rsidRPr="00F8652D">
        <w:rPr>
          <w:rFonts w:ascii="Times New Roman" w:hAnsi="Times New Roman" w:cs="Times New Roman"/>
          <w:sz w:val="20"/>
          <w:szCs w:val="20"/>
        </w:rPr>
        <w:t>of early</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tumor</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recurrence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in</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patients</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with</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HCV-related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HCC</w:t>
      </w:r>
      <w:r w:rsidR="00B44AD9" w:rsidRPr="00F8652D">
        <w:rPr>
          <w:rFonts w:ascii="Times New Roman" w:hAnsi="Times New Roman" w:cs="Times New Roman"/>
          <w:sz w:val="20"/>
          <w:szCs w:val="20"/>
        </w:rPr>
        <w:t xml:space="preserve"> </w:t>
      </w:r>
      <w:r w:rsidR="00F969A2" w:rsidRPr="00F8652D">
        <w:rPr>
          <w:rFonts w:ascii="Times New Roman" w:hAnsi="Times New Roman" w:cs="Times New Roman"/>
          <w:sz w:val="20"/>
          <w:szCs w:val="20"/>
        </w:rPr>
        <w:t>undergoing interferon</w:t>
      </w:r>
      <w:r w:rsidRPr="00F8652D">
        <w:rPr>
          <w:rFonts w:ascii="Times New Roman" w:hAnsi="Times New Roman" w:cs="Times New Roman"/>
          <w:sz w:val="20"/>
          <w:szCs w:val="20"/>
        </w:rPr>
        <w:t>-free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therapy.</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J</w:t>
      </w:r>
      <w:r w:rsidR="00F969A2">
        <w:rPr>
          <w:rFonts w:ascii="Times New Roman" w:hAnsi="Times New Roman" w:cs="Times New Roman" w:hint="eastAsia"/>
          <w:sz w:val="20"/>
          <w:szCs w:val="20"/>
          <w:lang w:eastAsia="zh-CN"/>
        </w:rPr>
        <w:t xml:space="preserve"> </w:t>
      </w:r>
      <w:r w:rsidRPr="00F8652D">
        <w:rPr>
          <w:rFonts w:ascii="Times New Roman" w:hAnsi="Times New Roman" w:cs="Times New Roman"/>
          <w:sz w:val="20"/>
          <w:szCs w:val="20"/>
        </w:rPr>
        <w:t>Hepatol</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2016;65:719-26.</w:t>
      </w:r>
    </w:p>
    <w:p w:rsidR="00335864" w:rsidRPr="00F8652D" w:rsidRDefault="00335864" w:rsidP="00F8652D">
      <w:pPr>
        <w:numPr>
          <w:ilvl w:val="0"/>
          <w:numId w:val="25"/>
        </w:num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sidRPr="00F8652D">
        <w:rPr>
          <w:rFonts w:ascii="Times New Roman" w:hAnsi="Times New Roman" w:cs="Times New Roman"/>
          <w:bCs/>
          <w:sz w:val="20"/>
          <w:szCs w:val="20"/>
        </w:rPr>
        <w:t>Minami</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T,</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Tateishi</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R,</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Nakagomi</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R,</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Fujiwara</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N,</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Sato</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M,</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Enooku</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K,</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et</w:t>
      </w:r>
      <w:r w:rsidR="00B44AD9" w:rsidRPr="00F8652D">
        <w:rPr>
          <w:rFonts w:ascii="Times New Roman" w:hAnsi="Times New Roman" w:cs="Times New Roman"/>
          <w:bCs/>
          <w:sz w:val="20"/>
          <w:szCs w:val="20"/>
        </w:rPr>
        <w:t xml:space="preserve"> </w:t>
      </w:r>
      <w:r w:rsidRPr="00F8652D">
        <w:rPr>
          <w:rFonts w:ascii="Times New Roman" w:hAnsi="Times New Roman" w:cs="Times New Roman"/>
          <w:bCs/>
          <w:sz w:val="20"/>
          <w:szCs w:val="20"/>
        </w:rPr>
        <w:t>al.</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The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impact</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of</w:t>
      </w:r>
      <w:r w:rsidR="00F8652D">
        <w:rPr>
          <w:rFonts w:ascii="Times New Roman" w:hAnsi="Times New Roman" w:cs="Times New Roman" w:hint="eastAsia"/>
          <w:sz w:val="20"/>
          <w:szCs w:val="20"/>
          <w:lang w:eastAsia="zh-CN"/>
        </w:rPr>
        <w:t xml:space="preserve"> </w:t>
      </w:r>
      <w:r w:rsidRPr="00F8652D">
        <w:rPr>
          <w:rFonts w:ascii="Times New Roman" w:hAnsi="Times New Roman" w:cs="Times New Roman"/>
          <w:sz w:val="20"/>
          <w:szCs w:val="20"/>
        </w:rPr>
        <w:t>direct-acting</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antivirals</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on</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early</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tumor</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recurrence</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after</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radiofrequency</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ablation</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in</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hepatiti</w:t>
      </w:r>
      <w:r w:rsidR="00F8652D" w:rsidRPr="00F8652D">
        <w:rPr>
          <w:rFonts w:ascii="Times New Roman" w:hAnsi="Times New Roman" w:cs="Times New Roman"/>
          <w:sz w:val="20"/>
          <w:szCs w:val="20"/>
        </w:rPr>
        <w:t>s</w:t>
      </w:r>
      <w:r w:rsidR="00F8652D">
        <w:rPr>
          <w:rFonts w:ascii="Times New Roman" w:hAnsi="Times New Roman" w:cs="Times New Roman"/>
          <w:sz w:val="20"/>
          <w:szCs w:val="20"/>
        </w:rPr>
        <w:t xml:space="preserve"> </w:t>
      </w:r>
      <w:r w:rsidR="00F8652D" w:rsidRPr="00F8652D">
        <w:rPr>
          <w:rFonts w:ascii="Times New Roman" w:hAnsi="Times New Roman" w:cs="Times New Roman"/>
          <w:sz w:val="20"/>
          <w:szCs w:val="20"/>
        </w:rPr>
        <w:t>C</w:t>
      </w:r>
      <w:r w:rsidRPr="00F8652D">
        <w:rPr>
          <w:rFonts w:ascii="Times New Roman" w:hAnsi="Times New Roman" w:cs="Times New Roman"/>
          <w:sz w:val="20"/>
          <w:szCs w:val="20"/>
        </w:rPr>
        <w:t>-related</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hepatocellular</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carcinoma.</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J</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Hepatol</w:t>
      </w:r>
      <w:r w:rsidR="00B44AD9" w:rsidRPr="00F8652D">
        <w:rPr>
          <w:rFonts w:ascii="Times New Roman" w:hAnsi="Times New Roman" w:cs="Times New Roman"/>
          <w:sz w:val="20"/>
          <w:szCs w:val="20"/>
        </w:rPr>
        <w:t xml:space="preserve"> </w:t>
      </w:r>
      <w:r w:rsidRPr="00F8652D">
        <w:rPr>
          <w:rFonts w:ascii="Times New Roman" w:hAnsi="Times New Roman" w:cs="Times New Roman"/>
          <w:sz w:val="20"/>
          <w:szCs w:val="20"/>
        </w:rPr>
        <w:t>2016;65:1272-3.</w:t>
      </w:r>
    </w:p>
    <w:p w:rsidR="00F8652D" w:rsidRDefault="00F8652D" w:rsidP="00F8652D">
      <w:pPr>
        <w:shd w:val="clear" w:color="auto" w:fill="FFFFFF"/>
        <w:bidi w:val="0"/>
        <w:snapToGrid w:val="0"/>
        <w:spacing w:after="0" w:line="240" w:lineRule="auto"/>
        <w:ind w:left="425" w:hanging="425"/>
        <w:jc w:val="both"/>
        <w:rPr>
          <w:rFonts w:ascii="Times New Roman" w:hAnsi="Times New Roman" w:cs="Times New Roman"/>
          <w:sz w:val="20"/>
          <w:szCs w:val="20"/>
          <w:lang w:bidi="ar-EG"/>
        </w:rPr>
        <w:sectPr w:rsidR="00F8652D" w:rsidSect="00F8652D">
          <w:type w:val="continuous"/>
          <w:pgSz w:w="12242" w:h="15842" w:code="1"/>
          <w:pgMar w:top="1440" w:right="1440" w:bottom="1440" w:left="1440" w:header="720" w:footer="720" w:gutter="0"/>
          <w:cols w:num="2" w:space="550"/>
          <w:docGrid w:linePitch="360"/>
        </w:sectPr>
      </w:pPr>
    </w:p>
    <w:p w:rsidR="00B44AD9" w:rsidRPr="00B44AD9" w:rsidRDefault="00B44AD9" w:rsidP="00F8652D">
      <w:pPr>
        <w:shd w:val="clear" w:color="auto" w:fill="FFFFFF"/>
        <w:bidi w:val="0"/>
        <w:snapToGrid w:val="0"/>
        <w:spacing w:after="0" w:line="240" w:lineRule="auto"/>
        <w:ind w:left="425" w:hanging="425"/>
        <w:jc w:val="both"/>
        <w:rPr>
          <w:rFonts w:ascii="Times New Roman" w:hAnsi="Times New Roman" w:cs="Times New Roman"/>
          <w:sz w:val="20"/>
          <w:szCs w:val="20"/>
          <w:lang w:bidi="ar-EG"/>
        </w:rPr>
      </w:pPr>
    </w:p>
    <w:p w:rsidR="00520406" w:rsidRPr="00B44AD9" w:rsidRDefault="00B44AD9" w:rsidP="00F8652D">
      <w:pPr>
        <w:shd w:val="clear" w:color="auto" w:fill="FFFFFF"/>
        <w:bidi w:val="0"/>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sz w:val="20"/>
          <w:szCs w:val="20"/>
          <w:lang w:bidi="ar-EG"/>
        </w:rPr>
        <w:cr/>
      </w:r>
    </w:p>
    <w:p w:rsidR="00011B23" w:rsidRPr="00F8652D" w:rsidRDefault="00B44AD9" w:rsidP="00F8652D">
      <w:pPr>
        <w:shd w:val="clear" w:color="auto" w:fill="FFFFFF"/>
        <w:bidi w:val="0"/>
        <w:snapToGrid w:val="0"/>
        <w:spacing w:after="0" w:line="240" w:lineRule="auto"/>
        <w:jc w:val="both"/>
        <w:rPr>
          <w:rFonts w:ascii="Times New Roman" w:hAnsi="Times New Roman" w:cs="Times New Roman"/>
          <w:iCs/>
          <w:sz w:val="20"/>
          <w:szCs w:val="20"/>
          <w:lang w:bidi="ar-EG"/>
        </w:rPr>
      </w:pPr>
      <w:r w:rsidRPr="00F8652D">
        <w:rPr>
          <w:rFonts w:ascii="Times New Roman" w:hAnsi="Times New Roman" w:cs="Times New Roman"/>
          <w:iCs/>
          <w:sz w:val="20"/>
          <w:szCs w:val="20"/>
          <w:lang w:bidi="ar-EG"/>
        </w:rPr>
        <w:t>2/16/2019</w:t>
      </w:r>
    </w:p>
    <w:sectPr w:rsidR="00011B23" w:rsidRPr="00F8652D" w:rsidSect="00B44AD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48" w:rsidRDefault="00C46548" w:rsidP="0032614C">
      <w:pPr>
        <w:spacing w:after="0" w:line="240" w:lineRule="auto"/>
      </w:pPr>
      <w:r>
        <w:separator/>
      </w:r>
    </w:p>
  </w:endnote>
  <w:endnote w:type="continuationSeparator" w:id="0">
    <w:p w:rsidR="00C46548" w:rsidRDefault="00C46548" w:rsidP="00326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altName w:val="Times New Roman"/>
    <w:panose1 w:val="00000000000000000000"/>
    <w:charset w:val="00"/>
    <w:family w:val="roman"/>
    <w:notTrueType/>
    <w:pitch w:val="default"/>
    <w:sig w:usb0="00000000" w:usb1="00000000" w:usb2="00000000" w:usb3="00000000" w:csb0="00000000" w:csb1="00000000"/>
  </w:font>
  <w:font w:name="AdvTT72decec9.B">
    <w:altName w:val="Times New Roman"/>
    <w:panose1 w:val="00000000000000000000"/>
    <w:charset w:val="00"/>
    <w:family w:val="roman"/>
    <w:notTrueType/>
    <w:pitch w:val="default"/>
    <w:sig w:usb0="00000000" w:usb1="00000000" w:usb2="00000000" w:usb3="00000000" w:csb0="00000000" w:csb1="00000000"/>
  </w:font>
  <w:font w:name="AdvTTa9027ee7+20">
    <w:altName w:val="Times New Roman"/>
    <w:panose1 w:val="00000000000000000000"/>
    <w:charset w:val="00"/>
    <w:family w:val="roman"/>
    <w:notTrueType/>
    <w:pitch w:val="default"/>
    <w:sig w:usb0="00000000" w:usb1="00000000" w:usb2="00000000" w:usb3="00000000" w:csb0="00000000" w:csb1="00000000"/>
  </w:font>
  <w:font w:name="宋">
    <w:altName w:val="宋体"/>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25" w:rsidRPr="00BA3067" w:rsidRDefault="00B07990" w:rsidP="00BA3067">
    <w:pPr>
      <w:bidi w:val="0"/>
      <w:spacing w:after="0" w:line="240" w:lineRule="auto"/>
      <w:jc w:val="center"/>
      <w:rPr>
        <w:rFonts w:ascii="Times New Roman" w:hAnsi="Times New Roman" w:cs="Times New Roman"/>
        <w:sz w:val="20"/>
      </w:rPr>
    </w:pPr>
    <w:r w:rsidRPr="00BA3067">
      <w:rPr>
        <w:rFonts w:ascii="Times New Roman" w:hAnsi="Times New Roman" w:cs="Times New Roman"/>
        <w:sz w:val="20"/>
      </w:rPr>
      <w:fldChar w:fldCharType="begin"/>
    </w:r>
    <w:r w:rsidR="00BA3067" w:rsidRPr="00BA3067">
      <w:rPr>
        <w:rFonts w:ascii="Times New Roman" w:hAnsi="Times New Roman" w:cs="Times New Roman"/>
        <w:sz w:val="20"/>
      </w:rPr>
      <w:instrText xml:space="preserve"> page </w:instrText>
    </w:r>
    <w:r w:rsidRPr="00BA3067">
      <w:rPr>
        <w:rFonts w:ascii="Times New Roman" w:hAnsi="Times New Roman" w:cs="Times New Roman"/>
        <w:sz w:val="20"/>
      </w:rPr>
      <w:fldChar w:fldCharType="separate"/>
    </w:r>
    <w:r w:rsidR="00F969A2">
      <w:rPr>
        <w:rFonts w:ascii="Times New Roman" w:hAnsi="Times New Roman" w:cs="Times New Roman"/>
        <w:noProof/>
        <w:sz w:val="20"/>
      </w:rPr>
      <w:t>64</w:t>
    </w:r>
    <w:r w:rsidRPr="00BA306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48" w:rsidRDefault="00C46548" w:rsidP="0032614C">
      <w:pPr>
        <w:spacing w:after="0" w:line="240" w:lineRule="auto"/>
      </w:pPr>
      <w:r>
        <w:separator/>
      </w:r>
    </w:p>
  </w:footnote>
  <w:footnote w:type="continuationSeparator" w:id="0">
    <w:p w:rsidR="00C46548" w:rsidRDefault="00C46548" w:rsidP="00326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67" w:rsidRPr="00BA3067" w:rsidRDefault="00BA3067" w:rsidP="00BA306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A3067">
      <w:rPr>
        <w:rFonts w:ascii="Times New Roman" w:hAnsi="Times New Roman" w:cs="Times New Roman" w:hint="eastAsia"/>
        <w:iCs/>
        <w:color w:val="000000"/>
        <w:sz w:val="20"/>
      </w:rPr>
      <w:tab/>
    </w:r>
    <w:r w:rsidRPr="00BA3067">
      <w:rPr>
        <w:rFonts w:ascii="Times New Roman" w:hAnsi="Times New Roman" w:cs="Times New Roman"/>
        <w:iCs/>
        <w:color w:val="000000"/>
        <w:sz w:val="20"/>
      </w:rPr>
      <w:t xml:space="preserve">Cancer Biology </w:t>
    </w:r>
    <w:r w:rsidRPr="00BA3067">
      <w:rPr>
        <w:rFonts w:ascii="Times New Roman" w:hAnsi="Times New Roman" w:cs="Times New Roman"/>
        <w:iCs/>
        <w:sz w:val="20"/>
      </w:rPr>
      <w:t>201</w:t>
    </w:r>
    <w:r w:rsidRPr="00BA3067">
      <w:rPr>
        <w:rFonts w:ascii="Times New Roman" w:hAnsi="Times New Roman" w:cs="Times New Roman" w:hint="eastAsia"/>
        <w:iCs/>
        <w:sz w:val="20"/>
      </w:rPr>
      <w:t>9</w:t>
    </w:r>
    <w:r w:rsidRPr="00BA3067">
      <w:rPr>
        <w:rFonts w:ascii="Times New Roman" w:hAnsi="Times New Roman" w:cs="Times New Roman"/>
        <w:iCs/>
        <w:sz w:val="20"/>
      </w:rPr>
      <w:t>;</w:t>
    </w:r>
    <w:r w:rsidRPr="00BA3067">
      <w:rPr>
        <w:rFonts w:ascii="Times New Roman" w:hAnsi="Times New Roman" w:cs="Times New Roman" w:hint="eastAsia"/>
        <w:iCs/>
        <w:sz w:val="20"/>
      </w:rPr>
      <w:t>9</w:t>
    </w:r>
    <w:r w:rsidRPr="00BA3067">
      <w:rPr>
        <w:rFonts w:ascii="Times New Roman" w:hAnsi="Times New Roman" w:cs="Times New Roman"/>
        <w:iCs/>
        <w:sz w:val="20"/>
      </w:rPr>
      <w:t>(</w:t>
    </w:r>
    <w:r w:rsidRPr="00BA3067">
      <w:rPr>
        <w:rFonts w:ascii="Times New Roman" w:hAnsi="Times New Roman" w:cs="Times New Roman" w:hint="eastAsia"/>
        <w:iCs/>
        <w:sz w:val="20"/>
      </w:rPr>
      <w:t>1</w:t>
    </w:r>
    <w:r w:rsidRPr="00BA3067">
      <w:rPr>
        <w:rFonts w:ascii="Times New Roman" w:hAnsi="Times New Roman" w:cs="Times New Roman"/>
        <w:iCs/>
        <w:sz w:val="20"/>
      </w:rPr>
      <w:t xml:space="preserve">)  </w:t>
    </w:r>
    <w:r w:rsidRPr="00BA3067">
      <w:rPr>
        <w:rFonts w:ascii="Times New Roman" w:hAnsi="Times New Roman" w:cs="Times New Roman" w:hint="eastAsia"/>
        <w:iCs/>
        <w:sz w:val="20"/>
      </w:rPr>
      <w:t xml:space="preserve">   </w:t>
    </w:r>
    <w:r w:rsidRPr="00BA3067">
      <w:rPr>
        <w:rFonts w:ascii="Times New Roman" w:hAnsi="Times New Roman" w:cs="Times New Roman" w:hint="eastAsia"/>
        <w:iCs/>
        <w:sz w:val="20"/>
      </w:rPr>
      <w:tab/>
      <w:t xml:space="preserve">     </w:t>
    </w:r>
    <w:r w:rsidRPr="00BA3067">
      <w:rPr>
        <w:rFonts w:ascii="Times New Roman" w:hAnsi="Times New Roman" w:cs="Times New Roman"/>
        <w:iCs/>
        <w:sz w:val="20"/>
      </w:rPr>
      <w:t xml:space="preserve"> </w:t>
    </w:r>
    <w:r w:rsidRPr="00BA3067">
      <w:rPr>
        <w:rFonts w:ascii="Times New Roman" w:hAnsi="Times New Roman" w:cs="Times New Roman"/>
        <w:sz w:val="20"/>
      </w:rPr>
      <w:t xml:space="preserve">  </w:t>
    </w:r>
    <w:hyperlink r:id="rId1" w:history="1">
      <w:r w:rsidRPr="00BA3067">
        <w:rPr>
          <w:rStyle w:val="Hyperlink"/>
          <w:rFonts w:ascii="Times New Roman" w:hAnsi="Times New Roman" w:cs="Times New Roman"/>
          <w:color w:val="0000FF"/>
          <w:sz w:val="20"/>
        </w:rPr>
        <w:t>http://www.cancerbio.net</w:t>
      </w:r>
    </w:hyperlink>
  </w:p>
  <w:p w:rsidR="00BA3067" w:rsidRPr="00BA3067" w:rsidRDefault="00BA3067" w:rsidP="00BA306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C8A"/>
    <w:multiLevelType w:val="hybridMultilevel"/>
    <w:tmpl w:val="B618601A"/>
    <w:lvl w:ilvl="0" w:tplc="59186E5A">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DB30B49"/>
    <w:multiLevelType w:val="hybridMultilevel"/>
    <w:tmpl w:val="2850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97537"/>
    <w:multiLevelType w:val="hybridMultilevel"/>
    <w:tmpl w:val="25C2EE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0B74687"/>
    <w:multiLevelType w:val="hybridMultilevel"/>
    <w:tmpl w:val="5AC835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3A23543"/>
    <w:multiLevelType w:val="hybridMultilevel"/>
    <w:tmpl w:val="608EAADE"/>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02B1B"/>
    <w:multiLevelType w:val="hybridMultilevel"/>
    <w:tmpl w:val="F4588FC8"/>
    <w:lvl w:ilvl="0" w:tplc="FAE498D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83E1D90"/>
    <w:multiLevelType w:val="hybridMultilevel"/>
    <w:tmpl w:val="C7EE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10975"/>
    <w:multiLevelType w:val="hybridMultilevel"/>
    <w:tmpl w:val="6F4073B6"/>
    <w:lvl w:ilvl="0" w:tplc="68FCFC94">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56EFB"/>
    <w:multiLevelType w:val="hybridMultilevel"/>
    <w:tmpl w:val="E3F8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11FA1"/>
    <w:multiLevelType w:val="hybridMultilevel"/>
    <w:tmpl w:val="6A50EE94"/>
    <w:lvl w:ilvl="0" w:tplc="36408C36">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6FB4611"/>
    <w:multiLevelType w:val="hybridMultilevel"/>
    <w:tmpl w:val="608EAADE"/>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D3640"/>
    <w:multiLevelType w:val="hybridMultilevel"/>
    <w:tmpl w:val="0E7CF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7966B7"/>
    <w:multiLevelType w:val="multilevel"/>
    <w:tmpl w:val="CB3EB3C4"/>
    <w:lvl w:ilvl="0">
      <w:start w:val="1"/>
      <w:numFmt w:val="decimal"/>
      <w:lvlText w:val="%1)"/>
      <w:lvlJc w:val="left"/>
      <w:pPr>
        <w:ind w:left="360" w:hanging="360"/>
      </w:pPr>
      <w:rPr>
        <w:rFonts w:hint="default"/>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4C778F"/>
    <w:multiLevelType w:val="hybridMultilevel"/>
    <w:tmpl w:val="608EAADE"/>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12232"/>
    <w:multiLevelType w:val="hybridMultilevel"/>
    <w:tmpl w:val="3FC87000"/>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5">
    <w:nsid w:val="55932782"/>
    <w:multiLevelType w:val="hybridMultilevel"/>
    <w:tmpl w:val="87649CB4"/>
    <w:lvl w:ilvl="0" w:tplc="50681CB4">
      <w:start w:val="1"/>
      <w:numFmt w:val="decimal"/>
      <w:lvlText w:val="%1."/>
      <w:lvlJc w:val="left"/>
      <w:pPr>
        <w:ind w:left="1004" w:hanging="360"/>
      </w:pPr>
      <w:rPr>
        <w:b/>
        <w:bCs/>
        <w:color w:val="4F81BD" w:themeColor="accen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8312AA1"/>
    <w:multiLevelType w:val="hybridMultilevel"/>
    <w:tmpl w:val="979CD832"/>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9364FC"/>
    <w:multiLevelType w:val="hybridMultilevel"/>
    <w:tmpl w:val="C6927E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651E5"/>
    <w:multiLevelType w:val="hybridMultilevel"/>
    <w:tmpl w:val="00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259A4"/>
    <w:multiLevelType w:val="hybridMultilevel"/>
    <w:tmpl w:val="59FEE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266ED3"/>
    <w:multiLevelType w:val="hybridMultilevel"/>
    <w:tmpl w:val="C23AC504"/>
    <w:lvl w:ilvl="0" w:tplc="0409000F">
      <w:start w:val="1"/>
      <w:numFmt w:val="decimal"/>
      <w:lvlText w:val="%1."/>
      <w:lvlJc w:val="left"/>
      <w:pPr>
        <w:ind w:left="2062"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C543139"/>
    <w:multiLevelType w:val="hybridMultilevel"/>
    <w:tmpl w:val="85742EF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6CDE59DD"/>
    <w:multiLevelType w:val="hybridMultilevel"/>
    <w:tmpl w:val="C3C02540"/>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A5217E"/>
    <w:multiLevelType w:val="hybridMultilevel"/>
    <w:tmpl w:val="4508C00A"/>
    <w:lvl w:ilvl="0" w:tplc="04090001">
      <w:start w:val="1"/>
      <w:numFmt w:val="bullet"/>
      <w:lvlText w:val=""/>
      <w:lvlJc w:val="left"/>
      <w:pPr>
        <w:ind w:left="1440" w:hanging="720"/>
      </w:pPr>
      <w:rPr>
        <w:rFonts w:ascii="Symbol" w:hAnsi="Symbo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D643D0"/>
    <w:multiLevelType w:val="hybridMultilevel"/>
    <w:tmpl w:val="E8545BB2"/>
    <w:lvl w:ilvl="0" w:tplc="3F1219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5"/>
  </w:num>
  <w:num w:numId="4">
    <w:abstractNumId w:val="6"/>
  </w:num>
  <w:num w:numId="5">
    <w:abstractNumId w:val="1"/>
  </w:num>
  <w:num w:numId="6">
    <w:abstractNumId w:val="14"/>
  </w:num>
  <w:num w:numId="7">
    <w:abstractNumId w:val="12"/>
  </w:num>
  <w:num w:numId="8">
    <w:abstractNumId w:val="23"/>
  </w:num>
  <w:num w:numId="9">
    <w:abstractNumId w:val="17"/>
  </w:num>
  <w:num w:numId="10">
    <w:abstractNumId w:val="20"/>
  </w:num>
  <w:num w:numId="11">
    <w:abstractNumId w:val="21"/>
  </w:num>
  <w:num w:numId="12">
    <w:abstractNumId w:val="11"/>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4"/>
  </w:num>
  <w:num w:numId="18">
    <w:abstractNumId w:val="13"/>
  </w:num>
  <w:num w:numId="19">
    <w:abstractNumId w:val="10"/>
  </w:num>
  <w:num w:numId="20">
    <w:abstractNumId w:val="18"/>
  </w:num>
  <w:num w:numId="21">
    <w:abstractNumId w:val="3"/>
  </w:num>
  <w:num w:numId="22">
    <w:abstractNumId w:val="0"/>
  </w:num>
  <w:num w:numId="23">
    <w:abstractNumId w:val="15"/>
  </w:num>
  <w:num w:numId="24">
    <w:abstractNumId w:val="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CF7839"/>
    <w:rsid w:val="00000B55"/>
    <w:rsid w:val="00000C30"/>
    <w:rsid w:val="00011B23"/>
    <w:rsid w:val="000160D9"/>
    <w:rsid w:val="000230AD"/>
    <w:rsid w:val="00024CAF"/>
    <w:rsid w:val="00027F55"/>
    <w:rsid w:val="00032AD8"/>
    <w:rsid w:val="00034BD6"/>
    <w:rsid w:val="00035FBA"/>
    <w:rsid w:val="000363F3"/>
    <w:rsid w:val="00040FFD"/>
    <w:rsid w:val="00044D8F"/>
    <w:rsid w:val="00051A52"/>
    <w:rsid w:val="000521B9"/>
    <w:rsid w:val="000525A5"/>
    <w:rsid w:val="0005660C"/>
    <w:rsid w:val="00060132"/>
    <w:rsid w:val="00061028"/>
    <w:rsid w:val="00063017"/>
    <w:rsid w:val="000640B0"/>
    <w:rsid w:val="00066756"/>
    <w:rsid w:val="00066C64"/>
    <w:rsid w:val="000705F5"/>
    <w:rsid w:val="00071132"/>
    <w:rsid w:val="0007314E"/>
    <w:rsid w:val="00076CEC"/>
    <w:rsid w:val="00077631"/>
    <w:rsid w:val="000779A3"/>
    <w:rsid w:val="0008285C"/>
    <w:rsid w:val="00085CE6"/>
    <w:rsid w:val="00085E1E"/>
    <w:rsid w:val="00090195"/>
    <w:rsid w:val="00092B67"/>
    <w:rsid w:val="00095679"/>
    <w:rsid w:val="000961AD"/>
    <w:rsid w:val="000A20CE"/>
    <w:rsid w:val="000A2F0D"/>
    <w:rsid w:val="000A7DF3"/>
    <w:rsid w:val="000A7E1A"/>
    <w:rsid w:val="000B311D"/>
    <w:rsid w:val="000B5A38"/>
    <w:rsid w:val="000B5BC2"/>
    <w:rsid w:val="000C1EEC"/>
    <w:rsid w:val="000C24C6"/>
    <w:rsid w:val="000C61BC"/>
    <w:rsid w:val="000C66CE"/>
    <w:rsid w:val="000D0148"/>
    <w:rsid w:val="000D33BF"/>
    <w:rsid w:val="000E4AE5"/>
    <w:rsid w:val="000F0DC9"/>
    <w:rsid w:val="000F253D"/>
    <w:rsid w:val="000F3039"/>
    <w:rsid w:val="00101188"/>
    <w:rsid w:val="00102682"/>
    <w:rsid w:val="00105E62"/>
    <w:rsid w:val="0010690B"/>
    <w:rsid w:val="00107CF4"/>
    <w:rsid w:val="0011001D"/>
    <w:rsid w:val="001162B3"/>
    <w:rsid w:val="00117D92"/>
    <w:rsid w:val="00122A73"/>
    <w:rsid w:val="0012645A"/>
    <w:rsid w:val="00127158"/>
    <w:rsid w:val="00127B62"/>
    <w:rsid w:val="00130FC7"/>
    <w:rsid w:val="00133797"/>
    <w:rsid w:val="0013435E"/>
    <w:rsid w:val="00135D7A"/>
    <w:rsid w:val="001402BB"/>
    <w:rsid w:val="001469B8"/>
    <w:rsid w:val="001518A3"/>
    <w:rsid w:val="00154253"/>
    <w:rsid w:val="001617B1"/>
    <w:rsid w:val="00161D45"/>
    <w:rsid w:val="00162296"/>
    <w:rsid w:val="00162421"/>
    <w:rsid w:val="0016602C"/>
    <w:rsid w:val="00172A5C"/>
    <w:rsid w:val="001752D6"/>
    <w:rsid w:val="00182CA0"/>
    <w:rsid w:val="00187668"/>
    <w:rsid w:val="00187746"/>
    <w:rsid w:val="001910E0"/>
    <w:rsid w:val="00192D1C"/>
    <w:rsid w:val="001A04E7"/>
    <w:rsid w:val="001A0F02"/>
    <w:rsid w:val="001A3949"/>
    <w:rsid w:val="001A4E6B"/>
    <w:rsid w:val="001B706D"/>
    <w:rsid w:val="001C4E80"/>
    <w:rsid w:val="001E0BA4"/>
    <w:rsid w:val="001E1E57"/>
    <w:rsid w:val="001E6D34"/>
    <w:rsid w:val="001E6D4D"/>
    <w:rsid w:val="001F0A7C"/>
    <w:rsid w:val="001F3B28"/>
    <w:rsid w:val="001F486F"/>
    <w:rsid w:val="001F4884"/>
    <w:rsid w:val="001F4E8E"/>
    <w:rsid w:val="001F7B8B"/>
    <w:rsid w:val="00200A9B"/>
    <w:rsid w:val="00202180"/>
    <w:rsid w:val="0022333E"/>
    <w:rsid w:val="0022438A"/>
    <w:rsid w:val="002244C6"/>
    <w:rsid w:val="00226E60"/>
    <w:rsid w:val="00230F8B"/>
    <w:rsid w:val="002361D3"/>
    <w:rsid w:val="0024084B"/>
    <w:rsid w:val="00242657"/>
    <w:rsid w:val="00256068"/>
    <w:rsid w:val="00263A8B"/>
    <w:rsid w:val="0026533F"/>
    <w:rsid w:val="00267E65"/>
    <w:rsid w:val="00270B6D"/>
    <w:rsid w:val="002715C8"/>
    <w:rsid w:val="002727D2"/>
    <w:rsid w:val="0027403B"/>
    <w:rsid w:val="002744E2"/>
    <w:rsid w:val="002758D5"/>
    <w:rsid w:val="00276A41"/>
    <w:rsid w:val="00276E52"/>
    <w:rsid w:val="00285AB1"/>
    <w:rsid w:val="00287D62"/>
    <w:rsid w:val="00290781"/>
    <w:rsid w:val="0029095C"/>
    <w:rsid w:val="002912C1"/>
    <w:rsid w:val="00291448"/>
    <w:rsid w:val="00291519"/>
    <w:rsid w:val="00293252"/>
    <w:rsid w:val="002A156D"/>
    <w:rsid w:val="002A305A"/>
    <w:rsid w:val="002B065F"/>
    <w:rsid w:val="002B229D"/>
    <w:rsid w:val="002B559D"/>
    <w:rsid w:val="002B621E"/>
    <w:rsid w:val="002B7D45"/>
    <w:rsid w:val="002B7DBC"/>
    <w:rsid w:val="002C2D49"/>
    <w:rsid w:val="002C69A2"/>
    <w:rsid w:val="002D07FC"/>
    <w:rsid w:val="002D1BE7"/>
    <w:rsid w:val="002E1116"/>
    <w:rsid w:val="00300EF4"/>
    <w:rsid w:val="003059C8"/>
    <w:rsid w:val="003068AC"/>
    <w:rsid w:val="00314318"/>
    <w:rsid w:val="00317BF1"/>
    <w:rsid w:val="0032155B"/>
    <w:rsid w:val="003251FD"/>
    <w:rsid w:val="0032614C"/>
    <w:rsid w:val="00331FE5"/>
    <w:rsid w:val="003349E1"/>
    <w:rsid w:val="00335864"/>
    <w:rsid w:val="00337F1A"/>
    <w:rsid w:val="00346A74"/>
    <w:rsid w:val="00350808"/>
    <w:rsid w:val="00352684"/>
    <w:rsid w:val="00352D41"/>
    <w:rsid w:val="003619D7"/>
    <w:rsid w:val="00361A1F"/>
    <w:rsid w:val="003700F9"/>
    <w:rsid w:val="00371DE8"/>
    <w:rsid w:val="00374B75"/>
    <w:rsid w:val="00385238"/>
    <w:rsid w:val="00395107"/>
    <w:rsid w:val="00397B8F"/>
    <w:rsid w:val="003A0325"/>
    <w:rsid w:val="003A275A"/>
    <w:rsid w:val="003A4141"/>
    <w:rsid w:val="003A4613"/>
    <w:rsid w:val="003B4EE2"/>
    <w:rsid w:val="003B6D9B"/>
    <w:rsid w:val="003B7A23"/>
    <w:rsid w:val="003C5280"/>
    <w:rsid w:val="003C6E4E"/>
    <w:rsid w:val="003D01C4"/>
    <w:rsid w:val="003D02E7"/>
    <w:rsid w:val="003D0A9C"/>
    <w:rsid w:val="003D32FE"/>
    <w:rsid w:val="003E7820"/>
    <w:rsid w:val="003F13B2"/>
    <w:rsid w:val="003F16CF"/>
    <w:rsid w:val="003F28AD"/>
    <w:rsid w:val="003F30DE"/>
    <w:rsid w:val="003F34D5"/>
    <w:rsid w:val="003F6AEA"/>
    <w:rsid w:val="004004D4"/>
    <w:rsid w:val="00400AB7"/>
    <w:rsid w:val="00401B05"/>
    <w:rsid w:val="00410CD7"/>
    <w:rsid w:val="00412865"/>
    <w:rsid w:val="00420BC2"/>
    <w:rsid w:val="00421A47"/>
    <w:rsid w:val="004248BF"/>
    <w:rsid w:val="00426F6E"/>
    <w:rsid w:val="0043734D"/>
    <w:rsid w:val="004437EC"/>
    <w:rsid w:val="00446E4C"/>
    <w:rsid w:val="00447349"/>
    <w:rsid w:val="0045117F"/>
    <w:rsid w:val="00453E18"/>
    <w:rsid w:val="004625C9"/>
    <w:rsid w:val="00470DB8"/>
    <w:rsid w:val="00473DF8"/>
    <w:rsid w:val="00475735"/>
    <w:rsid w:val="00496FB2"/>
    <w:rsid w:val="004A1ED3"/>
    <w:rsid w:val="004A5BCA"/>
    <w:rsid w:val="004A5CF3"/>
    <w:rsid w:val="004A6836"/>
    <w:rsid w:val="004B0301"/>
    <w:rsid w:val="004B146F"/>
    <w:rsid w:val="004B3596"/>
    <w:rsid w:val="004B3F96"/>
    <w:rsid w:val="004B616F"/>
    <w:rsid w:val="004D3CC8"/>
    <w:rsid w:val="004D4C3D"/>
    <w:rsid w:val="004E0884"/>
    <w:rsid w:val="004E1FD9"/>
    <w:rsid w:val="004E26E5"/>
    <w:rsid w:val="004E2ADF"/>
    <w:rsid w:val="004E47BB"/>
    <w:rsid w:val="004E4D97"/>
    <w:rsid w:val="004F1564"/>
    <w:rsid w:val="004F7515"/>
    <w:rsid w:val="00513382"/>
    <w:rsid w:val="00513540"/>
    <w:rsid w:val="00520406"/>
    <w:rsid w:val="005242C8"/>
    <w:rsid w:val="005318C4"/>
    <w:rsid w:val="00532A60"/>
    <w:rsid w:val="0053369B"/>
    <w:rsid w:val="005338BE"/>
    <w:rsid w:val="00536EF8"/>
    <w:rsid w:val="00537543"/>
    <w:rsid w:val="005401EE"/>
    <w:rsid w:val="00540702"/>
    <w:rsid w:val="00544363"/>
    <w:rsid w:val="00546C66"/>
    <w:rsid w:val="00550162"/>
    <w:rsid w:val="005511B5"/>
    <w:rsid w:val="005566EB"/>
    <w:rsid w:val="00560115"/>
    <w:rsid w:val="005617BB"/>
    <w:rsid w:val="0056282C"/>
    <w:rsid w:val="00567D7A"/>
    <w:rsid w:val="00581FBE"/>
    <w:rsid w:val="00583134"/>
    <w:rsid w:val="00584A84"/>
    <w:rsid w:val="00590463"/>
    <w:rsid w:val="00594247"/>
    <w:rsid w:val="005A3FC2"/>
    <w:rsid w:val="005A5F3A"/>
    <w:rsid w:val="005A6E2C"/>
    <w:rsid w:val="005B75CD"/>
    <w:rsid w:val="005C3BA8"/>
    <w:rsid w:val="005C4CCD"/>
    <w:rsid w:val="005C518C"/>
    <w:rsid w:val="005C5751"/>
    <w:rsid w:val="005C7F64"/>
    <w:rsid w:val="005D0812"/>
    <w:rsid w:val="005D3F4C"/>
    <w:rsid w:val="005D7034"/>
    <w:rsid w:val="005F15CC"/>
    <w:rsid w:val="005F3A1A"/>
    <w:rsid w:val="005F43F5"/>
    <w:rsid w:val="005F7BCB"/>
    <w:rsid w:val="00600DE4"/>
    <w:rsid w:val="00601B4B"/>
    <w:rsid w:val="00601FE9"/>
    <w:rsid w:val="00602513"/>
    <w:rsid w:val="006029E4"/>
    <w:rsid w:val="00602E99"/>
    <w:rsid w:val="00605A9D"/>
    <w:rsid w:val="0060691A"/>
    <w:rsid w:val="00606D1B"/>
    <w:rsid w:val="0060709A"/>
    <w:rsid w:val="00613E36"/>
    <w:rsid w:val="00614171"/>
    <w:rsid w:val="00617A0E"/>
    <w:rsid w:val="006234FF"/>
    <w:rsid w:val="006236BC"/>
    <w:rsid w:val="00623937"/>
    <w:rsid w:val="00630A83"/>
    <w:rsid w:val="0063111A"/>
    <w:rsid w:val="006326DE"/>
    <w:rsid w:val="00632705"/>
    <w:rsid w:val="006350D3"/>
    <w:rsid w:val="00637C1A"/>
    <w:rsid w:val="00641186"/>
    <w:rsid w:val="0064390C"/>
    <w:rsid w:val="006474B9"/>
    <w:rsid w:val="00650D46"/>
    <w:rsid w:val="00655509"/>
    <w:rsid w:val="00664CC3"/>
    <w:rsid w:val="006771BF"/>
    <w:rsid w:val="00680B1D"/>
    <w:rsid w:val="00681C85"/>
    <w:rsid w:val="006840B2"/>
    <w:rsid w:val="00690EE8"/>
    <w:rsid w:val="0069473D"/>
    <w:rsid w:val="006971FB"/>
    <w:rsid w:val="006A40DF"/>
    <w:rsid w:val="006B29C7"/>
    <w:rsid w:val="006B2F7E"/>
    <w:rsid w:val="006C0468"/>
    <w:rsid w:val="006C04E8"/>
    <w:rsid w:val="006C1237"/>
    <w:rsid w:val="006C3903"/>
    <w:rsid w:val="006C5AA0"/>
    <w:rsid w:val="006C60D4"/>
    <w:rsid w:val="006C62C4"/>
    <w:rsid w:val="006D0975"/>
    <w:rsid w:val="006D1050"/>
    <w:rsid w:val="006D2A0F"/>
    <w:rsid w:val="006D3469"/>
    <w:rsid w:val="006D4320"/>
    <w:rsid w:val="006D4997"/>
    <w:rsid w:val="006D57F0"/>
    <w:rsid w:val="006E3F10"/>
    <w:rsid w:val="006F272B"/>
    <w:rsid w:val="006F28D5"/>
    <w:rsid w:val="006F4A70"/>
    <w:rsid w:val="006F4AC6"/>
    <w:rsid w:val="00700E53"/>
    <w:rsid w:val="0070228D"/>
    <w:rsid w:val="007049F2"/>
    <w:rsid w:val="007055AD"/>
    <w:rsid w:val="007062E8"/>
    <w:rsid w:val="007070CA"/>
    <w:rsid w:val="00715D36"/>
    <w:rsid w:val="00720457"/>
    <w:rsid w:val="00720F86"/>
    <w:rsid w:val="00721A93"/>
    <w:rsid w:val="00724A7A"/>
    <w:rsid w:val="00731DD1"/>
    <w:rsid w:val="00741B04"/>
    <w:rsid w:val="00752A0C"/>
    <w:rsid w:val="00756677"/>
    <w:rsid w:val="00760B1B"/>
    <w:rsid w:val="0076178A"/>
    <w:rsid w:val="007625B5"/>
    <w:rsid w:val="0076421D"/>
    <w:rsid w:val="00764F5A"/>
    <w:rsid w:val="0076549F"/>
    <w:rsid w:val="0076703E"/>
    <w:rsid w:val="00767E63"/>
    <w:rsid w:val="007724D2"/>
    <w:rsid w:val="00777653"/>
    <w:rsid w:val="0078458C"/>
    <w:rsid w:val="00784FA4"/>
    <w:rsid w:val="00785B0C"/>
    <w:rsid w:val="007864B4"/>
    <w:rsid w:val="00790678"/>
    <w:rsid w:val="00790D3C"/>
    <w:rsid w:val="007927D5"/>
    <w:rsid w:val="00795F83"/>
    <w:rsid w:val="00796CF6"/>
    <w:rsid w:val="007A4208"/>
    <w:rsid w:val="007B0961"/>
    <w:rsid w:val="007B2609"/>
    <w:rsid w:val="007B4AC6"/>
    <w:rsid w:val="007B4D59"/>
    <w:rsid w:val="007B6EB7"/>
    <w:rsid w:val="007B6FD7"/>
    <w:rsid w:val="007C05C9"/>
    <w:rsid w:val="007C0FAD"/>
    <w:rsid w:val="007C6AAE"/>
    <w:rsid w:val="007D44E9"/>
    <w:rsid w:val="007D540B"/>
    <w:rsid w:val="007D5A2A"/>
    <w:rsid w:val="007D5B2B"/>
    <w:rsid w:val="007D6E52"/>
    <w:rsid w:val="007E124C"/>
    <w:rsid w:val="007E2099"/>
    <w:rsid w:val="007E4164"/>
    <w:rsid w:val="007E5697"/>
    <w:rsid w:val="007F4563"/>
    <w:rsid w:val="007F4CC8"/>
    <w:rsid w:val="00805C53"/>
    <w:rsid w:val="00813F9E"/>
    <w:rsid w:val="00814C5D"/>
    <w:rsid w:val="0081696E"/>
    <w:rsid w:val="00817AA6"/>
    <w:rsid w:val="008203A3"/>
    <w:rsid w:val="008332CC"/>
    <w:rsid w:val="00833464"/>
    <w:rsid w:val="008362F9"/>
    <w:rsid w:val="00840AFE"/>
    <w:rsid w:val="00843939"/>
    <w:rsid w:val="008521F1"/>
    <w:rsid w:val="008522E2"/>
    <w:rsid w:val="0085342A"/>
    <w:rsid w:val="008563EE"/>
    <w:rsid w:val="00857829"/>
    <w:rsid w:val="00860310"/>
    <w:rsid w:val="008623D2"/>
    <w:rsid w:val="0087158C"/>
    <w:rsid w:val="0087560B"/>
    <w:rsid w:val="00875A4F"/>
    <w:rsid w:val="00877F69"/>
    <w:rsid w:val="00883BCC"/>
    <w:rsid w:val="00884D4F"/>
    <w:rsid w:val="00884E75"/>
    <w:rsid w:val="00891F35"/>
    <w:rsid w:val="00896B63"/>
    <w:rsid w:val="008973FF"/>
    <w:rsid w:val="008B2456"/>
    <w:rsid w:val="008B6024"/>
    <w:rsid w:val="008B6465"/>
    <w:rsid w:val="008C012F"/>
    <w:rsid w:val="008C2218"/>
    <w:rsid w:val="008C2928"/>
    <w:rsid w:val="008C4B23"/>
    <w:rsid w:val="008C5778"/>
    <w:rsid w:val="008C6CE4"/>
    <w:rsid w:val="008C7F0E"/>
    <w:rsid w:val="008E422E"/>
    <w:rsid w:val="008E6BAC"/>
    <w:rsid w:val="008E6BCC"/>
    <w:rsid w:val="008F0283"/>
    <w:rsid w:val="008F236E"/>
    <w:rsid w:val="008F3D5F"/>
    <w:rsid w:val="008F5EA2"/>
    <w:rsid w:val="008F639D"/>
    <w:rsid w:val="009023A0"/>
    <w:rsid w:val="00916AAD"/>
    <w:rsid w:val="009178A3"/>
    <w:rsid w:val="00922B10"/>
    <w:rsid w:val="00927061"/>
    <w:rsid w:val="0093014B"/>
    <w:rsid w:val="009304C2"/>
    <w:rsid w:val="009316EE"/>
    <w:rsid w:val="0094220E"/>
    <w:rsid w:val="00944332"/>
    <w:rsid w:val="009445F8"/>
    <w:rsid w:val="00945E9B"/>
    <w:rsid w:val="009518D1"/>
    <w:rsid w:val="00955FB8"/>
    <w:rsid w:val="009606D4"/>
    <w:rsid w:val="00960C5E"/>
    <w:rsid w:val="00960D65"/>
    <w:rsid w:val="009612E1"/>
    <w:rsid w:val="00961B98"/>
    <w:rsid w:val="009679DA"/>
    <w:rsid w:val="0097115E"/>
    <w:rsid w:val="0097165E"/>
    <w:rsid w:val="009734BB"/>
    <w:rsid w:val="00977270"/>
    <w:rsid w:val="0098054D"/>
    <w:rsid w:val="00982054"/>
    <w:rsid w:val="00983787"/>
    <w:rsid w:val="00992E10"/>
    <w:rsid w:val="00997582"/>
    <w:rsid w:val="009A100B"/>
    <w:rsid w:val="009A19EE"/>
    <w:rsid w:val="009A309E"/>
    <w:rsid w:val="009A34A7"/>
    <w:rsid w:val="009A651B"/>
    <w:rsid w:val="009B0196"/>
    <w:rsid w:val="009B1A38"/>
    <w:rsid w:val="009B2B83"/>
    <w:rsid w:val="009B66FE"/>
    <w:rsid w:val="009B7F33"/>
    <w:rsid w:val="009C61D7"/>
    <w:rsid w:val="009C6C2C"/>
    <w:rsid w:val="009D0D5A"/>
    <w:rsid w:val="009D1CC2"/>
    <w:rsid w:val="009D3BE7"/>
    <w:rsid w:val="009D4E2E"/>
    <w:rsid w:val="009D74FB"/>
    <w:rsid w:val="009E2BE0"/>
    <w:rsid w:val="009E2BE6"/>
    <w:rsid w:val="009E31B3"/>
    <w:rsid w:val="009E4EB2"/>
    <w:rsid w:val="009E5084"/>
    <w:rsid w:val="009E6269"/>
    <w:rsid w:val="009F172F"/>
    <w:rsid w:val="00A021D9"/>
    <w:rsid w:val="00A025C9"/>
    <w:rsid w:val="00A0395E"/>
    <w:rsid w:val="00A04FAD"/>
    <w:rsid w:val="00A06FB6"/>
    <w:rsid w:val="00A070C2"/>
    <w:rsid w:val="00A07AC6"/>
    <w:rsid w:val="00A104A1"/>
    <w:rsid w:val="00A10775"/>
    <w:rsid w:val="00A151A5"/>
    <w:rsid w:val="00A168B5"/>
    <w:rsid w:val="00A17BE2"/>
    <w:rsid w:val="00A27A13"/>
    <w:rsid w:val="00A33D6B"/>
    <w:rsid w:val="00A3720E"/>
    <w:rsid w:val="00A37DCD"/>
    <w:rsid w:val="00A436A8"/>
    <w:rsid w:val="00A44352"/>
    <w:rsid w:val="00A45D26"/>
    <w:rsid w:val="00A50E6F"/>
    <w:rsid w:val="00A54BFC"/>
    <w:rsid w:val="00A60A08"/>
    <w:rsid w:val="00A61D72"/>
    <w:rsid w:val="00A63B88"/>
    <w:rsid w:val="00A667DA"/>
    <w:rsid w:val="00A721D3"/>
    <w:rsid w:val="00A74043"/>
    <w:rsid w:val="00A769EE"/>
    <w:rsid w:val="00A805E2"/>
    <w:rsid w:val="00A80DE5"/>
    <w:rsid w:val="00A83212"/>
    <w:rsid w:val="00A91570"/>
    <w:rsid w:val="00A918AE"/>
    <w:rsid w:val="00A9233F"/>
    <w:rsid w:val="00A94423"/>
    <w:rsid w:val="00A94CCE"/>
    <w:rsid w:val="00AA2226"/>
    <w:rsid w:val="00AB2993"/>
    <w:rsid w:val="00AB771D"/>
    <w:rsid w:val="00AC2EB6"/>
    <w:rsid w:val="00AC59FC"/>
    <w:rsid w:val="00AC7AF5"/>
    <w:rsid w:val="00AD0692"/>
    <w:rsid w:val="00AD1963"/>
    <w:rsid w:val="00AD5C74"/>
    <w:rsid w:val="00AE2DD0"/>
    <w:rsid w:val="00AE4736"/>
    <w:rsid w:val="00AF199F"/>
    <w:rsid w:val="00AF2A43"/>
    <w:rsid w:val="00AF3107"/>
    <w:rsid w:val="00B00631"/>
    <w:rsid w:val="00B04AE1"/>
    <w:rsid w:val="00B07990"/>
    <w:rsid w:val="00B159AB"/>
    <w:rsid w:val="00B20311"/>
    <w:rsid w:val="00B20CD1"/>
    <w:rsid w:val="00B31E11"/>
    <w:rsid w:val="00B32A07"/>
    <w:rsid w:val="00B40557"/>
    <w:rsid w:val="00B41F40"/>
    <w:rsid w:val="00B44AD9"/>
    <w:rsid w:val="00B44E9D"/>
    <w:rsid w:val="00B45ABA"/>
    <w:rsid w:val="00B4650E"/>
    <w:rsid w:val="00B46C86"/>
    <w:rsid w:val="00B47C90"/>
    <w:rsid w:val="00B575E7"/>
    <w:rsid w:val="00B63A17"/>
    <w:rsid w:val="00B668EB"/>
    <w:rsid w:val="00B705B2"/>
    <w:rsid w:val="00B71D0B"/>
    <w:rsid w:val="00B72B8D"/>
    <w:rsid w:val="00B74FFD"/>
    <w:rsid w:val="00B7736E"/>
    <w:rsid w:val="00B81778"/>
    <w:rsid w:val="00B82A1E"/>
    <w:rsid w:val="00B84CF5"/>
    <w:rsid w:val="00B869BA"/>
    <w:rsid w:val="00B94CC7"/>
    <w:rsid w:val="00BA088F"/>
    <w:rsid w:val="00BA2F77"/>
    <w:rsid w:val="00BA3067"/>
    <w:rsid w:val="00BA6BBD"/>
    <w:rsid w:val="00BB0C5E"/>
    <w:rsid w:val="00BB206A"/>
    <w:rsid w:val="00BB463B"/>
    <w:rsid w:val="00BB690B"/>
    <w:rsid w:val="00BC4CBE"/>
    <w:rsid w:val="00BD2553"/>
    <w:rsid w:val="00BD7C5D"/>
    <w:rsid w:val="00BE4D7D"/>
    <w:rsid w:val="00BE7BF7"/>
    <w:rsid w:val="00BF1DE3"/>
    <w:rsid w:val="00BF3DE9"/>
    <w:rsid w:val="00BF773F"/>
    <w:rsid w:val="00C0012D"/>
    <w:rsid w:val="00C11C47"/>
    <w:rsid w:val="00C13A4D"/>
    <w:rsid w:val="00C149BC"/>
    <w:rsid w:val="00C210D5"/>
    <w:rsid w:val="00C22653"/>
    <w:rsid w:val="00C2419E"/>
    <w:rsid w:val="00C2750C"/>
    <w:rsid w:val="00C309B6"/>
    <w:rsid w:val="00C35E66"/>
    <w:rsid w:val="00C46548"/>
    <w:rsid w:val="00C47CB2"/>
    <w:rsid w:val="00C624B6"/>
    <w:rsid w:val="00C64B90"/>
    <w:rsid w:val="00C658BE"/>
    <w:rsid w:val="00C720C5"/>
    <w:rsid w:val="00C771C8"/>
    <w:rsid w:val="00C8032B"/>
    <w:rsid w:val="00C904CA"/>
    <w:rsid w:val="00C9438C"/>
    <w:rsid w:val="00C96578"/>
    <w:rsid w:val="00C978FB"/>
    <w:rsid w:val="00CA030F"/>
    <w:rsid w:val="00CA5747"/>
    <w:rsid w:val="00CB1B08"/>
    <w:rsid w:val="00CB3910"/>
    <w:rsid w:val="00CB3E62"/>
    <w:rsid w:val="00CC1266"/>
    <w:rsid w:val="00CC329F"/>
    <w:rsid w:val="00CC680F"/>
    <w:rsid w:val="00CD0025"/>
    <w:rsid w:val="00CD2088"/>
    <w:rsid w:val="00CD389B"/>
    <w:rsid w:val="00CD6E7B"/>
    <w:rsid w:val="00CE4473"/>
    <w:rsid w:val="00CE54CD"/>
    <w:rsid w:val="00CF1C95"/>
    <w:rsid w:val="00CF6B22"/>
    <w:rsid w:val="00CF7839"/>
    <w:rsid w:val="00D00DB3"/>
    <w:rsid w:val="00D014AE"/>
    <w:rsid w:val="00D21744"/>
    <w:rsid w:val="00D22DCF"/>
    <w:rsid w:val="00D2333E"/>
    <w:rsid w:val="00D308CD"/>
    <w:rsid w:val="00D353FC"/>
    <w:rsid w:val="00D473B1"/>
    <w:rsid w:val="00D50205"/>
    <w:rsid w:val="00D50F89"/>
    <w:rsid w:val="00D625AC"/>
    <w:rsid w:val="00D63581"/>
    <w:rsid w:val="00D65AEE"/>
    <w:rsid w:val="00D66A74"/>
    <w:rsid w:val="00D7286D"/>
    <w:rsid w:val="00D72EC8"/>
    <w:rsid w:val="00D84506"/>
    <w:rsid w:val="00D850A4"/>
    <w:rsid w:val="00D87D7C"/>
    <w:rsid w:val="00D91FA9"/>
    <w:rsid w:val="00D93F01"/>
    <w:rsid w:val="00D975BA"/>
    <w:rsid w:val="00DA0080"/>
    <w:rsid w:val="00DA1E35"/>
    <w:rsid w:val="00DA3382"/>
    <w:rsid w:val="00DA5589"/>
    <w:rsid w:val="00DA58D3"/>
    <w:rsid w:val="00DA6043"/>
    <w:rsid w:val="00DA7C48"/>
    <w:rsid w:val="00DB3FC1"/>
    <w:rsid w:val="00DB533C"/>
    <w:rsid w:val="00DB6AA0"/>
    <w:rsid w:val="00DB7FFD"/>
    <w:rsid w:val="00DD0DF7"/>
    <w:rsid w:val="00DD19CE"/>
    <w:rsid w:val="00DD333A"/>
    <w:rsid w:val="00DD6852"/>
    <w:rsid w:val="00DE1F4B"/>
    <w:rsid w:val="00DE2529"/>
    <w:rsid w:val="00DE4BDF"/>
    <w:rsid w:val="00DE6C2E"/>
    <w:rsid w:val="00E121A1"/>
    <w:rsid w:val="00E1537E"/>
    <w:rsid w:val="00E23A92"/>
    <w:rsid w:val="00E266E3"/>
    <w:rsid w:val="00E27591"/>
    <w:rsid w:val="00E27B31"/>
    <w:rsid w:val="00E3319A"/>
    <w:rsid w:val="00E378DA"/>
    <w:rsid w:val="00E4488B"/>
    <w:rsid w:val="00E44FD3"/>
    <w:rsid w:val="00E46345"/>
    <w:rsid w:val="00E465FA"/>
    <w:rsid w:val="00E5523D"/>
    <w:rsid w:val="00E56D0F"/>
    <w:rsid w:val="00E63FC6"/>
    <w:rsid w:val="00E65207"/>
    <w:rsid w:val="00E65991"/>
    <w:rsid w:val="00E7457C"/>
    <w:rsid w:val="00E74A84"/>
    <w:rsid w:val="00E76733"/>
    <w:rsid w:val="00E829F6"/>
    <w:rsid w:val="00E91F82"/>
    <w:rsid w:val="00EA54A5"/>
    <w:rsid w:val="00EB61EC"/>
    <w:rsid w:val="00EB7ACC"/>
    <w:rsid w:val="00EC0C09"/>
    <w:rsid w:val="00EC541D"/>
    <w:rsid w:val="00ED0950"/>
    <w:rsid w:val="00ED3446"/>
    <w:rsid w:val="00ED757A"/>
    <w:rsid w:val="00EE1921"/>
    <w:rsid w:val="00EE23CB"/>
    <w:rsid w:val="00EF20BA"/>
    <w:rsid w:val="00EF4697"/>
    <w:rsid w:val="00F0153A"/>
    <w:rsid w:val="00F01EE8"/>
    <w:rsid w:val="00F07A64"/>
    <w:rsid w:val="00F175A8"/>
    <w:rsid w:val="00F2161E"/>
    <w:rsid w:val="00F275C5"/>
    <w:rsid w:val="00F31020"/>
    <w:rsid w:val="00F32516"/>
    <w:rsid w:val="00F36F0A"/>
    <w:rsid w:val="00F42C72"/>
    <w:rsid w:val="00F44718"/>
    <w:rsid w:val="00F504DA"/>
    <w:rsid w:val="00F52170"/>
    <w:rsid w:val="00F57499"/>
    <w:rsid w:val="00F64D37"/>
    <w:rsid w:val="00F67DCB"/>
    <w:rsid w:val="00F77D90"/>
    <w:rsid w:val="00F815BC"/>
    <w:rsid w:val="00F81A70"/>
    <w:rsid w:val="00F8652D"/>
    <w:rsid w:val="00F86FEC"/>
    <w:rsid w:val="00F870A8"/>
    <w:rsid w:val="00F943A8"/>
    <w:rsid w:val="00F96100"/>
    <w:rsid w:val="00F969A2"/>
    <w:rsid w:val="00FA0AB2"/>
    <w:rsid w:val="00FA0C62"/>
    <w:rsid w:val="00FA1EAC"/>
    <w:rsid w:val="00FA26E5"/>
    <w:rsid w:val="00FB6ECC"/>
    <w:rsid w:val="00FC6ADB"/>
    <w:rsid w:val="00FD01B4"/>
    <w:rsid w:val="00FD5DBD"/>
    <w:rsid w:val="00FD7826"/>
    <w:rsid w:val="00FE5711"/>
    <w:rsid w:val="00FE6EF9"/>
    <w:rsid w:val="00FF0F29"/>
    <w:rsid w:val="00FF2CC7"/>
    <w:rsid w:val="00FF383C"/>
    <w:rsid w:val="00FF6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0B"/>
    <w:pPr>
      <w:bidi/>
    </w:pPr>
  </w:style>
  <w:style w:type="paragraph" w:styleId="Heading1">
    <w:name w:val="heading 1"/>
    <w:basedOn w:val="Normal"/>
    <w:next w:val="Normal"/>
    <w:link w:val="Heading1Char"/>
    <w:uiPriority w:val="9"/>
    <w:qFormat/>
    <w:rsid w:val="00CF7839"/>
    <w:pPr>
      <w:keepNext/>
      <w:bidi w:val="0"/>
      <w:spacing w:before="240" w:after="60"/>
      <w:outlineLvl w:val="0"/>
    </w:pPr>
    <w:rPr>
      <w:rFonts w:ascii="Arial" w:eastAsia="Times New Roman" w:hAnsi="Arial" w:cs="Arial"/>
      <w:b/>
      <w:bCs/>
      <w:kern w:val="32"/>
      <w:sz w:val="32"/>
      <w:szCs w:val="3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39"/>
    <w:rPr>
      <w:rFonts w:ascii="Arial" w:eastAsia="Times New Roman" w:hAnsi="Arial" w:cs="Arial"/>
      <w:b/>
      <w:bCs/>
      <w:kern w:val="32"/>
      <w:sz w:val="32"/>
      <w:szCs w:val="32"/>
      <w:lang w:eastAsia="de-DE"/>
    </w:rPr>
  </w:style>
  <w:style w:type="character" w:customStyle="1" w:styleId="apple-converted-space">
    <w:name w:val="apple-converted-space"/>
    <w:basedOn w:val="DefaultParagraphFont"/>
    <w:rsid w:val="00CF7839"/>
  </w:style>
  <w:style w:type="character" w:styleId="Emphasis">
    <w:name w:val="Emphasis"/>
    <w:basedOn w:val="DefaultParagraphFont"/>
    <w:uiPriority w:val="20"/>
    <w:qFormat/>
    <w:rsid w:val="00CF7839"/>
    <w:rPr>
      <w:i/>
      <w:iCs/>
    </w:rPr>
  </w:style>
  <w:style w:type="character" w:customStyle="1" w:styleId="element-citation">
    <w:name w:val="element-citation"/>
    <w:basedOn w:val="DefaultParagraphFont"/>
    <w:rsid w:val="00CF7839"/>
  </w:style>
  <w:style w:type="character" w:customStyle="1" w:styleId="fn">
    <w:name w:val="fn"/>
    <w:basedOn w:val="DefaultParagraphFont"/>
    <w:rsid w:val="00CF7839"/>
  </w:style>
  <w:style w:type="character" w:customStyle="1" w:styleId="Title1">
    <w:name w:val="Title1"/>
    <w:basedOn w:val="DefaultParagraphFont"/>
    <w:rsid w:val="00CF7839"/>
  </w:style>
  <w:style w:type="character" w:customStyle="1" w:styleId="source-title">
    <w:name w:val="source-title"/>
    <w:basedOn w:val="DefaultParagraphFont"/>
    <w:rsid w:val="00CF7839"/>
  </w:style>
  <w:style w:type="character" w:customStyle="1" w:styleId="year">
    <w:name w:val="year"/>
    <w:basedOn w:val="DefaultParagraphFont"/>
    <w:rsid w:val="00CF7839"/>
  </w:style>
  <w:style w:type="character" w:customStyle="1" w:styleId="volume">
    <w:name w:val="volume"/>
    <w:basedOn w:val="DefaultParagraphFont"/>
    <w:rsid w:val="00CF7839"/>
  </w:style>
  <w:style w:type="character" w:customStyle="1" w:styleId="start-page">
    <w:name w:val="start-page"/>
    <w:basedOn w:val="DefaultParagraphFont"/>
    <w:rsid w:val="00CF7839"/>
  </w:style>
  <w:style w:type="character" w:customStyle="1" w:styleId="end-page">
    <w:name w:val="end-page"/>
    <w:basedOn w:val="DefaultParagraphFont"/>
    <w:rsid w:val="00CF7839"/>
  </w:style>
  <w:style w:type="paragraph" w:customStyle="1" w:styleId="Default">
    <w:name w:val="Default"/>
    <w:rsid w:val="00CF7839"/>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highlight">
    <w:name w:val="highlight"/>
    <w:basedOn w:val="DefaultParagraphFont"/>
    <w:rsid w:val="00CF7839"/>
  </w:style>
  <w:style w:type="paragraph" w:styleId="ListParagraph">
    <w:name w:val="List Paragraph"/>
    <w:basedOn w:val="Normal"/>
    <w:uiPriority w:val="34"/>
    <w:qFormat/>
    <w:rsid w:val="00CF7839"/>
    <w:pPr>
      <w:ind w:left="720"/>
      <w:contextualSpacing/>
    </w:pPr>
  </w:style>
  <w:style w:type="paragraph" w:customStyle="1" w:styleId="Sabry1">
    <w:name w:val="Sabry1"/>
    <w:basedOn w:val="Normal"/>
    <w:uiPriority w:val="99"/>
    <w:rsid w:val="00CF7839"/>
    <w:pPr>
      <w:spacing w:before="240" w:after="240" w:line="240" w:lineRule="auto"/>
      <w:ind w:left="288" w:right="288" w:firstLine="720"/>
      <w:jc w:val="lowKashida"/>
    </w:pPr>
    <w:rPr>
      <w:rFonts w:ascii="Times New Roman" w:eastAsia="Times New Roman" w:hAnsi="Times New Roman" w:cs="Times New Roman"/>
      <w:bCs/>
      <w:iCs/>
      <w:sz w:val="24"/>
      <w:szCs w:val="24"/>
    </w:rPr>
  </w:style>
  <w:style w:type="character" w:styleId="Strong">
    <w:name w:val="Strong"/>
    <w:uiPriority w:val="22"/>
    <w:qFormat/>
    <w:rsid w:val="00CF7839"/>
    <w:rPr>
      <w:rFonts w:cs="Times New Roman"/>
      <w:b/>
      <w:bCs/>
    </w:rPr>
  </w:style>
  <w:style w:type="paragraph" w:styleId="BalloonText">
    <w:name w:val="Balloon Text"/>
    <w:basedOn w:val="Normal"/>
    <w:link w:val="BalloonTextChar"/>
    <w:uiPriority w:val="99"/>
    <w:semiHidden/>
    <w:unhideWhenUsed/>
    <w:rsid w:val="00CF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839"/>
    <w:rPr>
      <w:rFonts w:ascii="Tahoma" w:hAnsi="Tahoma" w:cs="Tahoma"/>
      <w:sz w:val="16"/>
      <w:szCs w:val="16"/>
    </w:rPr>
  </w:style>
  <w:style w:type="character" w:styleId="Hyperlink">
    <w:name w:val="Hyperlink"/>
    <w:basedOn w:val="DefaultParagraphFont"/>
    <w:uiPriority w:val="99"/>
    <w:unhideWhenUsed/>
    <w:rsid w:val="0032155B"/>
    <w:rPr>
      <w:color w:val="0000FF" w:themeColor="hyperlink"/>
      <w:u w:val="single"/>
    </w:rPr>
  </w:style>
  <w:style w:type="paragraph" w:styleId="NormalWeb">
    <w:name w:val="Normal (Web)"/>
    <w:basedOn w:val="Normal"/>
    <w:uiPriority w:val="99"/>
    <w:unhideWhenUsed/>
    <w:rsid w:val="00401B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F486F"/>
  </w:style>
  <w:style w:type="character" w:customStyle="1" w:styleId="articletitle">
    <w:name w:val="articletitle"/>
    <w:basedOn w:val="DefaultParagraphFont"/>
    <w:rsid w:val="001F486F"/>
  </w:style>
  <w:style w:type="character" w:customStyle="1" w:styleId="journaltitle">
    <w:name w:val="journaltitle"/>
    <w:basedOn w:val="DefaultParagraphFont"/>
    <w:rsid w:val="001F486F"/>
  </w:style>
  <w:style w:type="character" w:customStyle="1" w:styleId="vol">
    <w:name w:val="vol"/>
    <w:basedOn w:val="DefaultParagraphFont"/>
    <w:rsid w:val="001F486F"/>
  </w:style>
  <w:style w:type="character" w:customStyle="1" w:styleId="pagefirst">
    <w:name w:val="pagefirst"/>
    <w:basedOn w:val="DefaultParagraphFont"/>
    <w:rsid w:val="001F486F"/>
  </w:style>
  <w:style w:type="character" w:customStyle="1" w:styleId="pagelast">
    <w:name w:val="pagelast"/>
    <w:basedOn w:val="DefaultParagraphFont"/>
    <w:rsid w:val="001F486F"/>
  </w:style>
  <w:style w:type="character" w:customStyle="1" w:styleId="pubyear">
    <w:name w:val="pubyear"/>
    <w:basedOn w:val="DefaultParagraphFont"/>
    <w:rsid w:val="001F486F"/>
  </w:style>
  <w:style w:type="paragraph" w:styleId="Header">
    <w:name w:val="header"/>
    <w:basedOn w:val="Normal"/>
    <w:link w:val="HeaderChar"/>
    <w:uiPriority w:val="99"/>
    <w:unhideWhenUsed/>
    <w:rsid w:val="00326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14C"/>
  </w:style>
  <w:style w:type="paragraph" w:styleId="Footer">
    <w:name w:val="footer"/>
    <w:basedOn w:val="Normal"/>
    <w:link w:val="FooterChar"/>
    <w:uiPriority w:val="99"/>
    <w:unhideWhenUsed/>
    <w:rsid w:val="00326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4C"/>
  </w:style>
  <w:style w:type="table" w:styleId="TableGrid">
    <w:name w:val="Table Grid"/>
    <w:basedOn w:val="TableNormal"/>
    <w:uiPriority w:val="59"/>
    <w:unhideWhenUsed/>
    <w:rsid w:val="00684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771BF"/>
    <w:rPr>
      <w:rFonts w:ascii="MyriadPro-Bold" w:hAnsi="MyriadPro-Bold" w:hint="default"/>
      <w:b/>
      <w:bCs/>
      <w:i w:val="0"/>
      <w:iCs w:val="0"/>
      <w:color w:val="242021"/>
      <w:sz w:val="22"/>
      <w:szCs w:val="22"/>
    </w:rPr>
  </w:style>
  <w:style w:type="paragraph" w:customStyle="1" w:styleId="desc">
    <w:name w:val="desc"/>
    <w:basedOn w:val="Normal"/>
    <w:rsid w:val="00884D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84D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84D4F"/>
  </w:style>
  <w:style w:type="character" w:customStyle="1" w:styleId="fontstyle21">
    <w:name w:val="fontstyle21"/>
    <w:basedOn w:val="DefaultParagraphFont"/>
    <w:rsid w:val="00426F6E"/>
    <w:rPr>
      <w:rFonts w:ascii="AdvTT72decec9.B" w:hAnsi="AdvTT72decec9.B" w:hint="default"/>
      <w:b w:val="0"/>
      <w:bCs w:val="0"/>
      <w:i w:val="0"/>
      <w:iCs w:val="0"/>
      <w:color w:val="000000"/>
      <w:sz w:val="16"/>
      <w:szCs w:val="16"/>
    </w:rPr>
  </w:style>
  <w:style w:type="character" w:customStyle="1" w:styleId="fontstyle31">
    <w:name w:val="fontstyle31"/>
    <w:basedOn w:val="DefaultParagraphFont"/>
    <w:rsid w:val="00426F6E"/>
    <w:rPr>
      <w:rFonts w:ascii="AdvTTa9027ee7+20" w:hAnsi="AdvTTa9027ee7+20" w:hint="default"/>
      <w:b w:val="0"/>
      <w:bCs w:val="0"/>
      <w:i w:val="0"/>
      <w:iCs w:val="0"/>
      <w:color w:val="000000"/>
      <w:sz w:val="16"/>
      <w:szCs w:val="16"/>
    </w:rPr>
  </w:style>
  <w:style w:type="table" w:styleId="MediumGrid3-Accent6">
    <w:name w:val="Medium Grid 3 Accent 6"/>
    <w:basedOn w:val="TableNormal"/>
    <w:uiPriority w:val="69"/>
    <w:rsid w:val="00B465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un">
    <w:name w:val="u_n"/>
    <w:basedOn w:val="DefaultParagraphFont"/>
    <w:rsid w:val="00071132"/>
  </w:style>
  <w:style w:type="paragraph" w:styleId="NoSpacing">
    <w:name w:val="No Spacing"/>
    <w:basedOn w:val="Normal"/>
    <w:link w:val="NoSpacingChar"/>
    <w:qFormat/>
    <w:rsid w:val="00F8652D"/>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F8652D"/>
    <w:rPr>
      <w:rFonts w:ascii="Times New Roman" w:eastAsia="宋体" w:hAnsi="Times New Roman" w:cs="Times New Roman"/>
      <w:sz w:val="24"/>
      <w:szCs w:val="24"/>
      <w:lang w:eastAsia="zh-CN"/>
    </w:rPr>
  </w:style>
  <w:style w:type="character" w:customStyle="1" w:styleId="msonormal0">
    <w:name w:val="msonormal0"/>
    <w:basedOn w:val="DefaultParagraphFont"/>
    <w:rsid w:val="00F8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893365">
      <w:bodyDiv w:val="1"/>
      <w:marLeft w:val="0"/>
      <w:marRight w:val="0"/>
      <w:marTop w:val="0"/>
      <w:marBottom w:val="0"/>
      <w:divBdr>
        <w:top w:val="none" w:sz="0" w:space="0" w:color="auto"/>
        <w:left w:val="none" w:sz="0" w:space="0" w:color="auto"/>
        <w:bottom w:val="none" w:sz="0" w:space="0" w:color="auto"/>
        <w:right w:val="none" w:sz="0" w:space="0" w:color="auto"/>
      </w:divBdr>
    </w:div>
    <w:div w:id="1341615425">
      <w:bodyDiv w:val="1"/>
      <w:marLeft w:val="0"/>
      <w:marRight w:val="0"/>
      <w:marTop w:val="0"/>
      <w:marBottom w:val="0"/>
      <w:divBdr>
        <w:top w:val="none" w:sz="0" w:space="0" w:color="auto"/>
        <w:left w:val="none" w:sz="0" w:space="0" w:color="auto"/>
        <w:bottom w:val="none" w:sz="0" w:space="0" w:color="auto"/>
        <w:right w:val="none" w:sz="0" w:space="0" w:color="auto"/>
      </w:divBdr>
    </w:div>
    <w:div w:id="1344286948">
      <w:bodyDiv w:val="1"/>
      <w:marLeft w:val="0"/>
      <w:marRight w:val="0"/>
      <w:marTop w:val="0"/>
      <w:marBottom w:val="0"/>
      <w:divBdr>
        <w:top w:val="none" w:sz="0" w:space="0" w:color="auto"/>
        <w:left w:val="none" w:sz="0" w:space="0" w:color="auto"/>
        <w:bottom w:val="none" w:sz="0" w:space="0" w:color="auto"/>
        <w:right w:val="none" w:sz="0" w:space="0" w:color="auto"/>
      </w:divBdr>
    </w:div>
    <w:div w:id="1771119472">
      <w:bodyDiv w:val="1"/>
      <w:marLeft w:val="0"/>
      <w:marRight w:val="0"/>
      <w:marTop w:val="0"/>
      <w:marBottom w:val="0"/>
      <w:divBdr>
        <w:top w:val="none" w:sz="0" w:space="0" w:color="auto"/>
        <w:left w:val="none" w:sz="0" w:space="0" w:color="auto"/>
        <w:bottom w:val="none" w:sz="0" w:space="0" w:color="auto"/>
        <w:right w:val="none" w:sz="0" w:space="0" w:color="auto"/>
      </w:divBdr>
    </w:div>
    <w:div w:id="19678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niaabdelfattah@yahoo.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cbj090119.08"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C94B-E485-4C00-9335-82592098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2019-02-11T16:37:00Z</cp:lastPrinted>
  <dcterms:created xsi:type="dcterms:W3CDTF">2019-02-19T10:14:00Z</dcterms:created>
  <dcterms:modified xsi:type="dcterms:W3CDTF">2019-02-20T12:16:00Z</dcterms:modified>
</cp:coreProperties>
</file>