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5D" w:rsidRPr="00935773" w:rsidRDefault="008D21CA" w:rsidP="00935773">
      <w:pPr>
        <w:snapToGrid w:val="0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9357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Comparison </w:t>
      </w:r>
      <w:r w:rsidR="00A24A6B" w:rsidRPr="009357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between Vaginal Delivery and Caesarean Section in</w:t>
      </w:r>
      <w:r w:rsidR="00A24A6B" w:rsidRPr="009357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24A6B" w:rsidRPr="009357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Preeclampsia at Tertiary Care Hospital in </w:t>
      </w:r>
      <w:r w:rsidRPr="009357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Egypt</w:t>
      </w:r>
    </w:p>
    <w:p w:rsidR="005F3F5D" w:rsidRPr="00935773" w:rsidRDefault="005F3F5D" w:rsidP="00935773">
      <w:pPr>
        <w:snapToGrid w:val="0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</w:p>
    <w:p w:rsidR="005F3F5D" w:rsidRPr="00935773" w:rsidRDefault="008D21CA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5773">
        <w:rPr>
          <w:rFonts w:ascii="Times New Roman" w:hAnsi="Times New Roman" w:cs="Times New Roman"/>
          <w:sz w:val="20"/>
          <w:szCs w:val="20"/>
        </w:rPr>
        <w:t>Laila Ezzat</w:t>
      </w:r>
    </w:p>
    <w:p w:rsidR="005F3F5D" w:rsidRPr="00935773" w:rsidRDefault="005F3F5D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5709" w:rsidRPr="00935773" w:rsidRDefault="008D21CA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5773">
        <w:rPr>
          <w:rFonts w:ascii="Times New Roman" w:hAnsi="Times New Roman" w:cs="Times New Roman"/>
          <w:sz w:val="20"/>
          <w:szCs w:val="20"/>
        </w:rPr>
        <w:t>Department of Obstetrics and Gynecology,</w:t>
      </w:r>
      <w:r w:rsidR="00ED4F06" w:rsidRPr="00935773">
        <w:rPr>
          <w:rFonts w:ascii="Times New Roman" w:hAnsi="Times New Roman" w:cs="Times New Roman"/>
          <w:sz w:val="20"/>
          <w:szCs w:val="20"/>
        </w:rPr>
        <w:t xml:space="preserve"> Faculty of Medicine,</w:t>
      </w:r>
      <w:r w:rsidRPr="00935773">
        <w:rPr>
          <w:rFonts w:ascii="Times New Roman" w:hAnsi="Times New Roman" w:cs="Times New Roman"/>
          <w:sz w:val="20"/>
          <w:szCs w:val="20"/>
        </w:rPr>
        <w:t xml:space="preserve"> Aswan University, Aswan, Egypt</w:t>
      </w:r>
    </w:p>
    <w:p w:rsidR="005F3F5D" w:rsidRPr="00935773" w:rsidRDefault="00C6326E" w:rsidP="00935773">
      <w:pPr>
        <w:snapToGrid w:val="0"/>
        <w:spacing w:after="0" w:line="240" w:lineRule="auto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hyperlink r:id="rId7" w:history="1">
        <w:r w:rsidR="00FA02A3" w:rsidRPr="00935773">
          <w:rPr>
            <w:rStyle w:val="Hyperlink"/>
            <w:rFonts w:ascii="Times New Roman" w:hAnsi="Times New Roman" w:cs="Times New Roman"/>
            <w:sz w:val="20"/>
            <w:szCs w:val="20"/>
          </w:rPr>
          <w:t>lailaezzat972000@gmail.com</w:t>
        </w:r>
      </w:hyperlink>
    </w:p>
    <w:p w:rsidR="005F3F5D" w:rsidRPr="00935773" w:rsidRDefault="005F3F5D" w:rsidP="00935773">
      <w:pPr>
        <w:snapToGrid w:val="0"/>
        <w:spacing w:after="0" w:line="240" w:lineRule="auto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F151E1" w:rsidRPr="00935773" w:rsidRDefault="00ED4F06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5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Abstract: Introduction: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Preeclampsia is 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a Pregnancy Induced Hypertension (PIH) of unknown etiology. 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PIH causes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intra uterine growth 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retardation (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IUGR), pre-mature delivery, intra uterine fetal death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, (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IUFD), abruption placentae. It also causes increase morbidity and mortality among pregnant women.</w:t>
      </w:r>
      <w:r w:rsidR="004E73DF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The cause for (PET) is unknown, there appear to be certain risk factors associated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with the condition. The factors that have been postulated to influence the risk of (PET</w:t>
      </w:r>
      <w:r w:rsidR="00935773" w:rsidRPr="0093577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935773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mong the mothers include diabetes, obesity, multiple gestation, primiparity, age, personal or family</w:t>
      </w:r>
      <w:r w:rsidR="0053290F" w:rsidRPr="00935773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history of (PET), and chronic hypertension</w:t>
      </w:r>
      <w:r w:rsidRPr="00935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21203" w:rsidRPr="00935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Methods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: Retrospective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study at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Aswan University Hospital from January 1/2013 to December 31/2013</w:t>
      </w:r>
      <w:r w:rsidR="00935773" w:rsidRPr="0093577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935773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ateint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diagnosed by (systolic blood pressure 160 or more and/or diastolic blood pressure 110 or more in two occasion four hours apart in semi setting position plus 24hrs protein collection in urine 5 gram or more).</w:t>
      </w:r>
      <w:r w:rsidRPr="00935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2315" w:rsidRPr="00935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Results: </w:t>
      </w:r>
      <w:r w:rsidR="008F2315" w:rsidRPr="00935773">
        <w:rPr>
          <w:rFonts w:ascii="Times New Roman" w:hAnsi="Times New Roman" w:cs="Times New Roman"/>
          <w:color w:val="000000"/>
          <w:sz w:val="20"/>
          <w:szCs w:val="20"/>
        </w:rPr>
        <w:t>152 were delivered by caesarean section (CS) with incidence (64.95%) and 82 patients terminated by vaginal delivery (VD) with incidence 35.04% PET was more common in the age group 21-30 years 99 cases with incidence (42.3%) and less common in the age group &gt;37 years 23 cases with incidence (9.82%)</w:t>
      </w:r>
      <w:r w:rsidR="0053290F" w:rsidRPr="00935773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>prematurity 35 cases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in CS 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delivery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with incidence (23.02%) versus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>16 cases in VD with incidence</w:t>
      </w:r>
      <w:r w:rsidR="00A26E97" w:rsidRPr="00935773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>(19.51%) accidental haemorrhage cases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>2 in CS with incidence (1.31%) versus 2cases in VD with incidenc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>e (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>2.43 %), acute renal failure 2 cases in VD with incidence (2.43 %)</w:t>
      </w:r>
      <w:r w:rsidR="00C44234" w:rsidRPr="0093577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44234" w:rsidRPr="00935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Conclusion</w:t>
      </w:r>
      <w:r w:rsidR="00521203" w:rsidRPr="00935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PET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increases the incidence of CS rate to prevent maternal complications of PET and ET</w:t>
      </w:r>
      <w:r w:rsidR="00935773" w:rsidRPr="0093577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935773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S if done promptly leads to more favourable outcome 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than conservative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obstetric management with vaginal delivery in sever PET 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especially in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PG after 28 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weeks. 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Termination of pregnancy by CS reduces maternal 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morbidity improves</w:t>
      </w:r>
      <w:r w:rsidR="00F46D11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51E1" w:rsidRPr="00935773">
        <w:rPr>
          <w:rFonts w:ascii="Times New Roman" w:hAnsi="Times New Roman" w:cs="Times New Roman"/>
          <w:color w:val="000000"/>
          <w:sz w:val="20"/>
          <w:szCs w:val="20"/>
        </w:rPr>
        <w:t>maternal outcome by reducing complications.</w:t>
      </w:r>
    </w:p>
    <w:p w:rsidR="00935773" w:rsidRPr="00935773" w:rsidRDefault="00935773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773">
        <w:rPr>
          <w:rFonts w:ascii="Times New Roman" w:hAnsi="Times New Roman" w:cs="Times New Roman" w:hint="eastAsia"/>
          <w:b/>
          <w:sz w:val="20"/>
          <w:szCs w:val="20"/>
        </w:rPr>
        <w:t>[</w:t>
      </w:r>
      <w:r w:rsidRPr="00935773">
        <w:rPr>
          <w:rFonts w:ascii="Times New Roman" w:hAnsi="Times New Roman" w:cs="Times New Roman"/>
          <w:sz w:val="20"/>
          <w:szCs w:val="20"/>
        </w:rPr>
        <w:t xml:space="preserve">Laila Ezzat. </w:t>
      </w:r>
      <w:r w:rsidRPr="009357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Comparison between Vaginal Delivery and Caesarean Section in</w:t>
      </w:r>
      <w:r w:rsidRPr="009357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357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Preeclampsia at Tertiary Care Hospital in Egypt</w:t>
      </w:r>
      <w:r w:rsidRPr="00935773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935773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935773">
        <w:rPr>
          <w:rFonts w:ascii="Times New Roman" w:hAnsi="Times New Roman" w:cs="Times New Roman"/>
          <w:sz w:val="20"/>
          <w:szCs w:val="20"/>
        </w:rPr>
        <w:t xml:space="preserve"> 201</w:t>
      </w:r>
      <w:r w:rsidRPr="00935773">
        <w:rPr>
          <w:rFonts w:ascii="Times New Roman" w:hAnsi="Times New Roman" w:cs="Times New Roman" w:hint="eastAsia"/>
          <w:sz w:val="20"/>
          <w:szCs w:val="20"/>
        </w:rPr>
        <w:t>8</w:t>
      </w:r>
      <w:r w:rsidRPr="00935773">
        <w:rPr>
          <w:rFonts w:ascii="Times New Roman" w:hAnsi="Times New Roman" w:cs="Times New Roman"/>
          <w:sz w:val="20"/>
          <w:szCs w:val="20"/>
        </w:rPr>
        <w:t>;</w:t>
      </w:r>
      <w:r w:rsidRPr="00935773">
        <w:rPr>
          <w:rFonts w:ascii="Times New Roman" w:hAnsi="Times New Roman" w:cs="Times New Roman" w:hint="eastAsia"/>
          <w:sz w:val="20"/>
          <w:szCs w:val="20"/>
        </w:rPr>
        <w:t>8</w:t>
      </w:r>
      <w:r w:rsidRPr="00935773">
        <w:rPr>
          <w:rFonts w:ascii="Times New Roman" w:hAnsi="Times New Roman" w:cs="Times New Roman"/>
          <w:sz w:val="20"/>
          <w:szCs w:val="20"/>
        </w:rPr>
        <w:t>(</w:t>
      </w:r>
      <w:r w:rsidRPr="00935773">
        <w:rPr>
          <w:rFonts w:ascii="Times New Roman" w:hAnsi="Times New Roman" w:cs="Times New Roman" w:hint="eastAsia"/>
          <w:sz w:val="20"/>
          <w:szCs w:val="20"/>
        </w:rPr>
        <w:t>3</w:t>
      </w:r>
      <w:r w:rsidRPr="00935773">
        <w:rPr>
          <w:rFonts w:ascii="Times New Roman" w:hAnsi="Times New Roman" w:cs="Times New Roman"/>
          <w:sz w:val="20"/>
          <w:szCs w:val="20"/>
        </w:rPr>
        <w:t>):</w:t>
      </w:r>
      <w:r w:rsidR="00B0143F">
        <w:rPr>
          <w:rFonts w:ascii="Times New Roman" w:hAnsi="Times New Roman" w:cs="Times New Roman"/>
          <w:noProof/>
          <w:color w:val="000000"/>
          <w:sz w:val="20"/>
          <w:szCs w:val="20"/>
        </w:rPr>
        <w:t>56-59</w:t>
      </w:r>
      <w:r w:rsidRPr="00935773">
        <w:rPr>
          <w:rFonts w:ascii="Times New Roman" w:hAnsi="Times New Roman" w:cs="Times New Roman"/>
          <w:sz w:val="20"/>
          <w:szCs w:val="20"/>
        </w:rPr>
        <w:t xml:space="preserve">]. </w:t>
      </w:r>
      <w:r w:rsidRPr="00935773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935773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935773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http://www.cancerbio.net</w:t>
        </w:r>
      </w:hyperlink>
      <w:r w:rsidRPr="00935773">
        <w:rPr>
          <w:rFonts w:ascii="Times New Roman" w:hAnsi="Times New Roman" w:cs="Times New Roman"/>
          <w:sz w:val="20"/>
          <w:szCs w:val="20"/>
        </w:rPr>
        <w:t>.</w:t>
      </w:r>
      <w:r w:rsidRPr="00935773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10</w:t>
      </w:r>
      <w:r w:rsidRPr="00935773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9357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935773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935773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cbj0803</w:t>
        </w:r>
        <w:r w:rsidRPr="00935773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935773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8.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  <w:r w:rsidRPr="00935773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</w:hyperlink>
      <w:r w:rsidRPr="009357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46D11" w:rsidRPr="005F3F5D" w:rsidRDefault="00F46D11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</w:p>
    <w:p w:rsidR="00F151E1" w:rsidRPr="005F3F5D" w:rsidRDefault="00F46D11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Key Words</w:t>
      </w:r>
      <w:r w:rsidR="00D92A48" w:rsidRPr="005F3F5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51E1" w:rsidRPr="005F3F5D">
        <w:rPr>
          <w:rFonts w:ascii="Times New Roman" w:hAnsi="Times New Roman" w:cs="Times New Roman"/>
          <w:color w:val="000000"/>
          <w:sz w:val="20"/>
          <w:szCs w:val="20"/>
        </w:rPr>
        <w:t>Preeclampsia,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51E1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caesarean section, vaginal delivery, Outcome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and complications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35773" w:rsidRDefault="005F3F5D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935773" w:rsidSect="00B0143F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56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cr/>
      </w:r>
    </w:p>
    <w:p w:rsidR="00FA02A3" w:rsidRPr="005F3F5D" w:rsidRDefault="00F46D11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3F5D">
        <w:rPr>
          <w:rFonts w:ascii="Times New Roman" w:hAnsi="Times New Roman" w:cs="Times New Roman"/>
          <w:b/>
          <w:bCs/>
          <w:sz w:val="20"/>
          <w:szCs w:val="20"/>
        </w:rPr>
        <w:lastRenderedPageBreak/>
        <w:t>1. Introduction</w:t>
      </w:r>
    </w:p>
    <w:p w:rsidR="00F94A1B" w:rsidRPr="005F3F5D" w:rsidRDefault="00FA02A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F46D11" w:rsidRPr="005F3F5D">
        <w:rPr>
          <w:rFonts w:ascii="Times New Roman" w:hAnsi="Times New Roman" w:cs="Times New Roman"/>
          <w:color w:val="000000"/>
          <w:sz w:val="20"/>
          <w:szCs w:val="20"/>
        </w:rPr>
        <w:t>reeclampsia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is a Pregnancy Induced Hypertension (PIH) of unknown etiology.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Preeclampsia (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PE</w:t>
      </w:r>
      <w:r w:rsidR="00534B09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CE3E3B"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an be quite serious as it can lead to various complications both for the mother and the baby </w:t>
      </w: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[1</w:t>
      </w:r>
      <w:r w:rsidR="00521203"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]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PET and</w:t>
      </w:r>
      <w:r w:rsidR="00F46D11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eclampsia, sever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forms of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PIH, are the leading cause of infant and </w:t>
      </w:r>
      <w:r w:rsidR="00202430" w:rsidRPr="005F3F5D">
        <w:rPr>
          <w:rFonts w:ascii="Times New Roman" w:hAnsi="Times New Roman" w:cs="Times New Roman"/>
          <w:color w:val="000000"/>
          <w:sz w:val="20"/>
          <w:szCs w:val="20"/>
        </w:rPr>
        <w:t>maternal mortality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(1).</w:t>
      </w:r>
    </w:p>
    <w:p w:rsidR="0091401F" w:rsidRPr="005F3F5D" w:rsidRDefault="00FA02A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It has been estimated that five to.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Seven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percent of pregnanc</w:t>
      </w:r>
      <w:r w:rsidR="001C4230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ies are affected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by (</w:t>
      </w:r>
      <w:r w:rsidR="001C4230" w:rsidRPr="005F3F5D">
        <w:rPr>
          <w:rFonts w:ascii="Times New Roman" w:hAnsi="Times New Roman" w:cs="Times New Roman"/>
          <w:color w:val="000000"/>
          <w:sz w:val="20"/>
          <w:szCs w:val="20"/>
        </w:rPr>
        <w:t>PE</w:t>
      </w:r>
      <w:r w:rsidR="00534B09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) (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2)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46D11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7C73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PIH </w:t>
      </w:r>
      <w:r w:rsidR="001C4230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causes intra uterine growth </w:t>
      </w:r>
      <w:r w:rsidR="00CF7C73" w:rsidRPr="005F3F5D">
        <w:rPr>
          <w:rFonts w:ascii="Times New Roman" w:hAnsi="Times New Roman" w:cs="Times New Roman"/>
          <w:color w:val="000000"/>
          <w:sz w:val="20"/>
          <w:szCs w:val="20"/>
        </w:rPr>
        <w:t>retardation</w:t>
      </w:r>
      <w:r w:rsidR="00F46D11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7C73" w:rsidRPr="005F3F5D">
        <w:rPr>
          <w:rFonts w:ascii="Times New Roman" w:hAnsi="Times New Roman" w:cs="Times New Roman"/>
          <w:color w:val="000000"/>
          <w:sz w:val="20"/>
          <w:szCs w:val="20"/>
        </w:rPr>
        <w:t>(IUGR), pre-mature delivery, intra uterine fetal death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>, (</w:t>
      </w:r>
      <w:r w:rsidR="00CF7C73" w:rsidRPr="005F3F5D">
        <w:rPr>
          <w:rFonts w:ascii="Times New Roman" w:hAnsi="Times New Roman" w:cs="Times New Roman"/>
          <w:color w:val="000000"/>
          <w:sz w:val="20"/>
          <w:szCs w:val="20"/>
        </w:rPr>
        <w:t>IUFD), abruption plac</w:t>
      </w:r>
      <w:r w:rsidR="0091401F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entae. It also causes increase </w:t>
      </w:r>
      <w:r w:rsidR="00CF7C73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morbidity and mortality among pregnant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women (</w:t>
      </w:r>
      <w:r w:rsidR="00CF7C73" w:rsidRPr="005F3F5D">
        <w:rPr>
          <w:rFonts w:ascii="Times New Roman" w:hAnsi="Times New Roman" w:cs="Times New Roman"/>
          <w:color w:val="000000"/>
          <w:sz w:val="20"/>
          <w:szCs w:val="20"/>
        </w:rPr>
        <w:t>3).</w:t>
      </w:r>
    </w:p>
    <w:p w:rsidR="005F3F5D" w:rsidRPr="005F3F5D" w:rsidRDefault="00CE3E3B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Authors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documented that</w:t>
      </w:r>
      <w:r w:rsidR="00B53ED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women with PIH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were likely to give birth to low birth weight babies than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women without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PIH (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4).</w:t>
      </w:r>
    </w:p>
    <w:p w:rsidR="00F20186" w:rsidRPr="005F3F5D" w:rsidRDefault="005F3F5D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he cause for (PE</w:t>
      </w:r>
      <w:r w:rsidR="00534B09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is unknown, there appear to be certain risk factors associated</w:t>
      </w:r>
      <w:r w:rsidR="00935773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with the condition. The factors that have been postulated to influence the r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isk of (PE</w:t>
      </w:r>
      <w:r w:rsidR="00534B09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935773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among the mothers include diabe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tes, obesity, multiple </w:t>
      </w:r>
      <w:r w:rsidR="00B55D1E" w:rsidRPr="005F3F5D">
        <w:rPr>
          <w:rFonts w:ascii="Times New Roman" w:hAnsi="Times New Roman" w:cs="Times New Roman"/>
          <w:color w:val="000000"/>
          <w:sz w:val="20"/>
          <w:szCs w:val="20"/>
        </w:rPr>
        <w:t>gestation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, primiparity, age, personal or family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history of (PE</w:t>
      </w:r>
      <w:r w:rsidR="00534B09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, and chronic hypertensio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n (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5).</w:t>
      </w:r>
    </w:p>
    <w:p w:rsidR="0091401F" w:rsidRPr="005F3F5D" w:rsidRDefault="0091401F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>PE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ab/>
        <w:t>T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and eclampsia is essentially a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disease of the poor and of the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primigravidae (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PG)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, a product of ignorance and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neglect (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B55D1E" w:rsidRPr="005F3F5D" w:rsidRDefault="00FC3429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As regard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prevention and management of eclampsia</w:t>
      </w:r>
      <w:r w:rsidR="00F46D11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includes early detection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of (PE</w:t>
      </w:r>
      <w:r w:rsidR="00534B09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) severe (PE</w:t>
      </w:r>
      <w:r w:rsidR="00534B09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and use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of magnesium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sulphate (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MgSO4) to prevent eclampsia. </w:t>
      </w:r>
      <w:r w:rsidR="001C4230" w:rsidRPr="005F3F5D">
        <w:rPr>
          <w:rFonts w:ascii="Times New Roman" w:hAnsi="Times New Roman" w:cs="Times New Roman"/>
          <w:color w:val="000000"/>
          <w:sz w:val="20"/>
          <w:szCs w:val="20"/>
        </w:rPr>
        <w:t>The e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arly management of eclampsia may reduce the severity </w:t>
      </w:r>
      <w:r w:rsidR="00202430" w:rsidRPr="005F3F5D">
        <w:rPr>
          <w:rFonts w:ascii="Times New Roman" w:hAnsi="Times New Roman" w:cs="Times New Roman"/>
          <w:color w:val="000000"/>
          <w:sz w:val="20"/>
          <w:szCs w:val="20"/>
        </w:rPr>
        <w:t>of maternal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and pe</w:t>
      </w:r>
      <w:r w:rsidR="001C4230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rinatal complications. As regard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treatment of the eclampsia, main goal of the treatment is to 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stop convulsion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, to control the </w:t>
      </w:r>
      <w:r w:rsidR="00202430" w:rsidRPr="005F3F5D">
        <w:rPr>
          <w:rFonts w:ascii="Times New Roman" w:hAnsi="Times New Roman" w:cs="Times New Roman"/>
          <w:color w:val="000000"/>
          <w:sz w:val="20"/>
          <w:szCs w:val="20"/>
        </w:rPr>
        <w:t>blood pressure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>, to deliver the ba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by as promptly as possible, and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>to monitor closely for the onset of multi-organ failure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>. (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MgSO4)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acts as a neuroprotective and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anticonvulsant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medication (</w:t>
      </w:r>
      <w:r w:rsidR="00F20186" w:rsidRPr="005F3F5D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1C4230"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A1B41" w:rsidRPr="005F3F5D" w:rsidRDefault="00FA1B41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The aim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of the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present study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is to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ascertain if caesarean section has any distinct advantage over vaginal delivery in lowering perinatal </w:t>
      </w:r>
      <w:r w:rsidR="00202430" w:rsidRPr="005F3F5D">
        <w:rPr>
          <w:rFonts w:ascii="Times New Roman" w:hAnsi="Times New Roman" w:cs="Times New Roman"/>
          <w:color w:val="000000"/>
          <w:sz w:val="20"/>
          <w:szCs w:val="20"/>
        </w:rPr>
        <w:t>and maternal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morbidity and mortality.</w:t>
      </w:r>
    </w:p>
    <w:p w:rsidR="00F46D11" w:rsidRPr="005F3F5D" w:rsidRDefault="00F46D11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10"/>
        </w:rPr>
      </w:pPr>
    </w:p>
    <w:p w:rsidR="00AE530F" w:rsidRPr="005F3F5D" w:rsidRDefault="00F46D11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 w:rsidR="00AE530F"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Material and M</w:t>
      </w: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ethods</w:t>
      </w:r>
    </w:p>
    <w:p w:rsidR="003E2CD3" w:rsidRPr="005F3F5D" w:rsidRDefault="003E2CD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A list of patients that had severe preeclampsia admitted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7BAF" w:rsidRPr="005F3F5D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="00F46D11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7BAF" w:rsidRPr="005F3F5D">
        <w:rPr>
          <w:rFonts w:ascii="Times New Roman" w:hAnsi="Times New Roman" w:cs="Times New Roman"/>
          <w:color w:val="000000"/>
          <w:sz w:val="20"/>
          <w:szCs w:val="20"/>
        </w:rPr>
        <w:t>Department of Obstetrics and Gynaecology,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7BAF" w:rsidRPr="005F3F5D">
        <w:rPr>
          <w:rFonts w:ascii="Times New Roman" w:hAnsi="Times New Roman" w:cs="Times New Roman"/>
          <w:color w:val="000000"/>
          <w:sz w:val="20"/>
          <w:szCs w:val="20"/>
        </w:rPr>
        <w:t>Aswan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University Hospital from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January 1/2013 to December 31/2013. Diagnosed by (systolic blood pressure 160 or more and/or diastolic blood pressure 110 or more in two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occasion four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hours apart in semi setting position plus 24hrs protein collection in urine 5 gram or more)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he case notes was retrieved from the medical records department in the form of data relating to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the age, parity, gestational age, method of termination, perinatal outcomes, and related maternal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complications.</w:t>
      </w:r>
    </w:p>
    <w:p w:rsidR="00A43654" w:rsidRPr="005F3F5D" w:rsidRDefault="00A43654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>The participants were induced, allowed to undergo spontaneous labour or underwent</w:t>
      </w:r>
      <w:r w:rsidR="00935773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caesarean delivery depending on the obstetric indications and patients general condition.</w:t>
      </w:r>
    </w:p>
    <w:p w:rsidR="003E2CD3" w:rsidRPr="005F3F5D" w:rsidRDefault="003E2CD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The data was entered in the computer for statistical analysis using one proprietary statistical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package which is Statistical Packages for the Socia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cience (SPSS).</w:t>
      </w:r>
    </w:p>
    <w:p w:rsidR="00D92A48" w:rsidRPr="005F3F5D" w:rsidRDefault="00D92A48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10"/>
        </w:rPr>
      </w:pPr>
    </w:p>
    <w:p w:rsidR="0013488D" w:rsidRPr="005F3F5D" w:rsidRDefault="00F46D11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 w:rsidR="0013488D"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Results</w:t>
      </w:r>
    </w:p>
    <w:p w:rsidR="00935773" w:rsidRDefault="00935773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14"/>
        </w:rPr>
        <w:sectPr w:rsidR="00935773" w:rsidSect="00935773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53EDD" w:rsidRPr="005F3F5D" w:rsidRDefault="00B53EDD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14"/>
        </w:rPr>
      </w:pPr>
    </w:p>
    <w:p w:rsidR="00B53EDD" w:rsidRPr="005F3F5D" w:rsidRDefault="00B53EDD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Table 1</w:t>
      </w:r>
      <w:r w:rsidR="00935773"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:</w:t>
      </w:r>
      <w:r w:rsidR="00935773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r w:rsidR="00935773"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I</w:t>
      </w: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ncidence of PET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3338"/>
        <w:gridCol w:w="3741"/>
        <w:gridCol w:w="2397"/>
      </w:tblGrid>
      <w:tr w:rsidR="00B53EDD" w:rsidRPr="005F3F5D" w:rsidTr="005F3F5D">
        <w:trPr>
          <w:jc w:val="center"/>
        </w:trPr>
        <w:tc>
          <w:tcPr>
            <w:tcW w:w="1761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Total delivery </w:t>
            </w:r>
          </w:p>
        </w:tc>
        <w:tc>
          <w:tcPr>
            <w:tcW w:w="1974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Number of PET</w:t>
            </w:r>
          </w:p>
        </w:tc>
        <w:tc>
          <w:tcPr>
            <w:tcW w:w="1265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Incidence</w:t>
            </w:r>
          </w:p>
        </w:tc>
      </w:tr>
      <w:tr w:rsidR="00B53EDD" w:rsidRPr="005F3F5D" w:rsidTr="005F3F5D">
        <w:trPr>
          <w:jc w:val="center"/>
        </w:trPr>
        <w:tc>
          <w:tcPr>
            <w:tcW w:w="1761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4284</w:t>
            </w:r>
          </w:p>
        </w:tc>
        <w:tc>
          <w:tcPr>
            <w:tcW w:w="1974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234</w:t>
            </w:r>
          </w:p>
        </w:tc>
        <w:tc>
          <w:tcPr>
            <w:tcW w:w="1265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5.46%</w:t>
            </w:r>
          </w:p>
        </w:tc>
      </w:tr>
    </w:tbl>
    <w:p w:rsidR="00B53EDD" w:rsidRPr="005F3F5D" w:rsidRDefault="00B53EDD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12"/>
        </w:rPr>
      </w:pPr>
    </w:p>
    <w:p w:rsidR="00B53EDD" w:rsidRPr="005F3F5D" w:rsidRDefault="00B53EDD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Table (2): Method of termination.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5086"/>
        <w:gridCol w:w="2034"/>
        <w:gridCol w:w="2356"/>
      </w:tblGrid>
      <w:tr w:rsidR="00B53EDD" w:rsidRPr="005F3F5D" w:rsidTr="005F3F5D">
        <w:trPr>
          <w:jc w:val="center"/>
        </w:trPr>
        <w:tc>
          <w:tcPr>
            <w:tcW w:w="268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Method of termination</w:t>
            </w:r>
          </w:p>
        </w:tc>
        <w:tc>
          <w:tcPr>
            <w:tcW w:w="107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Number</w:t>
            </w:r>
          </w:p>
        </w:tc>
        <w:tc>
          <w:tcPr>
            <w:tcW w:w="124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Incidence</w:t>
            </w:r>
          </w:p>
        </w:tc>
      </w:tr>
      <w:tr w:rsidR="00B53EDD" w:rsidRPr="005F3F5D" w:rsidTr="005F3F5D">
        <w:trPr>
          <w:jc w:val="center"/>
        </w:trPr>
        <w:tc>
          <w:tcPr>
            <w:tcW w:w="268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VD</w:t>
            </w:r>
          </w:p>
        </w:tc>
        <w:tc>
          <w:tcPr>
            <w:tcW w:w="107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82</w:t>
            </w:r>
          </w:p>
        </w:tc>
        <w:tc>
          <w:tcPr>
            <w:tcW w:w="124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35.04%</w:t>
            </w:r>
          </w:p>
        </w:tc>
      </w:tr>
      <w:tr w:rsidR="00B53EDD" w:rsidRPr="005F3F5D" w:rsidTr="005F3F5D">
        <w:trPr>
          <w:jc w:val="center"/>
        </w:trPr>
        <w:tc>
          <w:tcPr>
            <w:tcW w:w="268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CS</w:t>
            </w:r>
          </w:p>
        </w:tc>
        <w:tc>
          <w:tcPr>
            <w:tcW w:w="107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152</w:t>
            </w:r>
          </w:p>
        </w:tc>
        <w:tc>
          <w:tcPr>
            <w:tcW w:w="124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64.95%</w:t>
            </w:r>
          </w:p>
        </w:tc>
      </w:tr>
      <w:tr w:rsidR="00B53EDD" w:rsidRPr="005F3F5D" w:rsidTr="005F3F5D">
        <w:trPr>
          <w:jc w:val="center"/>
        </w:trPr>
        <w:tc>
          <w:tcPr>
            <w:tcW w:w="268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Total</w:t>
            </w:r>
          </w:p>
        </w:tc>
        <w:tc>
          <w:tcPr>
            <w:tcW w:w="107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234</w:t>
            </w:r>
          </w:p>
        </w:tc>
        <w:tc>
          <w:tcPr>
            <w:tcW w:w="1243" w:type="pct"/>
            <w:vAlign w:val="center"/>
          </w:tcPr>
          <w:p w:rsidR="00B53EDD" w:rsidRPr="005F3F5D" w:rsidRDefault="00B53EDD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100%</w:t>
            </w:r>
          </w:p>
        </w:tc>
      </w:tr>
    </w:tbl>
    <w:p w:rsidR="00D92A48" w:rsidRPr="005F3F5D" w:rsidRDefault="00D92A48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12"/>
        </w:rPr>
      </w:pPr>
    </w:p>
    <w:p w:rsidR="0017213C" w:rsidRPr="005F3F5D" w:rsidRDefault="00361E2A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Table (3</w:t>
      </w:r>
      <w:r w:rsidR="00521203"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): Patients</w:t>
      </w: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clinical profile 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779"/>
        <w:gridCol w:w="1864"/>
        <w:gridCol w:w="1811"/>
        <w:gridCol w:w="2022"/>
        <w:gridCol w:w="732"/>
        <w:gridCol w:w="537"/>
        <w:gridCol w:w="731"/>
      </w:tblGrid>
      <w:tr w:rsidR="0050056B" w:rsidRPr="005F3F5D" w:rsidTr="005F3F5D">
        <w:trPr>
          <w:jc w:val="center"/>
        </w:trPr>
        <w:tc>
          <w:tcPr>
            <w:tcW w:w="939" w:type="pct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655"/>
            </w:tblGrid>
            <w:tr w:rsidR="0050056B" w:rsidRPr="005F3F5D" w:rsidTr="005F3F5D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56B" w:rsidRPr="005F3F5D" w:rsidRDefault="0050056B" w:rsidP="00935773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en-GB"/>
                    </w:rPr>
                  </w:pPr>
                  <w:r w:rsidRPr="005F3F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  <w:lang w:eastAsia="en-GB"/>
                    </w:rPr>
                    <w:t xml:space="preserve">Age </w:t>
                  </w:r>
                </w:p>
              </w:tc>
            </w:tr>
          </w:tbl>
          <w:p w:rsidR="0050056B" w:rsidRPr="005F3F5D" w:rsidRDefault="0050056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84" w:type="pct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740"/>
            </w:tblGrid>
            <w:tr w:rsidR="0050056B" w:rsidRPr="005F3F5D" w:rsidTr="005F3F5D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56B" w:rsidRPr="005F3F5D" w:rsidRDefault="0050056B" w:rsidP="00935773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en-GB"/>
                    </w:rPr>
                  </w:pPr>
                  <w:r w:rsidRPr="005F3F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  <w:lang w:eastAsia="en-GB"/>
                    </w:rPr>
                    <w:t>Cases</w:t>
                  </w:r>
                  <w:r w:rsidR="0014598E" w:rsidRPr="005F3F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  <w:lang w:eastAsia="en-GB"/>
                    </w:rPr>
                    <w:t xml:space="preserve"> CS</w:t>
                  </w:r>
                </w:p>
              </w:tc>
            </w:tr>
          </w:tbl>
          <w:p w:rsidR="0050056B" w:rsidRPr="005F3F5D" w:rsidRDefault="0050056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56" w:type="pct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687"/>
            </w:tblGrid>
            <w:tr w:rsidR="0050056B" w:rsidRPr="005F3F5D" w:rsidTr="005F3F5D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56B" w:rsidRPr="005F3F5D" w:rsidRDefault="0050056B" w:rsidP="00935773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5F3F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</w:rPr>
                    <w:t>%</w:t>
                  </w:r>
                </w:p>
              </w:tc>
            </w:tr>
          </w:tbl>
          <w:p w:rsidR="0050056B" w:rsidRPr="005F3F5D" w:rsidRDefault="0050056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067" w:type="pct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898"/>
            </w:tblGrid>
            <w:tr w:rsidR="0050056B" w:rsidRPr="005F3F5D" w:rsidTr="005F3F5D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56B" w:rsidRPr="005F3F5D" w:rsidRDefault="0050056B" w:rsidP="00935773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5F3F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</w:rPr>
                    <w:t>Case</w:t>
                  </w:r>
                  <w:r w:rsidR="00935773" w:rsidRPr="005F3F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</w:rPr>
                    <w:t>s</w:t>
                  </w:r>
                  <w:r w:rsidR="009357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</w:rPr>
                    <w:t xml:space="preserve"> </w:t>
                  </w:r>
                  <w:r w:rsidR="00935773" w:rsidRPr="005F3F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</w:rPr>
                    <w:t>V</w:t>
                  </w:r>
                  <w:r w:rsidR="0014598E" w:rsidRPr="005F3F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</w:rPr>
                    <w:t>D</w:t>
                  </w:r>
                </w:p>
              </w:tc>
            </w:tr>
          </w:tbl>
          <w:p w:rsidR="0050056B" w:rsidRPr="005F3F5D" w:rsidRDefault="0050056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50056B" w:rsidRPr="005F3F5D" w:rsidRDefault="0050056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%</w:t>
            </w:r>
          </w:p>
        </w:tc>
        <w:tc>
          <w:tcPr>
            <w:tcW w:w="283" w:type="pct"/>
            <w:vAlign w:val="center"/>
          </w:tcPr>
          <w:p w:rsidR="0050056B" w:rsidRPr="005F3F5D" w:rsidRDefault="0050056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Total</w:t>
            </w:r>
          </w:p>
        </w:tc>
        <w:tc>
          <w:tcPr>
            <w:tcW w:w="386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%</w:t>
            </w:r>
          </w:p>
        </w:tc>
      </w:tr>
      <w:tr w:rsidR="0050056B" w:rsidRPr="005F3F5D" w:rsidTr="005F3F5D">
        <w:trPr>
          <w:jc w:val="center"/>
        </w:trPr>
        <w:tc>
          <w:tcPr>
            <w:tcW w:w="939" w:type="pct"/>
            <w:vAlign w:val="center"/>
          </w:tcPr>
          <w:p w:rsidR="0050056B" w:rsidRPr="005F3F5D" w:rsidRDefault="00935773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≤20</w:t>
            </w:r>
          </w:p>
        </w:tc>
        <w:tc>
          <w:tcPr>
            <w:tcW w:w="984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</w:t>
            </w:r>
          </w:p>
        </w:tc>
        <w:tc>
          <w:tcPr>
            <w:tcW w:w="956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29.6%</w:t>
            </w:r>
          </w:p>
        </w:tc>
        <w:tc>
          <w:tcPr>
            <w:tcW w:w="1067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</w:t>
            </w:r>
          </w:p>
        </w:tc>
        <w:tc>
          <w:tcPr>
            <w:tcW w:w="386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26.82%</w:t>
            </w:r>
          </w:p>
        </w:tc>
        <w:tc>
          <w:tcPr>
            <w:tcW w:w="283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67</w:t>
            </w:r>
          </w:p>
        </w:tc>
        <w:tc>
          <w:tcPr>
            <w:tcW w:w="386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28.63%</w:t>
            </w:r>
          </w:p>
        </w:tc>
      </w:tr>
      <w:tr w:rsidR="0050056B" w:rsidRPr="005F3F5D" w:rsidTr="005F3F5D">
        <w:trPr>
          <w:jc w:val="center"/>
        </w:trPr>
        <w:tc>
          <w:tcPr>
            <w:tcW w:w="939" w:type="pct"/>
            <w:vAlign w:val="center"/>
          </w:tcPr>
          <w:p w:rsidR="0050056B" w:rsidRPr="005F3F5D" w:rsidRDefault="0014598E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21-30</w:t>
            </w:r>
          </w:p>
        </w:tc>
        <w:tc>
          <w:tcPr>
            <w:tcW w:w="984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68</w:t>
            </w:r>
          </w:p>
        </w:tc>
        <w:tc>
          <w:tcPr>
            <w:tcW w:w="956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44.73%</w:t>
            </w:r>
          </w:p>
        </w:tc>
        <w:tc>
          <w:tcPr>
            <w:tcW w:w="1067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</w:t>
            </w:r>
          </w:p>
        </w:tc>
        <w:tc>
          <w:tcPr>
            <w:tcW w:w="386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37.</w:t>
            </w:r>
            <w:r w:rsidR="000A6C6C"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8%</w:t>
            </w:r>
          </w:p>
        </w:tc>
        <w:tc>
          <w:tcPr>
            <w:tcW w:w="283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99</w:t>
            </w:r>
          </w:p>
        </w:tc>
        <w:tc>
          <w:tcPr>
            <w:tcW w:w="386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42.3%</w:t>
            </w:r>
          </w:p>
        </w:tc>
      </w:tr>
      <w:tr w:rsidR="0050056B" w:rsidRPr="005F3F5D" w:rsidTr="005F3F5D">
        <w:trPr>
          <w:jc w:val="center"/>
        </w:trPr>
        <w:tc>
          <w:tcPr>
            <w:tcW w:w="939" w:type="pct"/>
            <w:vAlign w:val="center"/>
          </w:tcPr>
          <w:p w:rsidR="0050056B" w:rsidRPr="005F3F5D" w:rsidRDefault="0014598E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31-37</w:t>
            </w:r>
          </w:p>
        </w:tc>
        <w:tc>
          <w:tcPr>
            <w:tcW w:w="984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</w:t>
            </w:r>
          </w:p>
        </w:tc>
        <w:tc>
          <w:tcPr>
            <w:tcW w:w="956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19.73%</w:t>
            </w:r>
          </w:p>
        </w:tc>
        <w:tc>
          <w:tcPr>
            <w:tcW w:w="1067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386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18.29%</w:t>
            </w:r>
          </w:p>
        </w:tc>
        <w:tc>
          <w:tcPr>
            <w:tcW w:w="283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</w:t>
            </w:r>
          </w:p>
        </w:tc>
        <w:tc>
          <w:tcPr>
            <w:tcW w:w="386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19.23%</w:t>
            </w:r>
          </w:p>
        </w:tc>
      </w:tr>
      <w:tr w:rsidR="0050056B" w:rsidRPr="005F3F5D" w:rsidTr="005F3F5D">
        <w:trPr>
          <w:jc w:val="center"/>
        </w:trPr>
        <w:tc>
          <w:tcPr>
            <w:tcW w:w="939" w:type="pct"/>
            <w:vAlign w:val="center"/>
          </w:tcPr>
          <w:p w:rsidR="0050056B" w:rsidRPr="005F3F5D" w:rsidRDefault="00935773" w:rsidP="0093577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&gt;37</w:t>
            </w:r>
          </w:p>
        </w:tc>
        <w:tc>
          <w:tcPr>
            <w:tcW w:w="984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</w:t>
            </w:r>
          </w:p>
        </w:tc>
        <w:tc>
          <w:tcPr>
            <w:tcW w:w="956" w:type="pct"/>
            <w:vAlign w:val="center"/>
          </w:tcPr>
          <w:p w:rsidR="0050056B" w:rsidRPr="005F3F5D" w:rsidRDefault="00623E38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5.92%</w:t>
            </w:r>
          </w:p>
        </w:tc>
        <w:tc>
          <w:tcPr>
            <w:tcW w:w="1067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386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17.07%</w:t>
            </w:r>
          </w:p>
        </w:tc>
        <w:tc>
          <w:tcPr>
            <w:tcW w:w="283" w:type="pct"/>
            <w:vAlign w:val="center"/>
          </w:tcPr>
          <w:p w:rsidR="0050056B" w:rsidRPr="005F3F5D" w:rsidRDefault="000A6C6C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</w:t>
            </w:r>
          </w:p>
        </w:tc>
        <w:tc>
          <w:tcPr>
            <w:tcW w:w="386" w:type="pct"/>
            <w:vAlign w:val="center"/>
          </w:tcPr>
          <w:p w:rsidR="0050056B" w:rsidRPr="005F3F5D" w:rsidRDefault="0088582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9.82%</w:t>
            </w:r>
          </w:p>
        </w:tc>
      </w:tr>
    </w:tbl>
    <w:p w:rsidR="00D92A48" w:rsidRPr="005F3F5D" w:rsidRDefault="00D92A48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8"/>
        </w:rPr>
      </w:pPr>
    </w:p>
    <w:p w:rsidR="0050056B" w:rsidRPr="005F3F5D" w:rsidRDefault="00361E2A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Table (4</w:t>
      </w:r>
      <w:r w:rsidR="00521203"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): Patients</w:t>
      </w: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clinical profile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313"/>
        <w:gridCol w:w="802"/>
        <w:gridCol w:w="1010"/>
        <w:gridCol w:w="802"/>
        <w:gridCol w:w="1010"/>
        <w:gridCol w:w="1539"/>
      </w:tblGrid>
      <w:tr w:rsidR="000472CB" w:rsidRPr="005F3F5D" w:rsidTr="005F3F5D">
        <w:trPr>
          <w:jc w:val="center"/>
        </w:trPr>
        <w:tc>
          <w:tcPr>
            <w:tcW w:w="2276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Gestational age</w:t>
            </w:r>
          </w:p>
        </w:tc>
        <w:tc>
          <w:tcPr>
            <w:tcW w:w="423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CS</w:t>
            </w:r>
          </w:p>
        </w:tc>
        <w:tc>
          <w:tcPr>
            <w:tcW w:w="533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VD</w:t>
            </w:r>
          </w:p>
        </w:tc>
        <w:tc>
          <w:tcPr>
            <w:tcW w:w="533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Total</w:t>
            </w:r>
          </w:p>
        </w:tc>
      </w:tr>
      <w:tr w:rsidR="000472CB" w:rsidRPr="005F3F5D" w:rsidTr="005F3F5D">
        <w:trPr>
          <w:jc w:val="center"/>
        </w:trPr>
        <w:tc>
          <w:tcPr>
            <w:tcW w:w="2276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Cases</w:t>
            </w:r>
          </w:p>
        </w:tc>
        <w:tc>
          <w:tcPr>
            <w:tcW w:w="533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%</w:t>
            </w:r>
          </w:p>
        </w:tc>
        <w:tc>
          <w:tcPr>
            <w:tcW w:w="423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Cases</w:t>
            </w:r>
          </w:p>
        </w:tc>
        <w:tc>
          <w:tcPr>
            <w:tcW w:w="533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%</w:t>
            </w:r>
          </w:p>
        </w:tc>
        <w:tc>
          <w:tcPr>
            <w:tcW w:w="812" w:type="pct"/>
            <w:vAlign w:val="center"/>
          </w:tcPr>
          <w:p w:rsidR="000472CB" w:rsidRPr="005F3F5D" w:rsidRDefault="000472CB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0472CB" w:rsidRPr="005F3F5D" w:rsidTr="005F3F5D">
        <w:trPr>
          <w:jc w:val="center"/>
        </w:trPr>
        <w:tc>
          <w:tcPr>
            <w:tcW w:w="2276" w:type="pct"/>
            <w:vAlign w:val="center"/>
          </w:tcPr>
          <w:p w:rsidR="000472CB" w:rsidRPr="005F3F5D" w:rsidRDefault="00935773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GB"/>
              </w:rPr>
              <w:t>≤30 Wk</w:t>
            </w:r>
          </w:p>
        </w:tc>
        <w:tc>
          <w:tcPr>
            <w:tcW w:w="42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47</w:t>
            </w:r>
          </w:p>
        </w:tc>
        <w:tc>
          <w:tcPr>
            <w:tcW w:w="53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30.92%</w:t>
            </w:r>
          </w:p>
        </w:tc>
        <w:tc>
          <w:tcPr>
            <w:tcW w:w="42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</w:t>
            </w:r>
          </w:p>
        </w:tc>
        <w:tc>
          <w:tcPr>
            <w:tcW w:w="53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13.41%</w:t>
            </w:r>
          </w:p>
        </w:tc>
        <w:tc>
          <w:tcPr>
            <w:tcW w:w="812" w:type="pct"/>
            <w:vAlign w:val="center"/>
          </w:tcPr>
          <w:p w:rsidR="000472CB" w:rsidRPr="005F3F5D" w:rsidRDefault="00D31D57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58 (24.78%)</w:t>
            </w:r>
          </w:p>
        </w:tc>
      </w:tr>
      <w:tr w:rsidR="000472CB" w:rsidRPr="005F3F5D" w:rsidTr="005F3F5D">
        <w:trPr>
          <w:jc w:val="center"/>
        </w:trPr>
        <w:tc>
          <w:tcPr>
            <w:tcW w:w="2276" w:type="pct"/>
            <w:vAlign w:val="center"/>
          </w:tcPr>
          <w:p w:rsidR="000472CB" w:rsidRPr="005F3F5D" w:rsidRDefault="00935773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30-37 Wk</w:t>
            </w:r>
          </w:p>
        </w:tc>
        <w:tc>
          <w:tcPr>
            <w:tcW w:w="42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</w:t>
            </w:r>
          </w:p>
        </w:tc>
        <w:tc>
          <w:tcPr>
            <w:tcW w:w="53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47.36%</w:t>
            </w:r>
          </w:p>
        </w:tc>
        <w:tc>
          <w:tcPr>
            <w:tcW w:w="42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</w:t>
            </w:r>
          </w:p>
        </w:tc>
        <w:tc>
          <w:tcPr>
            <w:tcW w:w="53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32.92%</w:t>
            </w:r>
          </w:p>
        </w:tc>
        <w:tc>
          <w:tcPr>
            <w:tcW w:w="812" w:type="pct"/>
            <w:vAlign w:val="center"/>
          </w:tcPr>
          <w:p w:rsidR="000472CB" w:rsidRPr="005F3F5D" w:rsidRDefault="00D31D57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99(42.3%)</w:t>
            </w:r>
          </w:p>
        </w:tc>
      </w:tr>
      <w:tr w:rsidR="000472CB" w:rsidRPr="005F3F5D" w:rsidTr="005F3F5D">
        <w:trPr>
          <w:jc w:val="center"/>
        </w:trPr>
        <w:tc>
          <w:tcPr>
            <w:tcW w:w="2276" w:type="pct"/>
            <w:vAlign w:val="center"/>
          </w:tcPr>
          <w:p w:rsidR="000472CB" w:rsidRPr="005F3F5D" w:rsidRDefault="00935773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≥37 Wk</w:t>
            </w:r>
          </w:p>
        </w:tc>
        <w:tc>
          <w:tcPr>
            <w:tcW w:w="42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</w:t>
            </w:r>
          </w:p>
        </w:tc>
        <w:tc>
          <w:tcPr>
            <w:tcW w:w="53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21.71%</w:t>
            </w:r>
          </w:p>
        </w:tc>
        <w:tc>
          <w:tcPr>
            <w:tcW w:w="42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44</w:t>
            </w:r>
          </w:p>
        </w:tc>
        <w:tc>
          <w:tcPr>
            <w:tcW w:w="533" w:type="pct"/>
            <w:vAlign w:val="center"/>
          </w:tcPr>
          <w:p w:rsidR="000472CB" w:rsidRPr="005F3F5D" w:rsidRDefault="000D63F1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53.65%</w:t>
            </w:r>
          </w:p>
        </w:tc>
        <w:tc>
          <w:tcPr>
            <w:tcW w:w="812" w:type="pct"/>
            <w:vAlign w:val="center"/>
          </w:tcPr>
          <w:p w:rsidR="000472CB" w:rsidRPr="005F3F5D" w:rsidRDefault="00D31D57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77(32.9%)</w:t>
            </w:r>
          </w:p>
        </w:tc>
      </w:tr>
    </w:tbl>
    <w:p w:rsidR="00A43654" w:rsidRPr="005F3F5D" w:rsidRDefault="00A43654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10"/>
        </w:rPr>
      </w:pPr>
    </w:p>
    <w:p w:rsidR="00047344" w:rsidRPr="005F3F5D" w:rsidRDefault="00361E2A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Table (5): </w:t>
      </w:r>
      <w:r w:rsidR="00047344"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Fetal complications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566"/>
        <w:gridCol w:w="766"/>
        <w:gridCol w:w="1560"/>
        <w:gridCol w:w="860"/>
        <w:gridCol w:w="1560"/>
        <w:gridCol w:w="2164"/>
      </w:tblGrid>
      <w:tr w:rsidR="00047344" w:rsidRPr="005F3F5D" w:rsidTr="005F3F5D">
        <w:trPr>
          <w:jc w:val="center"/>
        </w:trPr>
        <w:tc>
          <w:tcPr>
            <w:tcW w:w="1354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Complication</w:t>
            </w:r>
          </w:p>
        </w:tc>
        <w:tc>
          <w:tcPr>
            <w:tcW w:w="404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CS</w:t>
            </w:r>
          </w:p>
        </w:tc>
        <w:tc>
          <w:tcPr>
            <w:tcW w:w="823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%</w:t>
            </w:r>
          </w:p>
        </w:tc>
        <w:tc>
          <w:tcPr>
            <w:tcW w:w="454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VD</w:t>
            </w:r>
          </w:p>
        </w:tc>
        <w:tc>
          <w:tcPr>
            <w:tcW w:w="823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%</w:t>
            </w:r>
          </w:p>
        </w:tc>
        <w:tc>
          <w:tcPr>
            <w:tcW w:w="1142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Total</w:t>
            </w:r>
          </w:p>
        </w:tc>
      </w:tr>
      <w:tr w:rsidR="00047344" w:rsidRPr="005F3F5D" w:rsidTr="005F3F5D">
        <w:trPr>
          <w:jc w:val="center"/>
        </w:trPr>
        <w:tc>
          <w:tcPr>
            <w:tcW w:w="1354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Prematurity</w:t>
            </w:r>
          </w:p>
        </w:tc>
        <w:tc>
          <w:tcPr>
            <w:tcW w:w="404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35</w:t>
            </w:r>
          </w:p>
        </w:tc>
        <w:tc>
          <w:tcPr>
            <w:tcW w:w="823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23.02%</w:t>
            </w:r>
          </w:p>
        </w:tc>
        <w:tc>
          <w:tcPr>
            <w:tcW w:w="454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</w:t>
            </w:r>
          </w:p>
        </w:tc>
        <w:tc>
          <w:tcPr>
            <w:tcW w:w="823" w:type="pct"/>
            <w:vAlign w:val="center"/>
          </w:tcPr>
          <w:p w:rsidR="00047344" w:rsidRPr="005F3F5D" w:rsidRDefault="00624D09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19.51%</w:t>
            </w:r>
          </w:p>
        </w:tc>
        <w:tc>
          <w:tcPr>
            <w:tcW w:w="1142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</w:t>
            </w:r>
            <w:r w:rsidR="00935773">
              <w:rPr>
                <w:rFonts w:ascii="Times New Roman" w:hAnsi="Times New Roman" w:cs="Times New Roman" w:hint="eastAsia"/>
                <w:color w:val="000000"/>
                <w:sz w:val="20"/>
                <w:szCs w:val="18"/>
                <w:lang w:eastAsia="zh-CN"/>
              </w:rPr>
              <w:t xml:space="preserve"> </w:t>
            </w: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(24.35%)</w:t>
            </w:r>
          </w:p>
        </w:tc>
      </w:tr>
      <w:tr w:rsidR="00047344" w:rsidRPr="005F3F5D" w:rsidTr="005F3F5D">
        <w:trPr>
          <w:jc w:val="center"/>
        </w:trPr>
        <w:tc>
          <w:tcPr>
            <w:tcW w:w="1354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IUFD</w:t>
            </w:r>
          </w:p>
        </w:tc>
        <w:tc>
          <w:tcPr>
            <w:tcW w:w="404" w:type="pct"/>
            <w:vAlign w:val="center"/>
          </w:tcPr>
          <w:p w:rsidR="00047344" w:rsidRPr="005F3F5D" w:rsidRDefault="00624D09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823" w:type="pct"/>
            <w:vAlign w:val="center"/>
          </w:tcPr>
          <w:p w:rsidR="00047344" w:rsidRPr="005F3F5D" w:rsidRDefault="00624D09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4.6%</w:t>
            </w:r>
          </w:p>
        </w:tc>
        <w:tc>
          <w:tcPr>
            <w:tcW w:w="454" w:type="pct"/>
            <w:vAlign w:val="center"/>
          </w:tcPr>
          <w:p w:rsidR="00047344" w:rsidRPr="005F3F5D" w:rsidRDefault="00624D09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823" w:type="pct"/>
            <w:vAlign w:val="center"/>
          </w:tcPr>
          <w:p w:rsidR="00047344" w:rsidRPr="005F3F5D" w:rsidRDefault="00624D09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7.31%</w:t>
            </w:r>
          </w:p>
        </w:tc>
        <w:tc>
          <w:tcPr>
            <w:tcW w:w="1142" w:type="pct"/>
            <w:vAlign w:val="center"/>
          </w:tcPr>
          <w:p w:rsidR="00047344" w:rsidRPr="005F3F5D" w:rsidRDefault="0004734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 (5.55%)</w:t>
            </w:r>
          </w:p>
        </w:tc>
      </w:tr>
    </w:tbl>
    <w:p w:rsidR="00047344" w:rsidRPr="005F3F5D" w:rsidRDefault="00047344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8"/>
        </w:rPr>
      </w:pPr>
    </w:p>
    <w:p w:rsidR="00B35DE4" w:rsidRPr="005F3F5D" w:rsidRDefault="00361E2A" w:rsidP="009357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Table (6): </w:t>
      </w:r>
      <w:r w:rsidR="00B35DE4" w:rsidRPr="005F3F5D">
        <w:rPr>
          <w:rFonts w:ascii="Times New Roman" w:hAnsi="Times New Roman" w:cs="Times New Roman"/>
          <w:b/>
          <w:bCs/>
          <w:color w:val="000000"/>
          <w:sz w:val="20"/>
          <w:szCs w:val="18"/>
        </w:rPr>
        <w:t>Maternal complications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3674"/>
        <w:gridCol w:w="663"/>
        <w:gridCol w:w="1167"/>
        <w:gridCol w:w="745"/>
        <w:gridCol w:w="1444"/>
        <w:gridCol w:w="1783"/>
      </w:tblGrid>
      <w:tr w:rsidR="00B35DE4" w:rsidRPr="005F3F5D" w:rsidTr="005F3F5D">
        <w:trPr>
          <w:jc w:val="center"/>
        </w:trPr>
        <w:tc>
          <w:tcPr>
            <w:tcW w:w="1938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Complication</w:t>
            </w:r>
          </w:p>
        </w:tc>
        <w:tc>
          <w:tcPr>
            <w:tcW w:w="350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CS</w:t>
            </w:r>
          </w:p>
        </w:tc>
        <w:tc>
          <w:tcPr>
            <w:tcW w:w="616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%</w:t>
            </w:r>
          </w:p>
        </w:tc>
        <w:tc>
          <w:tcPr>
            <w:tcW w:w="393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VD</w:t>
            </w:r>
          </w:p>
        </w:tc>
        <w:tc>
          <w:tcPr>
            <w:tcW w:w="762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%</w:t>
            </w:r>
          </w:p>
        </w:tc>
        <w:tc>
          <w:tcPr>
            <w:tcW w:w="941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Total</w:t>
            </w:r>
          </w:p>
        </w:tc>
      </w:tr>
      <w:tr w:rsidR="00B35DE4" w:rsidRPr="005F3F5D" w:rsidTr="005F3F5D">
        <w:trPr>
          <w:jc w:val="center"/>
        </w:trPr>
        <w:tc>
          <w:tcPr>
            <w:tcW w:w="1938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Accidental hemorrhage</w:t>
            </w:r>
          </w:p>
        </w:tc>
        <w:tc>
          <w:tcPr>
            <w:tcW w:w="350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616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1.31%</w:t>
            </w:r>
          </w:p>
        </w:tc>
        <w:tc>
          <w:tcPr>
            <w:tcW w:w="393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762" w:type="pct"/>
            <w:vAlign w:val="center"/>
          </w:tcPr>
          <w:p w:rsidR="00B35DE4" w:rsidRPr="005F3F5D" w:rsidRDefault="002F339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2.43 %</w:t>
            </w:r>
          </w:p>
        </w:tc>
        <w:tc>
          <w:tcPr>
            <w:tcW w:w="941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 (1.70%)</w:t>
            </w:r>
          </w:p>
        </w:tc>
      </w:tr>
      <w:tr w:rsidR="00B35DE4" w:rsidRPr="005F3F5D" w:rsidTr="005F3F5D">
        <w:trPr>
          <w:jc w:val="center"/>
        </w:trPr>
        <w:tc>
          <w:tcPr>
            <w:tcW w:w="1938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Acute renal failure</w:t>
            </w:r>
          </w:p>
        </w:tc>
        <w:tc>
          <w:tcPr>
            <w:tcW w:w="350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616" w:type="pct"/>
            <w:vAlign w:val="center"/>
          </w:tcPr>
          <w:p w:rsidR="00B35DE4" w:rsidRPr="005F3F5D" w:rsidRDefault="002F339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393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762" w:type="pct"/>
            <w:vAlign w:val="center"/>
          </w:tcPr>
          <w:p w:rsidR="00B35DE4" w:rsidRPr="005F3F5D" w:rsidRDefault="002F339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2.43 %</w:t>
            </w:r>
          </w:p>
        </w:tc>
        <w:tc>
          <w:tcPr>
            <w:tcW w:w="941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2(0.85%)</w:t>
            </w:r>
          </w:p>
        </w:tc>
      </w:tr>
      <w:tr w:rsidR="00B35DE4" w:rsidRPr="005F3F5D" w:rsidTr="005F3F5D">
        <w:trPr>
          <w:jc w:val="center"/>
        </w:trPr>
        <w:tc>
          <w:tcPr>
            <w:tcW w:w="1938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Eclamptic fits</w:t>
            </w:r>
          </w:p>
        </w:tc>
        <w:tc>
          <w:tcPr>
            <w:tcW w:w="350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B35DE4" w:rsidRPr="005F3F5D" w:rsidRDefault="002F339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3.93%</w:t>
            </w:r>
          </w:p>
        </w:tc>
        <w:tc>
          <w:tcPr>
            <w:tcW w:w="393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</w:t>
            </w:r>
          </w:p>
        </w:tc>
        <w:tc>
          <w:tcPr>
            <w:tcW w:w="762" w:type="pct"/>
            <w:vAlign w:val="center"/>
          </w:tcPr>
          <w:p w:rsidR="00B35DE4" w:rsidRPr="005F3F5D" w:rsidRDefault="002F339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10.97 %</w:t>
            </w:r>
          </w:p>
        </w:tc>
        <w:tc>
          <w:tcPr>
            <w:tcW w:w="941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15(6.41%)</w:t>
            </w:r>
          </w:p>
        </w:tc>
      </w:tr>
      <w:tr w:rsidR="00B35DE4" w:rsidRPr="005F3F5D" w:rsidTr="005F3F5D">
        <w:trPr>
          <w:jc w:val="center"/>
        </w:trPr>
        <w:tc>
          <w:tcPr>
            <w:tcW w:w="1938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HELLP $</w:t>
            </w:r>
          </w:p>
        </w:tc>
        <w:tc>
          <w:tcPr>
            <w:tcW w:w="350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616" w:type="pct"/>
            <w:vAlign w:val="center"/>
          </w:tcPr>
          <w:p w:rsidR="00B35DE4" w:rsidRPr="005F3F5D" w:rsidRDefault="002F339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393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762" w:type="pct"/>
            <w:vAlign w:val="center"/>
          </w:tcPr>
          <w:p w:rsidR="00B35DE4" w:rsidRPr="005F3F5D" w:rsidRDefault="002F339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1.21%</w:t>
            </w:r>
          </w:p>
        </w:tc>
        <w:tc>
          <w:tcPr>
            <w:tcW w:w="941" w:type="pct"/>
            <w:vAlign w:val="center"/>
          </w:tcPr>
          <w:p w:rsidR="00B35DE4" w:rsidRPr="005F3F5D" w:rsidRDefault="00B35DE4" w:rsidP="009357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3F5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1( 0.42%)</w:t>
            </w:r>
          </w:p>
        </w:tc>
      </w:tr>
    </w:tbl>
    <w:p w:rsidR="005F3F5D" w:rsidRPr="005F3F5D" w:rsidRDefault="005F3F5D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35773" w:rsidRDefault="00935773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935773" w:rsidSect="005F3F5D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935773" w:rsidRPr="005F3F5D" w:rsidRDefault="0093577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>There were 4284 deliveries during that period. Among them 234 patients with preeclampsia with incidence 5.46 %, ( Table 1).</w:t>
      </w:r>
    </w:p>
    <w:p w:rsidR="00935773" w:rsidRPr="005F3F5D" w:rsidRDefault="0093577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About the methods of termination 152 were delivered by caesarean section (CS) with incidence (64.95%) and 82 patients terminated by vaginal delivery (VD) with incidence 35.04% (Table 2).</w:t>
      </w:r>
    </w:p>
    <w:p w:rsidR="00935773" w:rsidRDefault="0093577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>As regard clinical characteristics of cases. PET was more common in the age group 21-30 years 99 cases with incidence (42.3%) and less common in the age group &gt;37 years 23 cases with incidence (9.82%) (Table 3)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35773" w:rsidRDefault="0093577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About fetal complications prematurity 35 cases in CS delivery with incidence (23.02%) versus16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>cases in VD with incidence (19.51%), intra uterine fetal death (IUFD) 7 cases in CS represent (4.6%) versus 6 cases in VD with incidence (7.31%) (Table 5)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35773" w:rsidRPr="005F3F5D" w:rsidRDefault="00935773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As regard maternal complications accidental haemorrhage cases 2 in CS with incidence (1.31%) versus 2cases in VD with incidence (2.43 %), acute renal failure 2 cases in VD with incidence (2.43 %), eclamptic fits 6 cases in CS with incidence (3.93%) versus 9 cases in VD with incidence (10.97 %) and HELLP syndrome 1 case in VD with incidence (1.21%) ( Table6).</w:t>
      </w:r>
    </w:p>
    <w:p w:rsidR="00935773" w:rsidRDefault="00935773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B53EDD" w:rsidRPr="005F3F5D" w:rsidRDefault="00B53EDD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 w:rsidR="0013488D"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Discussion</w:t>
      </w:r>
    </w:p>
    <w:p w:rsidR="00935773" w:rsidRDefault="0013488D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In the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present study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, the incidence of PET was5.46% (234/4289) of all deliveries. This incidence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is low in relation to other countries as South Africa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whe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>re the incidence of PET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11.5% of all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deliveries (1.329/11.585) </w:t>
      </w: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[7]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lso it is high incidence in comparison to Iran which were 262 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pregnant women with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PET out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of 20520 deliveries which represent 1.27% </w:t>
      </w: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[8</w:t>
      </w:r>
      <w:r w:rsidR="00935773"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]</w:t>
      </w:r>
      <w:r w:rsidR="00935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46240F" w:rsidRPr="005F3F5D" w:rsidRDefault="0046240F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Terefe W et al noted th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at the incidence of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PIH were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3.9%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hey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noted that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over the years from 2011 to 2014, the incidence increased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from 1.8% to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5.7 %( 9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F5879" w:rsidRPr="005F3F5D" w:rsidRDefault="00534B09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In our study maximum number of cases i.e. (42.3%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) in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both CS and VD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are in the age group of 21-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30 years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BF5879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in comparison to 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>Nihar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and Jaiminkuma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>r (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BF5879" w:rsidRPr="005F3F5D">
        <w:rPr>
          <w:rFonts w:ascii="Times New Roman" w:hAnsi="Times New Roman" w:cs="Times New Roman"/>
          <w:color w:val="000000"/>
          <w:sz w:val="20"/>
          <w:szCs w:val="20"/>
        </w:rPr>
        <w:t>) who found that maximum number of cases i.e. 53% in both the groups are in the age group of 21-25 years.</w:t>
      </w:r>
    </w:p>
    <w:p w:rsidR="009B6FBA" w:rsidRPr="005F3F5D" w:rsidRDefault="009B6FBA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In this stud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he highest incidence of PET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was found between 30-37 WK gestation with incidence (42.3%) this results are less than Nihar and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Jaiminkuma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>r (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9) who found that the highest incidence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between 37-40 weeks of gestation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the incidence (60.50%)</w:t>
      </w:r>
      <w:r w:rsidR="002516BA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516BA" w:rsidRPr="005F3F5D" w:rsidRDefault="002516BA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In this study incidence of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prematurity were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(24.35%) totally in both groups this incidence</w:t>
      </w:r>
      <w:r w:rsidR="007D6498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is lower than other author who found that</w:t>
      </w:r>
      <w:r w:rsidR="00B53EDD"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E65C6" w:rsidRPr="005F3F5D" w:rsidRDefault="001737B4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2516BA" w:rsidRPr="005F3F5D">
        <w:rPr>
          <w:rFonts w:ascii="Times New Roman" w:hAnsi="Times New Roman" w:cs="Times New Roman"/>
          <w:color w:val="000000"/>
          <w:sz w:val="20"/>
          <w:szCs w:val="20"/>
        </w:rPr>
        <w:t>he incidence of pre-term delivery was 70%among PIH group compared to only 16.7% in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2516BA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normotensive group and this difference was found to </w:t>
      </w:r>
      <w:r w:rsidR="00202430" w:rsidRPr="005F3F5D">
        <w:rPr>
          <w:rFonts w:ascii="Times New Roman" w:hAnsi="Times New Roman" w:cs="Times New Roman"/>
          <w:color w:val="000000"/>
          <w:sz w:val="20"/>
          <w:szCs w:val="20"/>
        </w:rPr>
        <w:t>be statistically</w:t>
      </w:r>
      <w:r w:rsidR="002516BA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significant (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="007D6498"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516BA"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20F5D" w:rsidRPr="005F3F5D" w:rsidRDefault="007D6498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Also Adu-Bonsaffoh K et al found that hypertensive disorder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of pregnancy was associated with many complications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hey noted that21.7% of the cases were pre-term and the incidence of still birth was 6.8%</w:t>
      </w:r>
      <w:r w:rsidR="00220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(12). </w:t>
      </w:r>
    </w:p>
    <w:p w:rsidR="00935773" w:rsidRDefault="00220F5D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="00AE65C6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results is higher than the present study that the incidence of IUFD were (5.55%)</w:t>
      </w:r>
      <w:r w:rsidR="0046240F" w:rsidRPr="005F3F5D">
        <w:rPr>
          <w:rFonts w:ascii="Times New Roman" w:hAnsi="Times New Roman" w:cs="Times New Roman"/>
          <w:color w:val="000000"/>
          <w:sz w:val="20"/>
          <w:szCs w:val="20"/>
        </w:rPr>
        <w:t>. Also they found the incidence of acute renal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46240F" w:rsidRPr="005F3F5D">
        <w:rPr>
          <w:rFonts w:ascii="Times New Roman" w:hAnsi="Times New Roman" w:cs="Times New Roman"/>
          <w:color w:val="000000"/>
          <w:sz w:val="20"/>
          <w:szCs w:val="20"/>
        </w:rPr>
        <w:t>failure was 0.5%. The incidence of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240F" w:rsidRPr="005F3F5D">
        <w:rPr>
          <w:rFonts w:ascii="Times New Roman" w:hAnsi="Times New Roman" w:cs="Times New Roman"/>
          <w:color w:val="000000"/>
          <w:sz w:val="20"/>
          <w:szCs w:val="20"/>
        </w:rPr>
        <w:t>and the incidence of eclampsia was 15.8%, in comparison to this study the incidence of acute renal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46240F" w:rsidRPr="005F3F5D">
        <w:rPr>
          <w:rFonts w:ascii="Times New Roman" w:hAnsi="Times New Roman" w:cs="Times New Roman"/>
          <w:color w:val="000000"/>
          <w:sz w:val="20"/>
          <w:szCs w:val="20"/>
        </w:rPr>
        <w:t>failure wa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>s (</w:t>
      </w:r>
      <w:r w:rsidR="0046240F" w:rsidRPr="005F3F5D">
        <w:rPr>
          <w:rFonts w:ascii="Times New Roman" w:hAnsi="Times New Roman" w:cs="Times New Roman"/>
          <w:color w:val="000000"/>
          <w:sz w:val="20"/>
          <w:szCs w:val="20"/>
        </w:rPr>
        <w:t>0.85%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46240F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nd the incidence of </w:t>
      </w:r>
      <w:r w:rsidR="0046240F"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>eclampsia wa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>s (</w:t>
      </w:r>
      <w:r w:rsidR="0046240F" w:rsidRPr="005F3F5D">
        <w:rPr>
          <w:rFonts w:ascii="Times New Roman" w:hAnsi="Times New Roman" w:cs="Times New Roman"/>
          <w:color w:val="000000"/>
          <w:sz w:val="20"/>
          <w:szCs w:val="20"/>
        </w:rPr>
        <w:t>6.41%) which is lower than the other author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53EDD" w:rsidRPr="005F3F5D" w:rsidRDefault="00B53EDD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53EDD" w:rsidRPr="005F3F5D" w:rsidRDefault="00B53EDD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Conclusion</w:t>
      </w:r>
      <w:r w:rsidR="001737B4"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5F3F5D" w:rsidRPr="005F3F5D" w:rsidRDefault="0017213C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There is a high incidence of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sever preeclampsia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at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department o</w:t>
      </w:r>
      <w:r w:rsidR="00493849" w:rsidRPr="005F3F5D">
        <w:rPr>
          <w:rFonts w:ascii="Times New Roman" w:hAnsi="Times New Roman" w:cs="Times New Roman"/>
          <w:color w:val="000000"/>
          <w:sz w:val="20"/>
          <w:szCs w:val="20"/>
        </w:rPr>
        <w:t>f Obstetrics and Gynaecology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, Aswan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University Hospital </w:t>
      </w:r>
      <w:r w:rsidR="00EF39BA" w:rsidRPr="005F3F5D">
        <w:rPr>
          <w:rFonts w:ascii="Times New Roman" w:hAnsi="Times New Roman" w:cs="Times New Roman"/>
          <w:color w:val="000000"/>
          <w:sz w:val="20"/>
          <w:szCs w:val="20"/>
        </w:rPr>
        <w:t>PET increases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the incidence of CS rate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to prevent maternal complications of PET and ET.</w:t>
      </w:r>
      <w:r w:rsidR="00EF39BA" w:rsidRPr="005F3F5D">
        <w:rPr>
          <w:rFonts w:ascii="Times New Roman" w:hAnsi="Times New Roman" w:cs="Times New Roman"/>
          <w:color w:val="000000"/>
          <w:sz w:val="20"/>
          <w:szCs w:val="20"/>
        </w:rPr>
        <w:t>CS if done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EF39BA" w:rsidRPr="005F3F5D">
        <w:rPr>
          <w:rFonts w:ascii="Times New Roman" w:hAnsi="Times New Roman" w:cs="Times New Roman"/>
          <w:color w:val="000000"/>
          <w:sz w:val="20"/>
          <w:szCs w:val="20"/>
        </w:rPr>
        <w:t>promptly leads to more favourable outcome than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EF39BA" w:rsidRPr="005F3F5D">
        <w:rPr>
          <w:rFonts w:ascii="Times New Roman" w:hAnsi="Times New Roman" w:cs="Times New Roman"/>
          <w:color w:val="000000"/>
          <w:sz w:val="20"/>
          <w:szCs w:val="20"/>
        </w:rPr>
        <w:t>conservative obstetric management with vaginal delivery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EF39BA" w:rsidRPr="005F3F5D">
        <w:rPr>
          <w:rFonts w:ascii="Times New Roman" w:hAnsi="Times New Roman" w:cs="Times New Roman"/>
          <w:color w:val="000000"/>
          <w:sz w:val="20"/>
          <w:szCs w:val="20"/>
        </w:rPr>
        <w:t>in sever PET especially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F39BA" w:rsidRPr="005F3F5D">
        <w:rPr>
          <w:rFonts w:ascii="Times New Roman" w:hAnsi="Times New Roman" w:cs="Times New Roman"/>
          <w:color w:val="000000"/>
          <w:sz w:val="20"/>
          <w:szCs w:val="20"/>
        </w:rPr>
        <w:t>in PG after 28 weeks gestation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F39BA" w:rsidRPr="005F3F5D">
        <w:rPr>
          <w:rFonts w:ascii="Times New Roman" w:hAnsi="Times New Roman" w:cs="Times New Roman"/>
          <w:color w:val="000000"/>
          <w:sz w:val="20"/>
          <w:szCs w:val="20"/>
        </w:rPr>
        <w:t>with unfavourable cervix on admission.</w:t>
      </w:r>
    </w:p>
    <w:p w:rsidR="00493849" w:rsidRPr="005F3F5D" w:rsidRDefault="00EF39BA" w:rsidP="0093577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“Caesarean section should be done at the optimum </w:t>
      </w:r>
      <w:r w:rsidR="00202430" w:rsidRPr="005F3F5D">
        <w:rPr>
          <w:rFonts w:ascii="Times New Roman" w:hAnsi="Times New Roman" w:cs="Times New Roman"/>
          <w:color w:val="000000"/>
          <w:sz w:val="20"/>
          <w:szCs w:val="20"/>
        </w:rPr>
        <w:t>time and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not as a last resort when conservative </w:t>
      </w:r>
      <w:r w:rsidR="00202430" w:rsidRPr="005F3F5D">
        <w:rPr>
          <w:rFonts w:ascii="Times New Roman" w:hAnsi="Times New Roman" w:cs="Times New Roman"/>
          <w:color w:val="000000"/>
          <w:sz w:val="20"/>
          <w:szCs w:val="20"/>
        </w:rPr>
        <w:t>management has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failed to prevent sever PET complications as eclampsia.</w:t>
      </w:r>
      <w:r w:rsidR="00493849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Termination of pregnancy by CS reduces maternal morbidity</w:t>
      </w:r>
      <w:r w:rsidR="005F3F5D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02430" w:rsidRPr="005F3F5D">
        <w:rPr>
          <w:rFonts w:ascii="Times New Roman" w:hAnsi="Times New Roman" w:cs="Times New Roman"/>
          <w:color w:val="000000"/>
          <w:sz w:val="20"/>
          <w:szCs w:val="20"/>
        </w:rPr>
        <w:t>improves maternal</w:t>
      </w:r>
      <w:r w:rsidR="00493849" w:rsidRPr="005F3F5D">
        <w:rPr>
          <w:rFonts w:ascii="Times New Roman" w:hAnsi="Times New Roman" w:cs="Times New Roman"/>
          <w:color w:val="000000"/>
          <w:sz w:val="20"/>
          <w:szCs w:val="20"/>
        </w:rPr>
        <w:t xml:space="preserve"> outcome by reducing complications.</w:t>
      </w:r>
    </w:p>
    <w:p w:rsidR="00B53EDD" w:rsidRPr="005F3F5D" w:rsidRDefault="00B53EDD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04589" w:rsidRPr="005F3F5D" w:rsidRDefault="00B53EDD" w:rsidP="0093577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References </w:t>
      </w:r>
    </w:p>
    <w:p w:rsidR="00F04589" w:rsidRPr="005F3F5D" w:rsidRDefault="00BC0AA5" w:rsidP="00935773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Kumar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S.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Anes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unnikris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an,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k.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Nagara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j.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Jayaram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Determinants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preeclampsia: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case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control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district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hospital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South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India.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Indian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journal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community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medicine.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Oct-Dec.35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(4):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502-5,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589" w:rsidRPr="005F3F5D">
        <w:rPr>
          <w:rFonts w:ascii="Times New Roman" w:hAnsi="Times New Roman" w:cs="Times New Roman"/>
          <w:color w:val="000000"/>
          <w:sz w:val="20"/>
          <w:szCs w:val="20"/>
        </w:rPr>
        <w:t>2010.</w:t>
      </w:r>
    </w:p>
    <w:p w:rsidR="00CF7C73" w:rsidRPr="005F3F5D" w:rsidRDefault="00F04589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Srinivas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SK,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Edlow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AG,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Neff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PM,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Sammel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MD,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Andrela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CM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et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al.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Rethinking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IUGR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preeclampsia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ependent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independent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maternal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hypertension?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Perinatol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2009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29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(10):680-4.</w:t>
      </w:r>
    </w:p>
    <w:p w:rsidR="00935773" w:rsidRDefault="00CF7C73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Anand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Anand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K,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Perinata</w:t>
      </w:r>
      <w:bookmarkStart w:id="0" w:name="_GoBack"/>
      <w:bookmarkEnd w:id="0"/>
      <w:r w:rsidRPr="005F3F5D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Outcome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Growth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Retarted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Babies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Born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Normotensive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ypertensive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Mothers: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Prospective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Study.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People’s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Sci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Res.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2012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(1):24-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C4230" w:rsidRPr="005F3F5D" w:rsidRDefault="00CE3E3B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Rahman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LA,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Hairi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NN,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Salleh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N.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>between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>Pregnancy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>Induced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>Hypertension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4A1B" w:rsidRPr="005F3F5D">
        <w:rPr>
          <w:rFonts w:ascii="Times New Roman" w:hAnsi="Times New Roman" w:cs="Times New Roman"/>
          <w:color w:val="000000"/>
          <w:sz w:val="20"/>
          <w:szCs w:val="20"/>
        </w:rPr>
        <w:t>Lo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irth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Weight;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Population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Based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Case-Control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Study.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Asia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Pac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Public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Health.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2008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(2):152-8.</w:t>
      </w:r>
    </w:p>
    <w:p w:rsidR="00F20186" w:rsidRPr="005F3F5D" w:rsidRDefault="00CF0194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Duck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Harringt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D.: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Risk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factors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preeclampsia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antenatal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booking: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Systematic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review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202430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controlled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studies-B.M.J.,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330: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565,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198,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58C8" w:rsidRPr="005F3F5D">
        <w:rPr>
          <w:rFonts w:ascii="Times New Roman" w:hAnsi="Times New Roman" w:cs="Times New Roman"/>
          <w:color w:val="000000"/>
          <w:sz w:val="20"/>
          <w:szCs w:val="20"/>
        </w:rPr>
        <w:t>2005.</w:t>
      </w:r>
    </w:p>
    <w:p w:rsidR="00935773" w:rsidRDefault="001C4230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Prit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umari</w:t>
      </w:r>
      <w:proofErr w:type="spellEnd"/>
      <w:r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Sipra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Singh,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Salma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Khatun</w:t>
      </w:r>
      <w:proofErr w:type="spellEnd"/>
      <w:r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Shashikar</w:t>
      </w:r>
      <w:proofErr w:type="spellEnd"/>
      <w:r w:rsidR="00B53EDD" w:rsidRPr="005F3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Comparative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vaginal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delivery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caesarean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section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antepartum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eclampsia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tertiary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care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hospita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35773"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nt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J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Reprod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Contracept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Obstet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Gynecol.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2017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Feb;6(2):457-46</w:t>
      </w:r>
      <w:r w:rsidR="00935773"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0</w:t>
      </w:r>
      <w:r w:rsidR="0093577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CF7C73" w:rsidRPr="005F3F5D" w:rsidRDefault="00F07648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Anneliesimmin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k.,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siccoscherion</w:t>
      </w:r>
      <w:proofErr w:type="spellEnd"/>
      <w:r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ronwolterbeek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D.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Wilhelm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Steyn</w:t>
      </w:r>
      <w:proofErr w:type="spellEnd"/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Seasonal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influence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admittance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preeclampsia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patients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Tygerberg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hospital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informa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health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care,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Vol.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87,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No.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1203" w:rsidRPr="005F3F5D">
        <w:rPr>
          <w:rFonts w:ascii="Times New Roman" w:hAnsi="Times New Roman" w:cs="Times New Roman"/>
          <w:color w:val="000000"/>
          <w:sz w:val="20"/>
          <w:szCs w:val="20"/>
        </w:rPr>
        <w:t>pages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36-42,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2008.</w:t>
      </w:r>
    </w:p>
    <w:p w:rsidR="0013488D" w:rsidRPr="005F3F5D" w:rsidRDefault="00F07648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>Roya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n</w:t>
      </w:r>
      <w:proofErr w:type="spellEnd"/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asiri</w:t>
      </w:r>
      <w:proofErr w:type="spellEnd"/>
      <w:r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Akram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Ahmadi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Shadmehri</w:t>
      </w:r>
      <w:proofErr w:type="spellEnd"/>
      <w:r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Peyman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Khajeh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Gbiassi</w:t>
      </w:r>
      <w:proofErr w:type="spellEnd"/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Mohammad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Sarafraz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Yazdi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Mortez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azloum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Farsi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Bafi</w:t>
      </w:r>
      <w:proofErr w:type="spellEnd"/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meteorological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factors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seasonality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preeclampsia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year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north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east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Iran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informa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health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care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posted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line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March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28,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488D" w:rsidRPr="005F3F5D">
        <w:rPr>
          <w:rFonts w:ascii="Times New Roman" w:hAnsi="Times New Roman" w:cs="Times New Roman"/>
          <w:color w:val="000000"/>
          <w:sz w:val="20"/>
          <w:szCs w:val="20"/>
        </w:rPr>
        <w:t>2014.</w:t>
      </w:r>
    </w:p>
    <w:p w:rsidR="00220F5D" w:rsidRPr="00935773" w:rsidRDefault="00220F5D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5773">
        <w:rPr>
          <w:rFonts w:ascii="Times New Roman" w:hAnsi="Times New Roman" w:cs="Times New Roman"/>
          <w:color w:val="000000"/>
          <w:sz w:val="20"/>
          <w:szCs w:val="20"/>
        </w:rPr>
        <w:t>Terefe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W,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35773">
        <w:rPr>
          <w:rFonts w:ascii="Times New Roman" w:hAnsi="Times New Roman" w:cs="Times New Roman"/>
          <w:color w:val="000000"/>
          <w:sz w:val="20"/>
          <w:szCs w:val="20"/>
        </w:rPr>
        <w:t>Getachew</w:t>
      </w:r>
      <w:proofErr w:type="spellEnd"/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Y,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35773">
        <w:rPr>
          <w:rFonts w:ascii="Times New Roman" w:hAnsi="Times New Roman" w:cs="Times New Roman"/>
          <w:color w:val="000000"/>
          <w:sz w:val="20"/>
          <w:szCs w:val="20"/>
        </w:rPr>
        <w:t>Hiruve</w:t>
      </w:r>
      <w:proofErr w:type="spellEnd"/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A,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35773">
        <w:rPr>
          <w:rFonts w:ascii="Times New Roman" w:hAnsi="Times New Roman" w:cs="Times New Roman"/>
          <w:color w:val="000000"/>
          <w:sz w:val="20"/>
          <w:szCs w:val="20"/>
        </w:rPr>
        <w:t>Derbew</w:t>
      </w:r>
      <w:proofErr w:type="spellEnd"/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M,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35773">
        <w:rPr>
          <w:rFonts w:ascii="Times New Roman" w:hAnsi="Times New Roman" w:cs="Times New Roman"/>
          <w:color w:val="000000"/>
          <w:sz w:val="20"/>
          <w:szCs w:val="20"/>
        </w:rPr>
        <w:t>Mariam</w:t>
      </w:r>
      <w:proofErr w:type="spellEnd"/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DH,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35773">
        <w:rPr>
          <w:rFonts w:ascii="Times New Roman" w:hAnsi="Times New Roman" w:cs="Times New Roman"/>
          <w:color w:val="000000"/>
          <w:sz w:val="20"/>
          <w:szCs w:val="20"/>
        </w:rPr>
        <w:t>Mammo</w:t>
      </w:r>
      <w:proofErr w:type="spellEnd"/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et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al.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Patterns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935773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hypertensive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disorders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pregnancy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associated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factors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35773">
        <w:rPr>
          <w:rFonts w:ascii="Times New Roman" w:hAnsi="Times New Roman" w:cs="Times New Roman"/>
          <w:color w:val="000000"/>
          <w:sz w:val="20"/>
          <w:szCs w:val="20"/>
        </w:rPr>
        <w:t>debreberhan</w:t>
      </w:r>
      <w:proofErr w:type="spellEnd"/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referral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hospital,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north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35773">
        <w:rPr>
          <w:rFonts w:ascii="Times New Roman" w:hAnsi="Times New Roman" w:cs="Times New Roman"/>
          <w:color w:val="000000"/>
          <w:sz w:val="20"/>
          <w:szCs w:val="20"/>
        </w:rPr>
        <w:t>shoa</w:t>
      </w:r>
      <w:proofErr w:type="spellEnd"/>
      <w:r w:rsidR="00935773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35773" w:rsidRPr="00935773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mhara</w:t>
      </w:r>
      <w:proofErr w:type="spellEnd"/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region.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Ethiop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Med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J.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2015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5F3F5D" w:rsidRP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1203" w:rsidRPr="00935773">
        <w:rPr>
          <w:rFonts w:ascii="Times New Roman" w:hAnsi="Times New Roman" w:cs="Times New Roman"/>
          <w:color w:val="000000"/>
          <w:sz w:val="20"/>
          <w:szCs w:val="20"/>
        </w:rPr>
        <w:t>2:57</w:t>
      </w:r>
      <w:r w:rsidRPr="00935773">
        <w:rPr>
          <w:rFonts w:ascii="Times New Roman" w:hAnsi="Times New Roman" w:cs="Times New Roman"/>
          <w:color w:val="000000"/>
          <w:sz w:val="20"/>
          <w:szCs w:val="20"/>
        </w:rPr>
        <w:t>-65.</w:t>
      </w:r>
    </w:p>
    <w:p w:rsidR="00935773" w:rsidRDefault="00BF5879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lastRenderedPageBreak/>
        <w:t>Nihar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Ranjan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Behera</w:t>
      </w:r>
      <w:proofErr w:type="spellEnd"/>
      <w:r w:rsidRPr="005F3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Jaiminkumar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Patel*Maternal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outcome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antepartum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eclampsia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caesarean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versus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vaginal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delivery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J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Reprod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Contracept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Obstet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Gynecol.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2018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Apr;7(4):1330-133</w:t>
      </w:r>
      <w:r w:rsidR="00935773"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  <w:r w:rsidR="0093577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935773" w:rsidRDefault="007D6498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K.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Him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indu</w:t>
      </w:r>
      <w:proofErr w:type="spellEnd"/>
      <w:r w:rsidRPr="005F3F5D">
        <w:rPr>
          <w:rFonts w:ascii="Times New Roman" w:hAnsi="Times New Roman" w:cs="Times New Roman"/>
          <w:color w:val="000000"/>
          <w:sz w:val="20"/>
          <w:szCs w:val="20"/>
        </w:rPr>
        <w:t>*,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E.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Rama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Devi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Effect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pregnancy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induced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hypertension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pregnancy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outcome: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hospital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based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cross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sectional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tertiary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care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hospita</w:t>
      </w:r>
      <w:r w:rsidR="00935773" w:rsidRPr="005F3F5D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9357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35773"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I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nt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J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Reprod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Contracept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Obstet</w:t>
      </w:r>
      <w:proofErr w:type="spellEnd"/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Gynecol.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2018</w:t>
      </w:r>
      <w:r w:rsid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May;7(5):1984-198</w:t>
      </w:r>
      <w:r w:rsidR="00935773" w:rsidRPr="005F3F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  <w:r w:rsidR="0093577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E65C6" w:rsidRPr="005F3F5D" w:rsidRDefault="00AE65C6" w:rsidP="00935773">
      <w:pPr>
        <w:pStyle w:val="ListParagraph"/>
        <w:numPr>
          <w:ilvl w:val="0"/>
          <w:numId w:val="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Adu-Bonsaffoh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K,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Ntumy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MY,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Obed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SA,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Seffah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JD.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Perinatal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outcomes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hypertensive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disorders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F5D">
        <w:rPr>
          <w:rFonts w:ascii="Times New Roman" w:hAnsi="Times New Roman" w:cs="Times New Roman"/>
          <w:color w:val="000000"/>
          <w:sz w:val="20"/>
          <w:szCs w:val="20"/>
        </w:rPr>
        <w:t>inpregnancy</w:t>
      </w:r>
      <w:proofErr w:type="spellEnd"/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tertiary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hospital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Ghana.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BMC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Pregnancy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Childbirth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2017</w:t>
      </w:r>
      <w:r w:rsidR="00E5242B" w:rsidRPr="005F3F5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5F3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5242B" w:rsidRPr="005F3F5D">
        <w:rPr>
          <w:rFonts w:ascii="Times New Roman" w:hAnsi="Times New Roman" w:cs="Times New Roman"/>
          <w:color w:val="000000"/>
          <w:sz w:val="20"/>
          <w:szCs w:val="20"/>
        </w:rPr>
        <w:t>17</w:t>
      </w:r>
      <w:r w:rsidRPr="005F3F5D">
        <w:rPr>
          <w:rFonts w:ascii="Times New Roman" w:hAnsi="Times New Roman" w:cs="Times New Roman"/>
          <w:color w:val="000000"/>
          <w:sz w:val="20"/>
          <w:szCs w:val="20"/>
        </w:rPr>
        <w:t>(1):388.</w:t>
      </w:r>
    </w:p>
    <w:p w:rsidR="00935773" w:rsidRDefault="00935773" w:rsidP="00935773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935773" w:rsidSect="00935773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F3F5D" w:rsidRPr="005F3F5D" w:rsidRDefault="005F3F5D" w:rsidP="00935773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F3F5D" w:rsidRPr="005F3F5D" w:rsidRDefault="005F3F5D" w:rsidP="00935773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cr/>
      </w:r>
    </w:p>
    <w:p w:rsidR="00B53EDD" w:rsidRPr="005F3F5D" w:rsidRDefault="005F3F5D" w:rsidP="00935773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3F5D">
        <w:rPr>
          <w:rFonts w:ascii="Times New Roman" w:hAnsi="Times New Roman" w:cs="Times New Roman"/>
          <w:color w:val="000000"/>
          <w:sz w:val="20"/>
          <w:szCs w:val="20"/>
        </w:rPr>
        <w:t>9/10/2018</w:t>
      </w:r>
    </w:p>
    <w:sectPr w:rsidR="00B53EDD" w:rsidRPr="005F3F5D" w:rsidSect="005F3F5D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E5" w:rsidRDefault="00C879E5" w:rsidP="00B53EDD">
      <w:pPr>
        <w:spacing w:after="0" w:line="240" w:lineRule="auto"/>
      </w:pPr>
      <w:r>
        <w:separator/>
      </w:r>
    </w:p>
  </w:endnote>
  <w:endnote w:type="continuationSeparator" w:id="0">
    <w:p w:rsidR="00C879E5" w:rsidRDefault="00C879E5" w:rsidP="00B5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73" w:rsidRPr="002B401B" w:rsidRDefault="00C6326E" w:rsidP="002B401B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B401B">
      <w:rPr>
        <w:rFonts w:ascii="Times New Roman" w:hAnsi="Times New Roman" w:cs="Times New Roman"/>
        <w:sz w:val="20"/>
      </w:rPr>
      <w:fldChar w:fldCharType="begin"/>
    </w:r>
    <w:r w:rsidR="002B401B" w:rsidRPr="002B401B">
      <w:rPr>
        <w:rFonts w:ascii="Times New Roman" w:hAnsi="Times New Roman" w:cs="Times New Roman"/>
        <w:sz w:val="20"/>
      </w:rPr>
      <w:instrText xml:space="preserve"> page </w:instrText>
    </w:r>
    <w:r w:rsidRPr="002B401B">
      <w:rPr>
        <w:rFonts w:ascii="Times New Roman" w:hAnsi="Times New Roman" w:cs="Times New Roman"/>
        <w:sz w:val="20"/>
      </w:rPr>
      <w:fldChar w:fldCharType="separate"/>
    </w:r>
    <w:r w:rsidR="00202430">
      <w:rPr>
        <w:rFonts w:ascii="Times New Roman" w:hAnsi="Times New Roman" w:cs="Times New Roman"/>
        <w:noProof/>
        <w:sz w:val="20"/>
      </w:rPr>
      <w:t>59</w:t>
    </w:r>
    <w:r w:rsidRPr="002B401B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E5" w:rsidRDefault="00C879E5" w:rsidP="00B53EDD">
      <w:pPr>
        <w:spacing w:after="0" w:line="240" w:lineRule="auto"/>
      </w:pPr>
      <w:r>
        <w:separator/>
      </w:r>
    </w:p>
  </w:footnote>
  <w:footnote w:type="continuationSeparator" w:id="0">
    <w:p w:rsidR="00C879E5" w:rsidRDefault="00C879E5" w:rsidP="00B5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1B" w:rsidRPr="002B401B" w:rsidRDefault="002B401B" w:rsidP="002B401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2B401B">
      <w:rPr>
        <w:rFonts w:ascii="Times New Roman" w:hAnsi="Times New Roman" w:cs="Times New Roman" w:hint="eastAsia"/>
        <w:iCs/>
        <w:color w:val="000000"/>
        <w:sz w:val="20"/>
      </w:rPr>
      <w:tab/>
    </w:r>
    <w:r w:rsidRPr="002B401B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2B401B">
      <w:rPr>
        <w:rFonts w:ascii="Times New Roman" w:hAnsi="Times New Roman" w:cs="Times New Roman"/>
        <w:iCs/>
        <w:sz w:val="20"/>
      </w:rPr>
      <w:t>201</w:t>
    </w:r>
    <w:r w:rsidRPr="002B401B">
      <w:rPr>
        <w:rFonts w:ascii="Times New Roman" w:hAnsi="Times New Roman" w:cs="Times New Roman" w:hint="eastAsia"/>
        <w:iCs/>
        <w:sz w:val="20"/>
      </w:rPr>
      <w:t>8</w:t>
    </w:r>
    <w:r w:rsidRPr="002B401B">
      <w:rPr>
        <w:rFonts w:ascii="Times New Roman" w:hAnsi="Times New Roman" w:cs="Times New Roman"/>
        <w:iCs/>
        <w:sz w:val="20"/>
      </w:rPr>
      <w:t>;</w:t>
    </w:r>
    <w:r w:rsidRPr="002B401B">
      <w:rPr>
        <w:rFonts w:ascii="Times New Roman" w:hAnsi="Times New Roman" w:cs="Times New Roman" w:hint="eastAsia"/>
        <w:iCs/>
        <w:sz w:val="20"/>
      </w:rPr>
      <w:t>8</w:t>
    </w:r>
    <w:r w:rsidRPr="002B401B">
      <w:rPr>
        <w:rFonts w:ascii="Times New Roman" w:hAnsi="Times New Roman" w:cs="Times New Roman"/>
        <w:iCs/>
        <w:sz w:val="20"/>
      </w:rPr>
      <w:t>(</w:t>
    </w:r>
    <w:r w:rsidRPr="002B401B">
      <w:rPr>
        <w:rFonts w:ascii="Times New Roman" w:hAnsi="Times New Roman" w:cs="Times New Roman" w:hint="eastAsia"/>
        <w:iCs/>
        <w:sz w:val="20"/>
      </w:rPr>
      <w:t>3</w:t>
    </w:r>
    <w:r w:rsidRPr="002B401B">
      <w:rPr>
        <w:rFonts w:ascii="Times New Roman" w:hAnsi="Times New Roman" w:cs="Times New Roman"/>
        <w:iCs/>
        <w:sz w:val="20"/>
      </w:rPr>
      <w:t xml:space="preserve">)  </w:t>
    </w:r>
    <w:r w:rsidRPr="002B401B">
      <w:rPr>
        <w:rFonts w:ascii="Times New Roman" w:hAnsi="Times New Roman" w:cs="Times New Roman" w:hint="eastAsia"/>
        <w:iCs/>
        <w:sz w:val="20"/>
      </w:rPr>
      <w:t xml:space="preserve">   </w:t>
    </w:r>
    <w:r w:rsidRPr="002B401B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2B401B">
      <w:rPr>
        <w:rFonts w:ascii="Times New Roman" w:hAnsi="Times New Roman" w:cs="Times New Roman"/>
        <w:iCs/>
        <w:sz w:val="20"/>
      </w:rPr>
      <w:t xml:space="preserve"> </w:t>
    </w:r>
    <w:r w:rsidRPr="002B401B">
      <w:rPr>
        <w:rFonts w:ascii="Times New Roman" w:hAnsi="Times New Roman" w:cs="Times New Roman"/>
        <w:sz w:val="20"/>
      </w:rPr>
      <w:t xml:space="preserve">  </w:t>
    </w:r>
    <w:hyperlink r:id="rId1" w:history="1">
      <w:r w:rsidRPr="002B401B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</w:p>
  <w:p w:rsidR="002B401B" w:rsidRPr="002B401B" w:rsidRDefault="002B401B" w:rsidP="002B401B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61FBC"/>
    <w:multiLevelType w:val="hybridMultilevel"/>
    <w:tmpl w:val="0162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37195"/>
    <w:multiLevelType w:val="hybridMultilevel"/>
    <w:tmpl w:val="0096C60E"/>
    <w:lvl w:ilvl="0" w:tplc="9618C40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4DC1"/>
    <w:rsid w:val="000472CB"/>
    <w:rsid w:val="00047344"/>
    <w:rsid w:val="000A6C6C"/>
    <w:rsid w:val="000D63F1"/>
    <w:rsid w:val="000E382C"/>
    <w:rsid w:val="0013488D"/>
    <w:rsid w:val="0014598E"/>
    <w:rsid w:val="0017213C"/>
    <w:rsid w:val="001737B4"/>
    <w:rsid w:val="00193E9E"/>
    <w:rsid w:val="001C4230"/>
    <w:rsid w:val="001D5F09"/>
    <w:rsid w:val="001E52BE"/>
    <w:rsid w:val="00202430"/>
    <w:rsid w:val="00205C1F"/>
    <w:rsid w:val="00220F5D"/>
    <w:rsid w:val="002516BA"/>
    <w:rsid w:val="00264124"/>
    <w:rsid w:val="002B401B"/>
    <w:rsid w:val="002F3394"/>
    <w:rsid w:val="00361E2A"/>
    <w:rsid w:val="00370E21"/>
    <w:rsid w:val="00394247"/>
    <w:rsid w:val="003958B7"/>
    <w:rsid w:val="003E2CD3"/>
    <w:rsid w:val="003E6B2E"/>
    <w:rsid w:val="0042398D"/>
    <w:rsid w:val="0046240F"/>
    <w:rsid w:val="00493849"/>
    <w:rsid w:val="00496C55"/>
    <w:rsid w:val="004B66C1"/>
    <w:rsid w:val="004C6716"/>
    <w:rsid w:val="004D5709"/>
    <w:rsid w:val="004D799E"/>
    <w:rsid w:val="004E73DF"/>
    <w:rsid w:val="0050056B"/>
    <w:rsid w:val="00517B0E"/>
    <w:rsid w:val="00521203"/>
    <w:rsid w:val="0053290F"/>
    <w:rsid w:val="00534B09"/>
    <w:rsid w:val="005E4DC1"/>
    <w:rsid w:val="005F3F5D"/>
    <w:rsid w:val="00623E38"/>
    <w:rsid w:val="00624D09"/>
    <w:rsid w:val="00764502"/>
    <w:rsid w:val="007B7BAF"/>
    <w:rsid w:val="007D6498"/>
    <w:rsid w:val="00885821"/>
    <w:rsid w:val="008A58C8"/>
    <w:rsid w:val="008D21CA"/>
    <w:rsid w:val="008F2315"/>
    <w:rsid w:val="0091401F"/>
    <w:rsid w:val="00931D7F"/>
    <w:rsid w:val="00935773"/>
    <w:rsid w:val="00983955"/>
    <w:rsid w:val="009B034C"/>
    <w:rsid w:val="009B6FBA"/>
    <w:rsid w:val="00A24A6B"/>
    <w:rsid w:val="00A26E97"/>
    <w:rsid w:val="00A43654"/>
    <w:rsid w:val="00AC3926"/>
    <w:rsid w:val="00AE530F"/>
    <w:rsid w:val="00AE65C6"/>
    <w:rsid w:val="00B0143F"/>
    <w:rsid w:val="00B1153A"/>
    <w:rsid w:val="00B35DE4"/>
    <w:rsid w:val="00B406C2"/>
    <w:rsid w:val="00B53EDD"/>
    <w:rsid w:val="00B55D1E"/>
    <w:rsid w:val="00BC0AA5"/>
    <w:rsid w:val="00BE2A6A"/>
    <w:rsid w:val="00BF5879"/>
    <w:rsid w:val="00C44234"/>
    <w:rsid w:val="00C559C4"/>
    <w:rsid w:val="00C6326E"/>
    <w:rsid w:val="00C879E5"/>
    <w:rsid w:val="00CE3E3B"/>
    <w:rsid w:val="00CE55D5"/>
    <w:rsid w:val="00CF0194"/>
    <w:rsid w:val="00CF7C73"/>
    <w:rsid w:val="00D31D57"/>
    <w:rsid w:val="00D92A48"/>
    <w:rsid w:val="00DA2216"/>
    <w:rsid w:val="00DC4D09"/>
    <w:rsid w:val="00DF5987"/>
    <w:rsid w:val="00E5242B"/>
    <w:rsid w:val="00ED4F06"/>
    <w:rsid w:val="00EE36D7"/>
    <w:rsid w:val="00EF2D10"/>
    <w:rsid w:val="00EF39BA"/>
    <w:rsid w:val="00F04589"/>
    <w:rsid w:val="00F07648"/>
    <w:rsid w:val="00F11B31"/>
    <w:rsid w:val="00F151E1"/>
    <w:rsid w:val="00F20186"/>
    <w:rsid w:val="00F46D11"/>
    <w:rsid w:val="00F94A1B"/>
    <w:rsid w:val="00FA02A3"/>
    <w:rsid w:val="00FA1B41"/>
    <w:rsid w:val="00FC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21CA"/>
    <w:rPr>
      <w:rFonts w:ascii="TimesNewRomanPS-BoldMT" w:hAnsi="TimesNewRomanPS-BoldMT" w:hint="default"/>
      <w:b/>
      <w:bCs/>
      <w:i w:val="0"/>
      <w:iCs w:val="0"/>
      <w:color w:val="184933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02A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3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EDD"/>
  </w:style>
  <w:style w:type="paragraph" w:styleId="Footer">
    <w:name w:val="footer"/>
    <w:basedOn w:val="Normal"/>
    <w:link w:val="FooterChar"/>
    <w:uiPriority w:val="99"/>
    <w:semiHidden/>
    <w:unhideWhenUsed/>
    <w:rsid w:val="00B53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EDD"/>
  </w:style>
  <w:style w:type="paragraph" w:styleId="NoSpacing">
    <w:name w:val="No Spacing"/>
    <w:link w:val="NoSpacingChar"/>
    <w:qFormat/>
    <w:rsid w:val="00B53ED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NoSpacingChar">
    <w:name w:val="No Spacing Char"/>
    <w:link w:val="NoSpacing"/>
    <w:locked/>
    <w:rsid w:val="00B53ED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msonormal0">
    <w:name w:val="msonormal0"/>
    <w:basedOn w:val="DefaultParagraphFont"/>
    <w:rsid w:val="00935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21CA"/>
    <w:rPr>
      <w:rFonts w:ascii="TimesNewRomanPS-BoldMT" w:hAnsi="TimesNewRomanPS-BoldMT" w:hint="default"/>
      <w:b/>
      <w:bCs/>
      <w:i w:val="0"/>
      <w:iCs w:val="0"/>
      <w:color w:val="184933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02A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ailaezzat97200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80318.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Laila Ezzat</dc:creator>
  <cp:lastModifiedBy>Administrator</cp:lastModifiedBy>
  <cp:revision>3</cp:revision>
  <dcterms:created xsi:type="dcterms:W3CDTF">2018-09-12T14:11:00Z</dcterms:created>
  <dcterms:modified xsi:type="dcterms:W3CDTF">2018-09-13T02:29:00Z</dcterms:modified>
</cp:coreProperties>
</file>