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356B" w:rsidRPr="00655CB2" w:rsidRDefault="00CA46B3" w:rsidP="00655CB2">
      <w:pPr>
        <w:autoSpaceDE w:val="0"/>
        <w:autoSpaceDN w:val="0"/>
        <w:bidi w:val="0"/>
        <w:adjustRightInd w:val="0"/>
        <w:snapToGri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Impact of B</w:t>
      </w:r>
      <w:r w:rsidR="006F5655" w:rsidRPr="00655CB2">
        <w:rPr>
          <w:rFonts w:ascii="Times New Roman" w:hAnsi="Times New Roman" w:cs="Times New Roman"/>
          <w:b/>
          <w:bCs/>
          <w:sz w:val="20"/>
          <w:szCs w:val="20"/>
        </w:rPr>
        <w:t xml:space="preserve">reast Cancer Molecular Subtypes on the Incidence of </w:t>
      </w:r>
      <w:r w:rsidR="0078406C" w:rsidRPr="00655CB2">
        <w:rPr>
          <w:rFonts w:ascii="Times New Roman" w:hAnsi="Times New Roman" w:cs="Times New Roman"/>
          <w:b/>
          <w:bCs/>
          <w:sz w:val="20"/>
          <w:szCs w:val="20"/>
        </w:rPr>
        <w:t>Axillary</w:t>
      </w:r>
      <w:r w:rsidR="0078406C">
        <w:rPr>
          <w:rFonts w:ascii="Times New Roman" w:hAnsi="Times New Roman" w:cs="Times New Roman"/>
          <w:b/>
          <w:bCs/>
          <w:sz w:val="20"/>
          <w:szCs w:val="20"/>
        </w:rPr>
        <w:t xml:space="preserve"> l</w:t>
      </w:r>
      <w:r w:rsidR="0078406C" w:rsidRPr="00655CB2">
        <w:rPr>
          <w:rFonts w:ascii="Times New Roman" w:hAnsi="Times New Roman" w:cs="Times New Roman"/>
          <w:b/>
          <w:bCs/>
          <w:sz w:val="20"/>
          <w:szCs w:val="20"/>
        </w:rPr>
        <w:t>ymph</w:t>
      </w:r>
      <w:r w:rsidR="006F5655" w:rsidRPr="00655CB2">
        <w:rPr>
          <w:rFonts w:ascii="Times New Roman" w:hAnsi="Times New Roman" w:cs="Times New Roman"/>
          <w:b/>
          <w:bCs/>
          <w:sz w:val="20"/>
          <w:szCs w:val="20"/>
        </w:rPr>
        <w:t xml:space="preserve"> Nodes Metastases</w:t>
      </w:r>
    </w:p>
    <w:p w:rsidR="001C356B" w:rsidRPr="00655CB2" w:rsidRDefault="001C356B" w:rsidP="00655CB2">
      <w:pPr>
        <w:autoSpaceDE w:val="0"/>
        <w:autoSpaceDN w:val="0"/>
        <w:bidi w:val="0"/>
        <w:adjustRightInd w:val="0"/>
        <w:snapToGrid w:val="0"/>
        <w:spacing w:after="0" w:line="240" w:lineRule="auto"/>
        <w:jc w:val="center"/>
        <w:rPr>
          <w:rFonts w:ascii="Times New Roman" w:hAnsi="Times New Roman" w:cs="Times New Roman"/>
          <w:b/>
          <w:bCs/>
          <w:sz w:val="20"/>
          <w:szCs w:val="20"/>
        </w:rPr>
      </w:pPr>
    </w:p>
    <w:p w:rsidR="001C356B" w:rsidRPr="00655CB2" w:rsidRDefault="007D76C2" w:rsidP="00655CB2">
      <w:pPr>
        <w:autoSpaceDE w:val="0"/>
        <w:autoSpaceDN w:val="0"/>
        <w:bidi w:val="0"/>
        <w:adjustRightInd w:val="0"/>
        <w:snapToGrid w:val="0"/>
        <w:spacing w:after="0" w:line="240" w:lineRule="auto"/>
        <w:jc w:val="center"/>
        <w:rPr>
          <w:rFonts w:ascii="Times New Roman" w:hAnsi="Times New Roman" w:cs="Times New Roman"/>
          <w:bCs/>
          <w:sz w:val="20"/>
          <w:szCs w:val="20"/>
          <w:vertAlign w:val="superscript"/>
          <w:lang w:eastAsia="zh-CN"/>
        </w:rPr>
      </w:pPr>
      <w:r w:rsidRPr="00655CB2">
        <w:rPr>
          <w:rFonts w:ascii="Times New Roman" w:hAnsi="Times New Roman" w:cs="Times New Roman"/>
          <w:sz w:val="20"/>
          <w:szCs w:val="20"/>
        </w:rPr>
        <w:t>Emad Sadaka</w:t>
      </w:r>
      <w:r w:rsidR="007B6F40" w:rsidRPr="00655CB2">
        <w:rPr>
          <w:rFonts w:ascii="Times New Roman" w:hAnsi="Times New Roman" w:cs="Times New Roman"/>
          <w:sz w:val="20"/>
          <w:szCs w:val="20"/>
          <w:vertAlign w:val="superscript"/>
        </w:rPr>
        <w:t>1</w:t>
      </w:r>
      <w:r w:rsidR="00F11597" w:rsidRPr="00655CB2">
        <w:rPr>
          <w:rFonts w:ascii="Times New Roman" w:hAnsi="Times New Roman" w:cs="Times New Roman"/>
          <w:sz w:val="20"/>
          <w:szCs w:val="20"/>
        </w:rPr>
        <w:t xml:space="preserve"> and </w:t>
      </w:r>
      <w:r w:rsidRPr="00655CB2">
        <w:rPr>
          <w:rFonts w:ascii="Times New Roman" w:hAnsi="Times New Roman" w:cs="Times New Roman"/>
          <w:sz w:val="20"/>
          <w:szCs w:val="20"/>
        </w:rPr>
        <w:t>Walid Almorsy</w:t>
      </w:r>
      <w:r w:rsidR="007B6F40" w:rsidRPr="00655CB2">
        <w:rPr>
          <w:rFonts w:ascii="Times New Roman" w:hAnsi="Times New Roman" w:cs="Times New Roman"/>
          <w:bCs/>
          <w:sz w:val="20"/>
          <w:szCs w:val="20"/>
          <w:vertAlign w:val="superscript"/>
        </w:rPr>
        <w:t>2</w:t>
      </w:r>
    </w:p>
    <w:p w:rsidR="001C356B" w:rsidRPr="00655CB2" w:rsidRDefault="001C356B" w:rsidP="00655CB2">
      <w:pPr>
        <w:autoSpaceDE w:val="0"/>
        <w:autoSpaceDN w:val="0"/>
        <w:bidi w:val="0"/>
        <w:adjustRightInd w:val="0"/>
        <w:snapToGrid w:val="0"/>
        <w:spacing w:after="0" w:line="240" w:lineRule="auto"/>
        <w:jc w:val="center"/>
        <w:rPr>
          <w:rFonts w:ascii="Times New Roman" w:hAnsi="Times New Roman" w:cs="Times New Roman"/>
          <w:b/>
          <w:bCs/>
          <w:sz w:val="20"/>
          <w:szCs w:val="20"/>
          <w:vertAlign w:val="superscript"/>
          <w:lang w:eastAsia="zh-CN"/>
        </w:rPr>
      </w:pPr>
    </w:p>
    <w:p w:rsidR="006F5655" w:rsidRPr="00655CB2" w:rsidRDefault="006F5655" w:rsidP="00655CB2">
      <w:pPr>
        <w:autoSpaceDE w:val="0"/>
        <w:autoSpaceDN w:val="0"/>
        <w:bidi w:val="0"/>
        <w:adjustRightInd w:val="0"/>
        <w:snapToGrid w:val="0"/>
        <w:spacing w:after="0" w:line="240" w:lineRule="auto"/>
        <w:jc w:val="center"/>
        <w:rPr>
          <w:rFonts w:ascii="Times New Roman" w:hAnsi="Times New Roman" w:cs="Times New Roman"/>
          <w:sz w:val="20"/>
          <w:szCs w:val="20"/>
        </w:rPr>
      </w:pPr>
      <w:r w:rsidRPr="00655CB2">
        <w:rPr>
          <w:rFonts w:ascii="Times New Roman" w:hAnsi="Times New Roman" w:cs="Times New Roman"/>
          <w:sz w:val="20"/>
          <w:szCs w:val="20"/>
          <w:vertAlign w:val="superscript"/>
        </w:rPr>
        <w:t>1</w:t>
      </w:r>
      <w:r w:rsidR="007B6F40" w:rsidRPr="00655CB2">
        <w:rPr>
          <w:rFonts w:ascii="Times New Roman" w:hAnsi="Times New Roman" w:cs="Times New Roman"/>
          <w:sz w:val="20"/>
          <w:szCs w:val="20"/>
        </w:rPr>
        <w:t>Clinical Oncology Depart</w:t>
      </w:r>
      <w:r w:rsidR="007D76C2" w:rsidRPr="00655CB2">
        <w:rPr>
          <w:rFonts w:ascii="Times New Roman" w:hAnsi="Times New Roman" w:cs="Times New Roman"/>
          <w:sz w:val="20"/>
          <w:szCs w:val="20"/>
        </w:rPr>
        <w:t>ment, Faculty of Medicine, Kafer</w:t>
      </w:r>
      <w:r w:rsidR="00AB35B5">
        <w:rPr>
          <w:rFonts w:ascii="Times New Roman" w:hAnsi="Times New Roman" w:cs="Times New Roman"/>
          <w:sz w:val="20"/>
          <w:szCs w:val="20"/>
        </w:rPr>
        <w:t xml:space="preserve"> </w:t>
      </w:r>
      <w:r w:rsidR="007D76C2" w:rsidRPr="00655CB2">
        <w:rPr>
          <w:rFonts w:ascii="Times New Roman" w:hAnsi="Times New Roman" w:cs="Times New Roman"/>
          <w:sz w:val="20"/>
          <w:szCs w:val="20"/>
        </w:rPr>
        <w:t>Elsheikh</w:t>
      </w:r>
      <w:r w:rsidR="00AB35B5">
        <w:rPr>
          <w:rFonts w:ascii="Times New Roman" w:hAnsi="Times New Roman" w:cs="Times New Roman"/>
          <w:sz w:val="20"/>
          <w:szCs w:val="20"/>
        </w:rPr>
        <w:t xml:space="preserve"> </w:t>
      </w:r>
      <w:r w:rsidRPr="00655CB2">
        <w:rPr>
          <w:rFonts w:ascii="Times New Roman" w:hAnsi="Times New Roman" w:cs="Times New Roman"/>
          <w:sz w:val="20"/>
          <w:szCs w:val="20"/>
        </w:rPr>
        <w:t>University</w:t>
      </w:r>
      <w:r w:rsidR="007D76C2" w:rsidRPr="00655CB2">
        <w:rPr>
          <w:rFonts w:ascii="Times New Roman" w:hAnsi="Times New Roman" w:cs="Times New Roman"/>
          <w:sz w:val="20"/>
          <w:szCs w:val="20"/>
        </w:rPr>
        <w:t xml:space="preserve">, </w:t>
      </w:r>
      <w:r w:rsidRPr="00655CB2">
        <w:rPr>
          <w:rFonts w:ascii="Times New Roman" w:hAnsi="Times New Roman" w:cs="Times New Roman"/>
          <w:sz w:val="20"/>
          <w:szCs w:val="20"/>
        </w:rPr>
        <w:t>Egypt</w:t>
      </w:r>
    </w:p>
    <w:p w:rsidR="006F5655" w:rsidRPr="00655CB2" w:rsidRDefault="006F5655" w:rsidP="00655CB2">
      <w:pPr>
        <w:autoSpaceDE w:val="0"/>
        <w:autoSpaceDN w:val="0"/>
        <w:bidi w:val="0"/>
        <w:adjustRightInd w:val="0"/>
        <w:snapToGrid w:val="0"/>
        <w:spacing w:after="0" w:line="240" w:lineRule="auto"/>
        <w:jc w:val="center"/>
        <w:rPr>
          <w:rFonts w:ascii="Times New Roman" w:hAnsi="Times New Roman" w:cs="Times New Roman"/>
          <w:sz w:val="20"/>
          <w:szCs w:val="20"/>
        </w:rPr>
      </w:pPr>
      <w:r w:rsidRPr="00655CB2">
        <w:rPr>
          <w:rFonts w:ascii="Times New Roman" w:hAnsi="Times New Roman" w:cs="Times New Roman"/>
          <w:sz w:val="20"/>
          <w:szCs w:val="20"/>
          <w:vertAlign w:val="superscript"/>
        </w:rPr>
        <w:t>2</w:t>
      </w:r>
      <w:r w:rsidRPr="00655CB2">
        <w:rPr>
          <w:rFonts w:ascii="Times New Roman" w:hAnsi="Times New Roman" w:cs="Times New Roman"/>
          <w:sz w:val="20"/>
          <w:szCs w:val="20"/>
        </w:rPr>
        <w:t xml:space="preserve">Clinical Oncology Department, Faculty of Medicine, </w:t>
      </w:r>
      <w:r w:rsidR="007D76C2" w:rsidRPr="00655CB2">
        <w:rPr>
          <w:rFonts w:ascii="Times New Roman" w:hAnsi="Times New Roman" w:cs="Times New Roman"/>
          <w:sz w:val="20"/>
          <w:szCs w:val="20"/>
        </w:rPr>
        <w:t xml:space="preserve">Tanta </w:t>
      </w:r>
      <w:r w:rsidRPr="00655CB2">
        <w:rPr>
          <w:rFonts w:ascii="Times New Roman" w:hAnsi="Times New Roman" w:cs="Times New Roman"/>
          <w:sz w:val="20"/>
          <w:szCs w:val="20"/>
        </w:rPr>
        <w:t>University, Egypt</w:t>
      </w:r>
    </w:p>
    <w:p w:rsidR="001C356B" w:rsidRPr="00655CB2" w:rsidRDefault="007B044B" w:rsidP="00655CB2">
      <w:pPr>
        <w:bidi w:val="0"/>
        <w:snapToGrid w:val="0"/>
        <w:spacing w:after="0" w:line="240" w:lineRule="auto"/>
        <w:jc w:val="center"/>
        <w:rPr>
          <w:rFonts w:ascii="Times New Roman" w:hAnsi="Times New Roman" w:cs="Times New Roman"/>
          <w:b/>
          <w:bCs/>
          <w:sz w:val="20"/>
          <w:szCs w:val="20"/>
        </w:rPr>
      </w:pPr>
      <w:hyperlink r:id="rId8" w:history="1">
        <w:r w:rsidR="005B5B0B" w:rsidRPr="00655CB2">
          <w:rPr>
            <w:rStyle w:val="Hyperlink"/>
            <w:rFonts w:ascii="Times New Roman" w:hAnsi="Times New Roman" w:cs="Times New Roman"/>
            <w:sz w:val="20"/>
          </w:rPr>
          <w:t>e_sadaka@hotmail.com</w:t>
        </w:r>
      </w:hyperlink>
    </w:p>
    <w:p w:rsidR="001C356B" w:rsidRPr="00655CB2" w:rsidRDefault="001C356B" w:rsidP="00655CB2">
      <w:pPr>
        <w:bidi w:val="0"/>
        <w:snapToGrid w:val="0"/>
        <w:spacing w:after="0" w:line="240" w:lineRule="auto"/>
        <w:jc w:val="center"/>
        <w:rPr>
          <w:rFonts w:ascii="Times New Roman" w:hAnsi="Times New Roman" w:cs="Times New Roman"/>
          <w:b/>
          <w:bCs/>
          <w:sz w:val="20"/>
          <w:szCs w:val="20"/>
        </w:rPr>
      </w:pPr>
    </w:p>
    <w:p w:rsidR="001C356B" w:rsidRPr="00655CB2" w:rsidRDefault="00F11597" w:rsidP="00655CB2">
      <w:pPr>
        <w:bidi w:val="0"/>
        <w:snapToGrid w:val="0"/>
        <w:spacing w:after="0" w:line="240" w:lineRule="auto"/>
        <w:jc w:val="both"/>
        <w:rPr>
          <w:rFonts w:ascii="Times New Roman" w:eastAsia="Times New Roman" w:hAnsi="Times New Roman" w:cs="Times New Roman"/>
          <w:sz w:val="20"/>
          <w:szCs w:val="20"/>
          <w:lang w:bidi="ar-EG"/>
        </w:rPr>
      </w:pPr>
      <w:r w:rsidRPr="00655CB2">
        <w:rPr>
          <w:rFonts w:ascii="Times New Roman" w:hAnsi="Times New Roman" w:cs="Times New Roman"/>
          <w:b/>
          <w:bCs/>
          <w:sz w:val="20"/>
          <w:szCs w:val="20"/>
        </w:rPr>
        <w:t xml:space="preserve">Abstract: </w:t>
      </w:r>
      <w:r w:rsidR="00E54560" w:rsidRPr="00655CB2">
        <w:rPr>
          <w:rFonts w:ascii="Times New Roman" w:hAnsi="Times New Roman" w:cs="Times New Roman"/>
          <w:b/>
          <w:bCs/>
          <w:sz w:val="20"/>
          <w:szCs w:val="20"/>
        </w:rPr>
        <w:t xml:space="preserve">Purpose: </w:t>
      </w:r>
      <w:r w:rsidR="00E54560" w:rsidRPr="00655CB2">
        <w:rPr>
          <w:rFonts w:ascii="Times New Roman" w:hAnsi="Times New Roman" w:cs="Times New Roman"/>
          <w:sz w:val="20"/>
          <w:szCs w:val="20"/>
        </w:rPr>
        <w:t>Breast cancer has at least four molecular subtypes</w:t>
      </w:r>
      <w:r w:rsidR="00E54560" w:rsidRPr="00655CB2">
        <w:rPr>
          <w:rFonts w:ascii="Times New Roman" w:eastAsia="MS Mincho" w:hAnsi="Times New Roman" w:cs="Times New Roman"/>
          <w:sz w:val="20"/>
          <w:szCs w:val="20"/>
        </w:rPr>
        <w:t xml:space="preserve"> with significant differences in prognosis and ALN involvement.</w:t>
      </w:r>
      <w:r w:rsidR="00E54560" w:rsidRPr="00655CB2">
        <w:rPr>
          <w:rFonts w:ascii="Times New Roman" w:hAnsi="Times New Roman" w:cs="Times New Roman"/>
          <w:sz w:val="20"/>
          <w:szCs w:val="20"/>
        </w:rPr>
        <w:t xml:space="preserve">This study aimed to investigate the impactof breast cancer molecular subtypes on the incidence of axillarylymph nodes metastases Methods: </w:t>
      </w:r>
      <w:r w:rsidR="00E54560" w:rsidRPr="00655CB2">
        <w:rPr>
          <w:rFonts w:ascii="Times New Roman" w:eastAsia="MS Mincho" w:hAnsi="Times New Roman" w:cs="Times New Roman"/>
          <w:sz w:val="20"/>
          <w:szCs w:val="20"/>
        </w:rPr>
        <w:t>Three hundred and twenty</w:t>
      </w:r>
      <w:r w:rsidR="005F5228" w:rsidRPr="00655CB2">
        <w:rPr>
          <w:rFonts w:ascii="Times New Roman" w:hAnsi="Times New Roman" w:cs="Times New Roman" w:hint="eastAsia"/>
          <w:sz w:val="20"/>
          <w:szCs w:val="20"/>
          <w:lang w:eastAsia="zh-CN"/>
        </w:rPr>
        <w:t>-</w:t>
      </w:r>
      <w:r w:rsidR="00E54560" w:rsidRPr="00655CB2">
        <w:rPr>
          <w:rFonts w:ascii="Times New Roman" w:eastAsia="MS Mincho" w:hAnsi="Times New Roman" w:cs="Times New Roman"/>
          <w:sz w:val="20"/>
          <w:szCs w:val="20"/>
        </w:rPr>
        <w:t>nine</w:t>
      </w:r>
      <w:r w:rsidR="00E54560" w:rsidRPr="00655CB2">
        <w:rPr>
          <w:rFonts w:ascii="Times New Roman" w:hAnsi="Times New Roman" w:cs="Times New Roman"/>
          <w:sz w:val="20"/>
          <w:szCs w:val="20"/>
        </w:rPr>
        <w:t>female patients with invasive breast cancer were included in this study.</w:t>
      </w:r>
      <w:r w:rsidR="00E54560" w:rsidRPr="00655CB2">
        <w:rPr>
          <w:rFonts w:ascii="Times New Roman" w:eastAsia="MS Mincho" w:hAnsi="Times New Roman" w:cs="Times New Roman"/>
          <w:sz w:val="20"/>
          <w:szCs w:val="20"/>
        </w:rPr>
        <w:t xml:space="preserve"> Age at diagnosis, menopausal status, tumor size, type and grade, lymph node status and molecular subtypes were recorded. Four major molecular subtypes were classified, Luminal A; Luminal B, HER2+ and triple negative. </w:t>
      </w:r>
      <w:r w:rsidR="00E54560" w:rsidRPr="00655CB2">
        <w:rPr>
          <w:rFonts w:ascii="Times New Roman" w:hAnsi="Times New Roman" w:cs="Times New Roman"/>
          <w:sz w:val="20"/>
          <w:szCs w:val="20"/>
        </w:rPr>
        <w:t>Results</w:t>
      </w:r>
      <w:r w:rsidR="00E54560" w:rsidRPr="00655CB2">
        <w:rPr>
          <w:rFonts w:ascii="Times New Roman" w:hAnsi="Times New Roman" w:cs="Times New Roman"/>
          <w:i/>
          <w:iCs/>
          <w:sz w:val="20"/>
          <w:szCs w:val="20"/>
        </w:rPr>
        <w:t xml:space="preserve">: </w:t>
      </w:r>
      <w:r w:rsidR="00E54560" w:rsidRPr="00655CB2">
        <w:rPr>
          <w:rFonts w:ascii="Times New Roman" w:eastAsia="MS Mincho" w:hAnsi="Times New Roman" w:cs="Times New Roman"/>
          <w:sz w:val="20"/>
          <w:szCs w:val="20"/>
        </w:rPr>
        <w:t>The mean age was 51.34 years old.Most of patients (86.9%) have Invasive ductal carcinoma. One hundred sixty four (49.5%) patients had node negative disease while 166 (50.5%) had node positive disease. Luminal A molecular subtype was recorded in 87 patients (26.4%), luminal B 163 patients (49.5%), HER-2+ 35 patients (10.6%) and TNBC 44 patients (13.5%)</w:t>
      </w:r>
      <w:r w:rsidR="00655CB2" w:rsidRPr="00655CB2">
        <w:rPr>
          <w:rFonts w:ascii="Times New Roman" w:eastAsia="MS Mincho" w:hAnsi="Times New Roman" w:cs="Times New Roman"/>
          <w:sz w:val="20"/>
          <w:szCs w:val="20"/>
        </w:rPr>
        <w:t>.T</w:t>
      </w:r>
      <w:r w:rsidR="00E54560" w:rsidRPr="00655CB2">
        <w:rPr>
          <w:rFonts w:ascii="Times New Roman" w:eastAsia="MS Mincho" w:hAnsi="Times New Roman" w:cs="Times New Roman"/>
          <w:sz w:val="20"/>
          <w:szCs w:val="20"/>
        </w:rPr>
        <w:t>here are differences in ALN positivity by molecular subtypes, node positive disease wa</w:t>
      </w:r>
      <w:r w:rsidR="001C356B" w:rsidRPr="00655CB2">
        <w:rPr>
          <w:rFonts w:ascii="Times New Roman" w:eastAsia="MS Mincho" w:hAnsi="Times New Roman" w:cs="Times New Roman"/>
          <w:sz w:val="20"/>
          <w:szCs w:val="20"/>
        </w:rPr>
        <w:t>s (</w:t>
      </w:r>
      <w:r w:rsidR="00E54560" w:rsidRPr="00655CB2">
        <w:rPr>
          <w:rFonts w:ascii="Times New Roman" w:eastAsia="MS Mincho" w:hAnsi="Times New Roman" w:cs="Times New Roman"/>
          <w:sz w:val="20"/>
          <w:szCs w:val="20"/>
        </w:rPr>
        <w:t>11.5%) among luminal A patients, luminal B patient</w:t>
      </w:r>
      <w:r w:rsidR="001C356B" w:rsidRPr="00655CB2">
        <w:rPr>
          <w:rFonts w:ascii="Times New Roman" w:eastAsia="MS Mincho" w:hAnsi="Times New Roman" w:cs="Times New Roman"/>
          <w:sz w:val="20"/>
          <w:szCs w:val="20"/>
        </w:rPr>
        <w:t>s (</w:t>
      </w:r>
      <w:r w:rsidR="00E54560" w:rsidRPr="00655CB2">
        <w:rPr>
          <w:rFonts w:ascii="Times New Roman" w:eastAsia="MS Mincho" w:hAnsi="Times New Roman" w:cs="Times New Roman"/>
          <w:sz w:val="20"/>
          <w:szCs w:val="20"/>
        </w:rPr>
        <w:t>66.9%), HER2+ (91.4%) and TNBC (34.1%). There were significant correlation between molecular subtypes and nodal status (p=0.03 for luminal B and &lt;0.001 for luminal A, HER 2</w:t>
      </w:r>
      <w:r w:rsidR="00E54560" w:rsidRPr="00655CB2">
        <w:rPr>
          <w:rFonts w:ascii="Times New Roman" w:eastAsia="Times New Roman" w:hAnsi="Times New Roman" w:cs="Times New Roman"/>
          <w:sz w:val="20"/>
          <w:szCs w:val="20"/>
        </w:rPr>
        <w:t xml:space="preserve"> positive</w:t>
      </w:r>
      <w:r w:rsidR="00E54560" w:rsidRPr="00655CB2">
        <w:rPr>
          <w:rFonts w:ascii="Times New Roman" w:eastAsia="MS Mincho" w:hAnsi="Times New Roman" w:cs="Times New Roman"/>
          <w:sz w:val="20"/>
          <w:szCs w:val="20"/>
        </w:rPr>
        <w:t xml:space="preserve"> and triple negative)</w:t>
      </w:r>
      <w:r w:rsidR="00655CB2" w:rsidRPr="00655CB2">
        <w:rPr>
          <w:rFonts w:ascii="Times New Roman" w:eastAsia="MS Mincho" w:hAnsi="Times New Roman" w:cs="Times New Roman"/>
          <w:sz w:val="20"/>
          <w:szCs w:val="20"/>
        </w:rPr>
        <w:t>.</w:t>
      </w:r>
      <w:r w:rsidR="00655CB2" w:rsidRPr="00655CB2">
        <w:rPr>
          <w:rFonts w:ascii="Times New Roman" w:hAnsi="Times New Roman" w:cs="Times New Roman"/>
          <w:sz w:val="20"/>
          <w:szCs w:val="20"/>
        </w:rPr>
        <w:t>C</w:t>
      </w:r>
      <w:r w:rsidR="00E54560" w:rsidRPr="00655CB2">
        <w:rPr>
          <w:rFonts w:ascii="Times New Roman" w:hAnsi="Times New Roman" w:cs="Times New Roman"/>
          <w:sz w:val="20"/>
          <w:szCs w:val="20"/>
        </w:rPr>
        <w:t xml:space="preserve">onclusion: </w:t>
      </w:r>
      <w:r w:rsidR="00E54560" w:rsidRPr="00655CB2">
        <w:rPr>
          <w:rFonts w:ascii="Times New Roman" w:eastAsia="Times New Roman" w:hAnsi="Times New Roman" w:cs="Times New Roman"/>
          <w:sz w:val="20"/>
          <w:szCs w:val="20"/>
        </w:rPr>
        <w:t>luminal B and HER2+ve breast cancer subtypes were more likely to be associated with ALNM. Also, tumor size and agrade, LVI and ki67 were correlated with lymph node status. Further confirmatory studies are necessary to define factors that predict ALN metastases.</w:t>
      </w:r>
    </w:p>
    <w:p w:rsidR="00655CB2" w:rsidRPr="00655CB2" w:rsidRDefault="00655CB2" w:rsidP="00655CB2">
      <w:pPr>
        <w:autoSpaceDE w:val="0"/>
        <w:autoSpaceDN w:val="0"/>
        <w:bidi w:val="0"/>
        <w:adjustRightInd w:val="0"/>
        <w:snapToGrid w:val="0"/>
        <w:spacing w:after="0" w:line="240" w:lineRule="auto"/>
        <w:jc w:val="both"/>
        <w:rPr>
          <w:rFonts w:ascii="Times New Roman" w:hAnsi="Times New Roman" w:cs="Times New Roman"/>
          <w:b/>
          <w:bCs/>
          <w:sz w:val="20"/>
          <w:szCs w:val="20"/>
        </w:rPr>
      </w:pPr>
      <w:r w:rsidRPr="00655CB2">
        <w:rPr>
          <w:rFonts w:ascii="Times New Roman" w:hAnsi="Times New Roman" w:cs="Times New Roman" w:hint="eastAsia"/>
          <w:b/>
          <w:sz w:val="20"/>
          <w:szCs w:val="20"/>
          <w:lang w:val="en-GB"/>
        </w:rPr>
        <w:t>[</w:t>
      </w:r>
      <w:r w:rsidRPr="00655CB2">
        <w:rPr>
          <w:rFonts w:ascii="Times New Roman" w:hAnsi="Times New Roman" w:cs="Times New Roman"/>
          <w:sz w:val="20"/>
          <w:szCs w:val="20"/>
        </w:rPr>
        <w:t>Emad</w:t>
      </w:r>
      <w:r w:rsidR="00AB35B5">
        <w:rPr>
          <w:rFonts w:ascii="Times New Roman" w:hAnsi="Times New Roman" w:cs="Times New Roman"/>
          <w:sz w:val="20"/>
          <w:szCs w:val="20"/>
        </w:rPr>
        <w:t xml:space="preserve"> </w:t>
      </w:r>
      <w:r w:rsidRPr="00655CB2">
        <w:rPr>
          <w:rFonts w:ascii="Times New Roman" w:hAnsi="Times New Roman" w:cs="Times New Roman"/>
          <w:sz w:val="20"/>
          <w:szCs w:val="20"/>
        </w:rPr>
        <w:t>Sadaka</w:t>
      </w:r>
      <w:r w:rsidR="00AB35B5">
        <w:rPr>
          <w:rFonts w:ascii="Times New Roman" w:hAnsi="Times New Roman" w:cs="Times New Roman"/>
          <w:sz w:val="20"/>
          <w:szCs w:val="20"/>
        </w:rPr>
        <w:t xml:space="preserve"> </w:t>
      </w:r>
      <w:r w:rsidRPr="00655CB2">
        <w:rPr>
          <w:rFonts w:ascii="Times New Roman" w:hAnsi="Times New Roman" w:cs="Times New Roman"/>
          <w:sz w:val="20"/>
          <w:szCs w:val="20"/>
        </w:rPr>
        <w:t>and WalidAlmorsy.</w:t>
      </w:r>
      <w:r w:rsidR="00AB35B5">
        <w:rPr>
          <w:rFonts w:ascii="Times New Roman" w:hAnsi="Times New Roman" w:cs="Times New Roman"/>
          <w:sz w:val="20"/>
          <w:szCs w:val="20"/>
        </w:rPr>
        <w:t xml:space="preserve"> </w:t>
      </w:r>
      <w:r w:rsidRPr="00655CB2">
        <w:rPr>
          <w:rFonts w:ascii="Times New Roman" w:hAnsi="Times New Roman" w:cs="Times New Roman"/>
          <w:b/>
          <w:bCs/>
          <w:sz w:val="20"/>
          <w:szCs w:val="20"/>
        </w:rPr>
        <w:t>Impact of Breast Cancer Molecular Subtypes on the Incidence of Axilllarylymhp Nodes Metastases</w:t>
      </w:r>
      <w:r w:rsidRPr="00655CB2">
        <w:rPr>
          <w:rFonts w:ascii="Times New Roman" w:eastAsia="Times New Roman" w:hAnsi="Times New Roman" w:cs="Times New Roman"/>
          <w:b/>
          <w:bCs/>
          <w:sz w:val="20"/>
          <w:szCs w:val="20"/>
          <w:lang w:bidi="fa-IR"/>
        </w:rPr>
        <w:t>.</w:t>
      </w:r>
      <w:r w:rsidRPr="00655CB2">
        <w:rPr>
          <w:rFonts w:ascii="Times New Roman" w:hAnsi="Times New Roman" w:cs="Times New Roman"/>
          <w:i/>
          <w:sz w:val="20"/>
          <w:szCs w:val="20"/>
        </w:rPr>
        <w:t xml:space="preserve"> Cancer Biology</w:t>
      </w:r>
      <w:r w:rsidRPr="00655CB2">
        <w:rPr>
          <w:rFonts w:ascii="Times New Roman" w:hAnsi="Times New Roman" w:cs="Times New Roman"/>
          <w:sz w:val="20"/>
          <w:szCs w:val="20"/>
        </w:rPr>
        <w:t xml:space="preserve"> 201</w:t>
      </w:r>
      <w:r w:rsidRPr="00655CB2">
        <w:rPr>
          <w:rFonts w:ascii="Times New Roman" w:hAnsi="Times New Roman" w:cs="Times New Roman" w:hint="eastAsia"/>
          <w:sz w:val="20"/>
          <w:szCs w:val="20"/>
        </w:rPr>
        <w:t>8</w:t>
      </w:r>
      <w:r w:rsidRPr="00655CB2">
        <w:rPr>
          <w:rFonts w:ascii="Times New Roman" w:hAnsi="Times New Roman" w:cs="Times New Roman"/>
          <w:sz w:val="20"/>
          <w:szCs w:val="20"/>
        </w:rPr>
        <w:t>;</w:t>
      </w:r>
      <w:r w:rsidRPr="00655CB2">
        <w:rPr>
          <w:rFonts w:ascii="Times New Roman" w:hAnsi="Times New Roman" w:cs="Times New Roman" w:hint="eastAsia"/>
          <w:sz w:val="20"/>
          <w:szCs w:val="20"/>
        </w:rPr>
        <w:t>8</w:t>
      </w:r>
      <w:r w:rsidRPr="00655CB2">
        <w:rPr>
          <w:rFonts w:ascii="Times New Roman" w:hAnsi="Times New Roman" w:cs="Times New Roman"/>
          <w:sz w:val="20"/>
          <w:szCs w:val="20"/>
        </w:rPr>
        <w:t>(</w:t>
      </w:r>
      <w:r w:rsidRPr="00655CB2">
        <w:rPr>
          <w:rFonts w:ascii="Times New Roman" w:hAnsi="Times New Roman" w:cs="Times New Roman" w:hint="eastAsia"/>
          <w:sz w:val="20"/>
          <w:szCs w:val="20"/>
        </w:rPr>
        <w:t>3</w:t>
      </w:r>
      <w:r w:rsidRPr="00655CB2">
        <w:rPr>
          <w:rFonts w:ascii="Times New Roman" w:hAnsi="Times New Roman" w:cs="Times New Roman"/>
          <w:sz w:val="20"/>
          <w:szCs w:val="20"/>
        </w:rPr>
        <w:t>):</w:t>
      </w:r>
      <w:r w:rsidR="00126401">
        <w:rPr>
          <w:rFonts w:ascii="Times New Roman" w:hAnsi="Times New Roman" w:cs="Times New Roman"/>
          <w:noProof/>
          <w:color w:val="000000"/>
          <w:sz w:val="20"/>
          <w:szCs w:val="20"/>
        </w:rPr>
        <w:t>42-46</w:t>
      </w:r>
      <w:r w:rsidRPr="00655CB2">
        <w:rPr>
          <w:rFonts w:ascii="Times New Roman" w:hAnsi="Times New Roman" w:cs="Times New Roman"/>
          <w:sz w:val="20"/>
          <w:szCs w:val="20"/>
        </w:rPr>
        <w:t xml:space="preserve">]. </w:t>
      </w:r>
      <w:r w:rsidRPr="00655CB2">
        <w:rPr>
          <w:rStyle w:val="msonormal0"/>
          <w:rFonts w:ascii="Times New Roman" w:eastAsia="宋" w:hAnsi="Times New Roman" w:cs="Times New Roman"/>
          <w:sz w:val="20"/>
          <w:szCs w:val="20"/>
        </w:rPr>
        <w:t>ISSN: 2150-1041 (print); ISSN: 2150-105X (online)</w:t>
      </w:r>
      <w:r w:rsidRPr="00655CB2">
        <w:rPr>
          <w:rFonts w:ascii="Times New Roman" w:hAnsi="Times New Roman" w:cs="Times New Roman"/>
          <w:sz w:val="20"/>
          <w:szCs w:val="20"/>
        </w:rPr>
        <w:t xml:space="preserve">. </w:t>
      </w:r>
      <w:hyperlink r:id="rId9" w:history="1">
        <w:r w:rsidRPr="00655CB2">
          <w:rPr>
            <w:rStyle w:val="Hyperlink"/>
            <w:rFonts w:ascii="Times New Roman" w:hAnsi="Times New Roman" w:cs="Times New Roman"/>
            <w:color w:val="0000FF"/>
            <w:sz w:val="20"/>
            <w:szCs w:val="20"/>
          </w:rPr>
          <w:t>http://www.cancerbio.net</w:t>
        </w:r>
      </w:hyperlink>
      <w:r w:rsidRPr="00655CB2">
        <w:rPr>
          <w:rFonts w:ascii="Times New Roman" w:hAnsi="Times New Roman" w:cs="Times New Roman"/>
          <w:sz w:val="20"/>
          <w:szCs w:val="20"/>
        </w:rPr>
        <w:t>.</w:t>
      </w:r>
      <w:r>
        <w:rPr>
          <w:rFonts w:ascii="Times New Roman" w:hAnsi="Times New Roman" w:cs="Times New Roman" w:hint="eastAsia"/>
          <w:sz w:val="20"/>
          <w:szCs w:val="20"/>
          <w:lang w:eastAsia="zh-CN"/>
        </w:rPr>
        <w:t>8</w:t>
      </w:r>
      <w:r w:rsidRPr="00655CB2">
        <w:rPr>
          <w:rFonts w:ascii="Times New Roman" w:hAnsi="Times New Roman" w:cs="Times New Roman" w:hint="eastAsia"/>
          <w:sz w:val="20"/>
          <w:szCs w:val="20"/>
        </w:rPr>
        <w:t xml:space="preserve">. </w:t>
      </w:r>
      <w:r w:rsidRPr="00655CB2">
        <w:rPr>
          <w:rFonts w:ascii="Times New Roman" w:hAnsi="Times New Roman" w:cs="Times New Roman"/>
          <w:color w:val="000000"/>
          <w:sz w:val="20"/>
          <w:szCs w:val="20"/>
          <w:shd w:val="clear" w:color="auto" w:fill="FFFFFF"/>
        </w:rPr>
        <w:t>doi:</w:t>
      </w:r>
      <w:hyperlink r:id="rId10" w:history="1">
        <w:r w:rsidRPr="00655CB2">
          <w:rPr>
            <w:rStyle w:val="Hyperlink"/>
            <w:rFonts w:ascii="Times New Roman" w:hAnsi="Times New Roman" w:cs="Times New Roman"/>
            <w:color w:val="0000FF"/>
            <w:sz w:val="20"/>
            <w:szCs w:val="20"/>
            <w:shd w:val="clear" w:color="auto" w:fill="FFFFFF"/>
          </w:rPr>
          <w:t>10.7537/mars</w:t>
        </w:r>
        <w:r w:rsidRPr="00655CB2">
          <w:rPr>
            <w:rStyle w:val="Hyperlink"/>
            <w:rFonts w:ascii="Times New Roman" w:hAnsi="Times New Roman" w:cs="Times New Roman" w:hint="eastAsia"/>
            <w:color w:val="0000FF"/>
            <w:sz w:val="20"/>
            <w:szCs w:val="20"/>
            <w:shd w:val="clear" w:color="auto" w:fill="FFFFFF"/>
          </w:rPr>
          <w:t>cbj0803</w:t>
        </w:r>
        <w:r w:rsidRPr="00655CB2">
          <w:rPr>
            <w:rStyle w:val="Hyperlink"/>
            <w:rFonts w:ascii="Times New Roman" w:hAnsi="Times New Roman" w:cs="Times New Roman"/>
            <w:color w:val="0000FF"/>
            <w:sz w:val="20"/>
            <w:szCs w:val="20"/>
            <w:shd w:val="clear" w:color="auto" w:fill="FFFFFF"/>
          </w:rPr>
          <w:t>1</w:t>
        </w:r>
        <w:r w:rsidRPr="00655CB2">
          <w:rPr>
            <w:rStyle w:val="Hyperlink"/>
            <w:rFonts w:ascii="Times New Roman" w:hAnsi="Times New Roman" w:cs="Times New Roman" w:hint="eastAsia"/>
            <w:color w:val="0000FF"/>
            <w:sz w:val="20"/>
            <w:szCs w:val="20"/>
            <w:shd w:val="clear" w:color="auto" w:fill="FFFFFF"/>
          </w:rPr>
          <w:t>8.</w:t>
        </w:r>
        <w:r w:rsidRPr="00655CB2">
          <w:rPr>
            <w:rStyle w:val="Hyperlink"/>
            <w:rFonts w:ascii="Times New Roman" w:hAnsi="Times New Roman" w:cs="Times New Roman"/>
            <w:color w:val="0000FF"/>
            <w:sz w:val="20"/>
            <w:szCs w:val="20"/>
            <w:shd w:val="clear" w:color="auto" w:fill="FFFFFF"/>
          </w:rPr>
          <w:t>0</w:t>
        </w:r>
        <w:r>
          <w:rPr>
            <w:rStyle w:val="Hyperlink"/>
            <w:rFonts w:ascii="Times New Roman" w:hAnsi="Times New Roman" w:cs="Times New Roman" w:hint="eastAsia"/>
            <w:color w:val="0000FF"/>
            <w:sz w:val="20"/>
            <w:szCs w:val="20"/>
            <w:shd w:val="clear" w:color="auto" w:fill="FFFFFF"/>
            <w:lang w:eastAsia="zh-CN"/>
          </w:rPr>
          <w:t>8</w:t>
        </w:r>
      </w:hyperlink>
      <w:r w:rsidRPr="00655CB2">
        <w:rPr>
          <w:rFonts w:ascii="Times New Roman" w:hAnsi="Times New Roman" w:cs="Times New Roman"/>
          <w:color w:val="000000"/>
          <w:sz w:val="20"/>
          <w:szCs w:val="20"/>
          <w:shd w:val="clear" w:color="auto" w:fill="FFFFFF"/>
        </w:rPr>
        <w:t>.</w:t>
      </w:r>
    </w:p>
    <w:p w:rsidR="00F11597" w:rsidRPr="001C356B" w:rsidRDefault="00F11597" w:rsidP="00655CB2">
      <w:pPr>
        <w:bidi w:val="0"/>
        <w:snapToGrid w:val="0"/>
        <w:spacing w:after="0" w:line="240" w:lineRule="auto"/>
        <w:jc w:val="both"/>
        <w:rPr>
          <w:rFonts w:ascii="Times New Roman" w:eastAsia="Times New Roman" w:hAnsi="Times New Roman" w:cs="Times New Roman"/>
          <w:sz w:val="20"/>
          <w:szCs w:val="20"/>
          <w:lang w:bidi="ar-EG"/>
        </w:rPr>
      </w:pPr>
    </w:p>
    <w:p w:rsidR="007B6F40" w:rsidRPr="001C356B" w:rsidRDefault="007B6F40" w:rsidP="00655CB2">
      <w:pPr>
        <w:bidi w:val="0"/>
        <w:snapToGrid w:val="0"/>
        <w:spacing w:after="0" w:line="240" w:lineRule="auto"/>
        <w:jc w:val="both"/>
        <w:rPr>
          <w:rFonts w:ascii="Times New Roman" w:eastAsia="Times New Roman" w:hAnsi="Times New Roman" w:cs="Times New Roman"/>
          <w:sz w:val="20"/>
          <w:szCs w:val="20"/>
          <w:lang w:bidi="ar-EG"/>
        </w:rPr>
      </w:pPr>
      <w:r w:rsidRPr="001C356B">
        <w:rPr>
          <w:rFonts w:ascii="Times New Roman" w:hAnsi="Times New Roman" w:cs="Times New Roman"/>
          <w:b/>
          <w:bCs/>
          <w:sz w:val="20"/>
          <w:szCs w:val="20"/>
        </w:rPr>
        <w:t>Keywords:</w:t>
      </w:r>
      <w:r w:rsidRPr="001C356B">
        <w:rPr>
          <w:rFonts w:ascii="Times New Roman" w:hAnsi="Times New Roman" w:cs="Times New Roman"/>
          <w:sz w:val="20"/>
          <w:szCs w:val="20"/>
        </w:rPr>
        <w:t xml:space="preserve">Breast </w:t>
      </w:r>
      <w:r w:rsidR="003E1FE2" w:rsidRPr="001C356B">
        <w:rPr>
          <w:rFonts w:ascii="Times New Roman" w:hAnsi="Times New Roman" w:cs="Times New Roman"/>
          <w:sz w:val="20"/>
          <w:szCs w:val="20"/>
        </w:rPr>
        <w:t>cancer, molecularsubtypes</w:t>
      </w:r>
      <w:r w:rsidR="00847DEE" w:rsidRPr="001C356B">
        <w:rPr>
          <w:rFonts w:ascii="Times New Roman" w:eastAsia="MS Mincho" w:hAnsi="Times New Roman" w:cs="Times New Roman"/>
          <w:sz w:val="20"/>
          <w:szCs w:val="20"/>
        </w:rPr>
        <w:t>,</w:t>
      </w:r>
      <w:r w:rsidR="000F2C83" w:rsidRPr="001C356B">
        <w:rPr>
          <w:rFonts w:ascii="Times New Roman" w:eastAsia="MS Mincho" w:hAnsi="Times New Roman" w:cs="Times New Roman"/>
          <w:sz w:val="20"/>
          <w:szCs w:val="20"/>
        </w:rPr>
        <w:t>axillary lymph nodes metastases.</w:t>
      </w:r>
    </w:p>
    <w:p w:rsidR="00F11597" w:rsidRDefault="00F11597" w:rsidP="00655CB2">
      <w:pPr>
        <w:bidi w:val="0"/>
        <w:snapToGrid w:val="0"/>
        <w:spacing w:after="0" w:line="240" w:lineRule="auto"/>
        <w:jc w:val="both"/>
        <w:rPr>
          <w:rFonts w:ascii="Times New Roman" w:hAnsi="Times New Roman" w:cs="Times New Roman"/>
          <w:b/>
          <w:bCs/>
          <w:sz w:val="20"/>
          <w:szCs w:val="20"/>
          <w:lang w:eastAsia="zh-CN"/>
        </w:rPr>
      </w:pPr>
    </w:p>
    <w:p w:rsidR="00B61CD9" w:rsidRPr="00B61CD9" w:rsidRDefault="00B61CD9" w:rsidP="00B61CD9">
      <w:pPr>
        <w:bidi w:val="0"/>
        <w:snapToGrid w:val="0"/>
        <w:spacing w:after="0" w:line="240" w:lineRule="auto"/>
        <w:jc w:val="both"/>
        <w:rPr>
          <w:rFonts w:ascii="Times New Roman" w:hAnsi="Times New Roman" w:cs="Times New Roman"/>
          <w:b/>
          <w:bCs/>
          <w:sz w:val="20"/>
          <w:szCs w:val="20"/>
          <w:lang w:eastAsia="zh-CN"/>
        </w:rPr>
      </w:pPr>
    </w:p>
    <w:p w:rsidR="00655CB2" w:rsidRDefault="00655CB2" w:rsidP="00655CB2">
      <w:pPr>
        <w:bidi w:val="0"/>
        <w:snapToGrid w:val="0"/>
        <w:spacing w:after="0" w:line="240" w:lineRule="auto"/>
        <w:jc w:val="both"/>
        <w:rPr>
          <w:rFonts w:ascii="Times New Roman" w:eastAsia="MS Mincho" w:hAnsi="Times New Roman" w:cs="Times New Roman"/>
          <w:b/>
          <w:bCs/>
          <w:sz w:val="20"/>
          <w:szCs w:val="20"/>
        </w:rPr>
        <w:sectPr w:rsidR="00655CB2" w:rsidSect="00126401">
          <w:headerReference w:type="default" r:id="rId11"/>
          <w:footerReference w:type="default" r:id="rId12"/>
          <w:type w:val="continuous"/>
          <w:pgSz w:w="12242" w:h="15842" w:code="1"/>
          <w:pgMar w:top="1440" w:right="1440" w:bottom="1440" w:left="1440" w:header="720" w:footer="720" w:gutter="0"/>
          <w:pgNumType w:start="42"/>
          <w:cols w:space="720"/>
          <w:docGrid w:linePitch="360"/>
        </w:sectPr>
      </w:pPr>
    </w:p>
    <w:p w:rsidR="005408E9" w:rsidRPr="001C356B" w:rsidRDefault="00F11597" w:rsidP="00655CB2">
      <w:pPr>
        <w:bidi w:val="0"/>
        <w:snapToGrid w:val="0"/>
        <w:spacing w:after="0" w:line="240" w:lineRule="auto"/>
        <w:jc w:val="both"/>
        <w:rPr>
          <w:rFonts w:ascii="Times New Roman" w:eastAsia="MS Mincho" w:hAnsi="Times New Roman" w:cs="Times New Roman"/>
          <w:b/>
          <w:bCs/>
          <w:sz w:val="20"/>
          <w:szCs w:val="20"/>
        </w:rPr>
      </w:pPr>
      <w:r w:rsidRPr="001C356B">
        <w:rPr>
          <w:rFonts w:ascii="Times New Roman" w:eastAsia="MS Mincho" w:hAnsi="Times New Roman" w:cs="Times New Roman"/>
          <w:b/>
          <w:bCs/>
          <w:sz w:val="20"/>
          <w:szCs w:val="20"/>
        </w:rPr>
        <w:lastRenderedPageBreak/>
        <w:t>1.</w:t>
      </w:r>
      <w:r w:rsidR="005408E9" w:rsidRPr="001C356B">
        <w:rPr>
          <w:rFonts w:ascii="Times New Roman" w:eastAsia="MS Mincho" w:hAnsi="Times New Roman" w:cs="Times New Roman"/>
          <w:b/>
          <w:bCs/>
          <w:sz w:val="20"/>
          <w:szCs w:val="20"/>
        </w:rPr>
        <w:t>Introduction</w:t>
      </w:r>
    </w:p>
    <w:p w:rsidR="00E54560" w:rsidRPr="001C356B" w:rsidRDefault="00E54560" w:rsidP="00655CB2">
      <w:pPr>
        <w:bidi w:val="0"/>
        <w:snapToGrid w:val="0"/>
        <w:spacing w:after="0" w:line="240" w:lineRule="auto"/>
        <w:ind w:firstLine="425"/>
        <w:jc w:val="both"/>
        <w:rPr>
          <w:rFonts w:ascii="Times New Roman" w:eastAsia="MS Mincho" w:hAnsi="Times New Roman" w:cs="Times New Roman"/>
          <w:sz w:val="20"/>
          <w:szCs w:val="20"/>
        </w:rPr>
      </w:pPr>
      <w:r w:rsidRPr="001C356B">
        <w:rPr>
          <w:rFonts w:ascii="Times New Roman" w:eastAsia="MS Mincho" w:hAnsi="Times New Roman" w:cs="Times New Roman"/>
          <w:sz w:val="20"/>
          <w:szCs w:val="20"/>
        </w:rPr>
        <w:t xml:space="preserve">Breast cancer has been found to be the most common malignant tumor among females. It has many molecular, and pathological with different </w:t>
      </w:r>
      <w:r w:rsidR="0078406C" w:rsidRPr="001C356B">
        <w:rPr>
          <w:rFonts w:ascii="Times New Roman" w:eastAsia="MS Mincho" w:hAnsi="Times New Roman" w:cs="Times New Roman"/>
          <w:sz w:val="20"/>
          <w:szCs w:val="20"/>
        </w:rPr>
        <w:t>prognosis</w:t>
      </w:r>
      <w:r w:rsidRPr="001C356B">
        <w:rPr>
          <w:rFonts w:ascii="Times New Roman" w:eastAsia="MS Mincho" w:hAnsi="Times New Roman" w:cs="Times New Roman"/>
          <w:sz w:val="20"/>
          <w:szCs w:val="20"/>
        </w:rPr>
        <w:t xml:space="preserve"> and therapy implications </w:t>
      </w:r>
      <w:r w:rsidRPr="001C356B">
        <w:rPr>
          <w:rFonts w:ascii="Times New Roman" w:eastAsia="MS Mincho" w:hAnsi="Times New Roman" w:cs="Times New Roman"/>
          <w:sz w:val="20"/>
          <w:szCs w:val="20"/>
          <w:vertAlign w:val="superscript"/>
        </w:rPr>
        <w:t>[1]</w:t>
      </w:r>
      <w:r w:rsidRPr="001C356B">
        <w:rPr>
          <w:rFonts w:ascii="Times New Roman" w:eastAsia="MS Mincho" w:hAnsi="Times New Roman" w:cs="Times New Roman"/>
          <w:sz w:val="20"/>
          <w:szCs w:val="20"/>
        </w:rPr>
        <w:t xml:space="preserve">.Hormonal receptors have an independent for prognosis of case. ER expression was in average 80-90% of </w:t>
      </w:r>
      <w:r w:rsidR="00B61CD9" w:rsidRPr="001C356B">
        <w:rPr>
          <w:rFonts w:ascii="Times New Roman" w:eastAsia="MS Mincho" w:hAnsi="Times New Roman" w:cs="Times New Roman"/>
          <w:sz w:val="20"/>
          <w:szCs w:val="20"/>
        </w:rPr>
        <w:t>breast cancer</w:t>
      </w:r>
      <w:r w:rsidRPr="001C356B">
        <w:rPr>
          <w:rFonts w:ascii="Times New Roman" w:eastAsia="MS Mincho" w:hAnsi="Times New Roman" w:cs="Times New Roman"/>
          <w:sz w:val="20"/>
          <w:szCs w:val="20"/>
        </w:rPr>
        <w:t>, while PR expression was 70-80%</w:t>
      </w:r>
      <w:r w:rsidRPr="001C356B">
        <w:rPr>
          <w:rFonts w:ascii="Times New Roman" w:eastAsia="MS Mincho" w:hAnsi="Times New Roman" w:cs="Times New Roman"/>
          <w:sz w:val="20"/>
          <w:szCs w:val="20"/>
          <w:vertAlign w:val="superscript"/>
        </w:rPr>
        <w:t>]</w:t>
      </w:r>
      <w:r w:rsidR="0078406C">
        <w:rPr>
          <w:rFonts w:ascii="Times New Roman" w:eastAsia="MS Mincho" w:hAnsi="Times New Roman" w:cs="Times New Roman"/>
          <w:sz w:val="20"/>
          <w:szCs w:val="20"/>
        </w:rPr>
        <w:t>. HE</w:t>
      </w:r>
      <w:r w:rsidRPr="001C356B">
        <w:rPr>
          <w:rFonts w:ascii="Times New Roman" w:eastAsia="MS Mincho" w:hAnsi="Times New Roman" w:cs="Times New Roman"/>
          <w:sz w:val="20"/>
          <w:szCs w:val="20"/>
        </w:rPr>
        <w:t xml:space="preserve">R-2/neuwas15-20% of breast cancer cases </w:t>
      </w:r>
      <w:r w:rsidRPr="001C356B">
        <w:rPr>
          <w:rFonts w:ascii="Times New Roman" w:eastAsia="MS Mincho" w:hAnsi="Times New Roman" w:cs="Times New Roman"/>
          <w:b/>
          <w:bCs/>
          <w:sz w:val="20"/>
          <w:szCs w:val="20"/>
          <w:vertAlign w:val="superscript"/>
        </w:rPr>
        <w:t>[3, 4]</w:t>
      </w:r>
      <w:r w:rsidRPr="001C356B">
        <w:rPr>
          <w:rFonts w:ascii="Times New Roman" w:eastAsia="MS Mincho" w:hAnsi="Times New Roman" w:cs="Times New Roman"/>
          <w:b/>
          <w:bCs/>
          <w:sz w:val="20"/>
          <w:szCs w:val="20"/>
        </w:rPr>
        <w:t>.</w:t>
      </w:r>
    </w:p>
    <w:p w:rsidR="00E54560" w:rsidRPr="001C356B" w:rsidRDefault="00E54560" w:rsidP="00655CB2">
      <w:pPr>
        <w:bidi w:val="0"/>
        <w:snapToGrid w:val="0"/>
        <w:spacing w:after="0" w:line="240" w:lineRule="auto"/>
        <w:ind w:firstLine="425"/>
        <w:jc w:val="both"/>
        <w:rPr>
          <w:rFonts w:ascii="Times New Roman" w:eastAsia="MS Mincho" w:hAnsi="Times New Roman" w:cs="Times New Roman"/>
          <w:sz w:val="20"/>
          <w:szCs w:val="20"/>
        </w:rPr>
      </w:pPr>
      <w:r w:rsidRPr="001C356B">
        <w:rPr>
          <w:rFonts w:ascii="Times New Roman" w:eastAsia="MS Mincho" w:hAnsi="Times New Roman" w:cs="Times New Roman"/>
          <w:sz w:val="20"/>
          <w:szCs w:val="20"/>
        </w:rPr>
        <w:t xml:space="preserve">Breast cancer is better represented by its combined receptor expression than by a single one us alone </w:t>
      </w:r>
      <w:r w:rsidRPr="001C356B">
        <w:rPr>
          <w:rFonts w:ascii="Times New Roman" w:eastAsia="MS Mincho" w:hAnsi="Times New Roman" w:cs="Times New Roman"/>
          <w:b/>
          <w:bCs/>
          <w:sz w:val="20"/>
          <w:szCs w:val="20"/>
          <w:vertAlign w:val="superscript"/>
        </w:rPr>
        <w:t>[5, 6]</w:t>
      </w:r>
      <w:r w:rsidR="00655CB2" w:rsidRPr="001C356B">
        <w:rPr>
          <w:rFonts w:ascii="Times New Roman" w:eastAsia="MS Mincho" w:hAnsi="Times New Roman" w:cs="Times New Roman"/>
          <w:b/>
          <w:bCs/>
          <w:sz w:val="20"/>
          <w:szCs w:val="20"/>
        </w:rPr>
        <w:t>.</w:t>
      </w:r>
      <w:r w:rsidR="00655CB2" w:rsidRPr="001C356B">
        <w:rPr>
          <w:rFonts w:ascii="Times New Roman" w:eastAsia="MS Mincho" w:hAnsi="Times New Roman" w:cs="Times New Roman"/>
          <w:sz w:val="20"/>
          <w:szCs w:val="20"/>
        </w:rPr>
        <w:t>A</w:t>
      </w:r>
      <w:r w:rsidR="0078406C">
        <w:rPr>
          <w:rFonts w:ascii="Times New Roman" w:eastAsia="MS Mincho" w:hAnsi="Times New Roman" w:cs="Times New Roman"/>
          <w:sz w:val="20"/>
          <w:szCs w:val="20"/>
        </w:rPr>
        <w:t>xillary lymph node</w:t>
      </w:r>
      <w:r w:rsidRPr="001C356B">
        <w:rPr>
          <w:rFonts w:ascii="Times New Roman" w:eastAsia="MS Mincho" w:hAnsi="Times New Roman" w:cs="Times New Roman"/>
          <w:sz w:val="20"/>
          <w:szCs w:val="20"/>
        </w:rPr>
        <w:t xml:space="preserve"> (ALN) infiltration are correlated to overall survival and have </w:t>
      </w:r>
      <w:r w:rsidR="00B61CD9" w:rsidRPr="001C356B">
        <w:rPr>
          <w:rFonts w:ascii="Times New Roman" w:eastAsia="MS Mincho" w:hAnsi="Times New Roman" w:cs="Times New Roman"/>
          <w:sz w:val="20"/>
          <w:szCs w:val="20"/>
        </w:rPr>
        <w:t>association</w:t>
      </w:r>
      <w:r w:rsidRPr="001C356B">
        <w:rPr>
          <w:rFonts w:ascii="Times New Roman" w:eastAsia="MS Mincho" w:hAnsi="Times New Roman" w:cs="Times New Roman"/>
          <w:sz w:val="20"/>
          <w:szCs w:val="20"/>
        </w:rPr>
        <w:t xml:space="preserve"> with staging, prognosis, and treatment of invasive breast cancer </w:t>
      </w:r>
      <w:r w:rsidRPr="001C356B">
        <w:rPr>
          <w:rFonts w:ascii="Times New Roman" w:eastAsia="MS Mincho" w:hAnsi="Times New Roman" w:cs="Times New Roman"/>
          <w:b/>
          <w:bCs/>
          <w:sz w:val="20"/>
          <w:szCs w:val="20"/>
          <w:vertAlign w:val="superscript"/>
        </w:rPr>
        <w:t>[7-9]</w:t>
      </w:r>
      <w:r w:rsidRPr="001C356B">
        <w:rPr>
          <w:rFonts w:ascii="Times New Roman" w:eastAsia="MS Mincho" w:hAnsi="Times New Roman" w:cs="Times New Roman"/>
          <w:b/>
          <w:bCs/>
          <w:sz w:val="20"/>
          <w:szCs w:val="20"/>
        </w:rPr>
        <w:t>.</w:t>
      </w:r>
      <w:r w:rsidRPr="001C356B">
        <w:rPr>
          <w:rFonts w:ascii="Times New Roman" w:eastAsia="MS Mincho" w:hAnsi="Times New Roman" w:cs="Times New Roman"/>
          <w:sz w:val="20"/>
          <w:szCs w:val="20"/>
        </w:rPr>
        <w:t xml:space="preserve"> Breast cancer has main4main subtypes, Luminal A, Luminal B, Her-2 positive and triple negative breast cancer.Molecular subtype (MST) has significant differences in prognosis </w:t>
      </w:r>
      <w:r w:rsidRPr="001C356B">
        <w:rPr>
          <w:rFonts w:ascii="Times New Roman" w:eastAsia="MS Mincho" w:hAnsi="Times New Roman" w:cs="Times New Roman"/>
          <w:b/>
          <w:bCs/>
          <w:sz w:val="20"/>
          <w:szCs w:val="20"/>
          <w:vertAlign w:val="superscript"/>
        </w:rPr>
        <w:t>[10-11]</w:t>
      </w:r>
      <w:r w:rsidRPr="001C356B">
        <w:rPr>
          <w:rFonts w:ascii="Times New Roman" w:eastAsia="MS Mincho" w:hAnsi="Times New Roman" w:cs="Times New Roman"/>
          <w:b/>
          <w:bCs/>
          <w:sz w:val="20"/>
          <w:szCs w:val="20"/>
        </w:rPr>
        <w:t>.</w:t>
      </w:r>
    </w:p>
    <w:p w:rsidR="00E54560" w:rsidRPr="001C356B" w:rsidRDefault="00E54560" w:rsidP="00655CB2">
      <w:pPr>
        <w:bidi w:val="0"/>
        <w:snapToGrid w:val="0"/>
        <w:spacing w:after="0" w:line="240" w:lineRule="auto"/>
        <w:ind w:firstLine="425"/>
        <w:jc w:val="both"/>
        <w:rPr>
          <w:rFonts w:ascii="Times New Roman" w:eastAsia="MS Mincho" w:hAnsi="Times New Roman" w:cs="Times New Roman"/>
          <w:sz w:val="20"/>
          <w:szCs w:val="20"/>
        </w:rPr>
      </w:pPr>
      <w:r w:rsidRPr="001C356B">
        <w:rPr>
          <w:rFonts w:ascii="Times New Roman" w:eastAsia="MS Mincho" w:hAnsi="Times New Roman" w:cs="Times New Roman"/>
          <w:sz w:val="20"/>
          <w:szCs w:val="20"/>
        </w:rPr>
        <w:t>Triple negative breast cancer (TNBC</w:t>
      </w:r>
      <w:r w:rsidR="00655CB2" w:rsidRPr="001C356B">
        <w:rPr>
          <w:rFonts w:ascii="Times New Roman" w:eastAsia="MS Mincho" w:hAnsi="Times New Roman" w:cs="Times New Roman"/>
          <w:sz w:val="20"/>
          <w:szCs w:val="20"/>
        </w:rPr>
        <w:t>)h</w:t>
      </w:r>
      <w:r w:rsidRPr="001C356B">
        <w:rPr>
          <w:rFonts w:ascii="Times New Roman" w:eastAsia="MS Mincho" w:hAnsi="Times New Roman" w:cs="Times New Roman"/>
          <w:sz w:val="20"/>
          <w:szCs w:val="20"/>
        </w:rPr>
        <w:t>as aggressive clinical impact, with high metastatic rate compared to other s</w:t>
      </w:r>
      <w:r w:rsidR="00B61CD9">
        <w:rPr>
          <w:rFonts w:ascii="Times New Roman" w:eastAsia="MS Mincho" w:hAnsi="Times New Roman" w:cs="Times New Roman"/>
          <w:sz w:val="20"/>
          <w:szCs w:val="20"/>
        </w:rPr>
        <w:t>ubtypes, and characterized by a</w:t>
      </w:r>
      <w:r w:rsidRPr="001C356B">
        <w:rPr>
          <w:rFonts w:ascii="Times New Roman" w:eastAsia="MS Mincho" w:hAnsi="Times New Roman" w:cs="Times New Roman"/>
          <w:sz w:val="20"/>
          <w:szCs w:val="20"/>
        </w:rPr>
        <w:t xml:space="preserve">poor prognosis specially in case of decreased sensitivity tone adjuvant chemotherapy </w:t>
      </w:r>
      <w:r w:rsidRPr="001C356B">
        <w:rPr>
          <w:rFonts w:ascii="Times New Roman" w:eastAsia="MS Mincho" w:hAnsi="Times New Roman" w:cs="Times New Roman"/>
          <w:sz w:val="20"/>
          <w:szCs w:val="20"/>
          <w:vertAlign w:val="superscript"/>
        </w:rPr>
        <w:t>[11-13]</w:t>
      </w:r>
      <w:r w:rsidRPr="001C356B">
        <w:rPr>
          <w:rFonts w:ascii="Times New Roman" w:eastAsia="MS Mincho" w:hAnsi="Times New Roman" w:cs="Times New Roman"/>
          <w:sz w:val="20"/>
          <w:szCs w:val="20"/>
        </w:rPr>
        <w:t>. Some studies evaluated incidence of axillary node metastases in TNBC and they found thatitis less frequent in thissubtype</w:t>
      </w:r>
      <w:r w:rsidR="001C356B" w:rsidRPr="001C356B">
        <w:rPr>
          <w:rFonts w:ascii="Times New Roman" w:eastAsia="MS Mincho" w:hAnsi="Times New Roman" w:cs="Times New Roman"/>
          <w:sz w:val="20"/>
          <w:szCs w:val="20"/>
        </w:rPr>
        <w:t xml:space="preserve">. </w:t>
      </w:r>
      <w:r w:rsidR="001C356B" w:rsidRPr="001C356B">
        <w:rPr>
          <w:rFonts w:ascii="Times New Roman" w:eastAsia="MS Mincho" w:hAnsi="Times New Roman" w:cs="Times New Roman"/>
          <w:b/>
          <w:bCs/>
          <w:sz w:val="20"/>
          <w:szCs w:val="20"/>
          <w:vertAlign w:val="superscript"/>
        </w:rPr>
        <w:t>[</w:t>
      </w:r>
      <w:r w:rsidRPr="001C356B">
        <w:rPr>
          <w:rFonts w:ascii="Times New Roman" w:eastAsia="MS Mincho" w:hAnsi="Times New Roman" w:cs="Times New Roman"/>
          <w:b/>
          <w:bCs/>
          <w:sz w:val="20"/>
          <w:szCs w:val="20"/>
          <w:vertAlign w:val="superscript"/>
        </w:rPr>
        <w:t>14, 15]</w:t>
      </w:r>
      <w:r w:rsidRPr="001C356B">
        <w:rPr>
          <w:rFonts w:ascii="Times New Roman" w:eastAsia="MS Mincho" w:hAnsi="Times New Roman" w:cs="Times New Roman"/>
          <w:b/>
          <w:bCs/>
          <w:sz w:val="20"/>
          <w:szCs w:val="20"/>
        </w:rPr>
        <w:t>.</w:t>
      </w:r>
    </w:p>
    <w:p w:rsidR="00E54560" w:rsidRPr="001C356B" w:rsidRDefault="00E54560" w:rsidP="00655CB2">
      <w:pPr>
        <w:bidi w:val="0"/>
        <w:snapToGrid w:val="0"/>
        <w:spacing w:after="0" w:line="240" w:lineRule="auto"/>
        <w:ind w:firstLine="425"/>
        <w:jc w:val="both"/>
        <w:rPr>
          <w:rFonts w:ascii="Times New Roman" w:eastAsia="Times New Roman" w:hAnsi="Times New Roman" w:cs="Times New Roman"/>
          <w:sz w:val="20"/>
          <w:szCs w:val="20"/>
        </w:rPr>
      </w:pPr>
      <w:r w:rsidRPr="001C356B">
        <w:rPr>
          <w:rFonts w:ascii="Times New Roman" w:eastAsia="MS Mincho" w:hAnsi="Times New Roman" w:cs="Times New Roman"/>
          <w:sz w:val="20"/>
          <w:szCs w:val="20"/>
        </w:rPr>
        <w:lastRenderedPageBreak/>
        <w:t xml:space="preserve">Many studies have been investigated patients unlikely to benefit from ALN </w:t>
      </w:r>
      <w:r w:rsidR="00B61CD9" w:rsidRPr="001C356B">
        <w:rPr>
          <w:rFonts w:ascii="Times New Roman" w:eastAsia="MS Mincho" w:hAnsi="Times New Roman" w:cs="Times New Roman"/>
          <w:sz w:val="20"/>
          <w:szCs w:val="20"/>
        </w:rPr>
        <w:t>dissection</w:t>
      </w:r>
      <w:r w:rsidRPr="001C356B">
        <w:rPr>
          <w:rFonts w:ascii="Times New Roman" w:eastAsia="MS Mincho" w:hAnsi="Times New Roman" w:cs="Times New Roman"/>
          <w:sz w:val="20"/>
          <w:szCs w:val="20"/>
        </w:rPr>
        <w:t xml:space="preserve">, thus, the use of sentinel lymph node </w:t>
      </w:r>
      <w:r w:rsidR="00B61CD9" w:rsidRPr="001C356B">
        <w:rPr>
          <w:rFonts w:ascii="Times New Roman" w:eastAsia="MS Mincho" w:hAnsi="Times New Roman" w:cs="Times New Roman"/>
          <w:sz w:val="20"/>
          <w:szCs w:val="20"/>
        </w:rPr>
        <w:t>biopsy reduce</w:t>
      </w:r>
      <w:r w:rsidRPr="001C356B">
        <w:rPr>
          <w:rFonts w:ascii="Times New Roman" w:eastAsia="MS Mincho" w:hAnsi="Times New Roman" w:cs="Times New Roman"/>
          <w:sz w:val="20"/>
          <w:szCs w:val="20"/>
        </w:rPr>
        <w:t xml:space="preserve"> the need of ALN dissection of missed metastasis. There are controversies about the relation between ALN status and molecular subtypes and role of LN involvement as an intrinsic characteristic</w:t>
      </w:r>
      <w:r w:rsidRPr="001C356B">
        <w:rPr>
          <w:rFonts w:ascii="Times New Roman" w:eastAsia="MS Mincho" w:hAnsi="Times New Roman" w:cs="Times New Roman"/>
          <w:b/>
          <w:bCs/>
          <w:sz w:val="20"/>
          <w:szCs w:val="20"/>
          <w:vertAlign w:val="superscript"/>
        </w:rPr>
        <w:t>. [6, 16]</w:t>
      </w:r>
      <w:r w:rsidRPr="001C356B">
        <w:rPr>
          <w:rFonts w:ascii="Times New Roman" w:eastAsia="MS Mincho" w:hAnsi="Times New Roman" w:cs="Times New Roman"/>
          <w:sz w:val="20"/>
          <w:szCs w:val="20"/>
        </w:rPr>
        <w:t>Aim of present study is to evaluate the association between ALN status and molecular subtype.</w:t>
      </w:r>
    </w:p>
    <w:p w:rsidR="00F11597" w:rsidRPr="001C356B" w:rsidRDefault="00F11597" w:rsidP="00655CB2">
      <w:pPr>
        <w:bidi w:val="0"/>
        <w:snapToGrid w:val="0"/>
        <w:spacing w:after="0" w:line="240" w:lineRule="auto"/>
        <w:jc w:val="both"/>
        <w:rPr>
          <w:rFonts w:ascii="Times New Roman" w:eastAsia="MS Mincho" w:hAnsi="Times New Roman" w:cs="Times New Roman"/>
          <w:b/>
          <w:bCs/>
          <w:sz w:val="20"/>
          <w:szCs w:val="20"/>
        </w:rPr>
      </w:pPr>
    </w:p>
    <w:p w:rsidR="005408E9" w:rsidRPr="001C356B" w:rsidRDefault="00F11597" w:rsidP="00655CB2">
      <w:pPr>
        <w:bidi w:val="0"/>
        <w:snapToGrid w:val="0"/>
        <w:spacing w:after="0" w:line="240" w:lineRule="auto"/>
        <w:jc w:val="both"/>
        <w:rPr>
          <w:rFonts w:ascii="Times New Roman" w:eastAsia="MS Mincho" w:hAnsi="Times New Roman" w:cs="Times New Roman"/>
          <w:b/>
          <w:bCs/>
          <w:sz w:val="20"/>
          <w:szCs w:val="20"/>
        </w:rPr>
      </w:pPr>
      <w:r w:rsidRPr="001C356B">
        <w:rPr>
          <w:rFonts w:ascii="Times New Roman" w:eastAsia="MS Mincho" w:hAnsi="Times New Roman" w:cs="Times New Roman"/>
          <w:b/>
          <w:bCs/>
          <w:sz w:val="20"/>
          <w:szCs w:val="20"/>
        </w:rPr>
        <w:t xml:space="preserve">2. </w:t>
      </w:r>
      <w:r w:rsidR="005408E9" w:rsidRPr="001C356B">
        <w:rPr>
          <w:rFonts w:ascii="Times New Roman" w:eastAsia="MS Mincho" w:hAnsi="Times New Roman" w:cs="Times New Roman"/>
          <w:b/>
          <w:bCs/>
          <w:sz w:val="20"/>
          <w:szCs w:val="20"/>
        </w:rPr>
        <w:t xml:space="preserve">Patients </w:t>
      </w:r>
      <w:r w:rsidRPr="001C356B">
        <w:rPr>
          <w:rFonts w:ascii="Times New Roman" w:eastAsia="MS Mincho" w:hAnsi="Times New Roman" w:cs="Times New Roman"/>
          <w:b/>
          <w:bCs/>
          <w:sz w:val="20"/>
          <w:szCs w:val="20"/>
        </w:rPr>
        <w:t>and Methods:</w:t>
      </w:r>
    </w:p>
    <w:p w:rsidR="005408E9" w:rsidRPr="001C356B" w:rsidRDefault="005408E9" w:rsidP="00655CB2">
      <w:pPr>
        <w:bidi w:val="0"/>
        <w:snapToGrid w:val="0"/>
        <w:spacing w:after="0" w:line="240" w:lineRule="auto"/>
        <w:ind w:firstLine="425"/>
        <w:jc w:val="both"/>
        <w:rPr>
          <w:rFonts w:ascii="Times New Roman" w:eastAsia="MS Mincho" w:hAnsi="Times New Roman" w:cs="Times New Roman"/>
          <w:sz w:val="20"/>
          <w:szCs w:val="20"/>
        </w:rPr>
      </w:pPr>
      <w:r w:rsidRPr="001C356B">
        <w:rPr>
          <w:rFonts w:ascii="Times New Roman" w:eastAsia="MS Mincho" w:hAnsi="Times New Roman" w:cs="Times New Roman"/>
          <w:sz w:val="20"/>
          <w:szCs w:val="20"/>
        </w:rPr>
        <w:t>Three hundred and twenty nine (329)breast cance</w:t>
      </w:r>
      <w:r w:rsidR="00CC6538" w:rsidRPr="001C356B">
        <w:rPr>
          <w:rFonts w:ascii="Times New Roman" w:eastAsia="MS Mincho" w:hAnsi="Times New Roman" w:cs="Times New Roman"/>
          <w:sz w:val="20"/>
          <w:szCs w:val="20"/>
        </w:rPr>
        <w:t xml:space="preserve">r patients were included in </w:t>
      </w:r>
      <w:r w:rsidR="00B61CD9" w:rsidRPr="001C356B">
        <w:rPr>
          <w:rFonts w:ascii="Times New Roman" w:eastAsia="MS Mincho" w:hAnsi="Times New Roman" w:cs="Times New Roman"/>
          <w:sz w:val="20"/>
          <w:szCs w:val="20"/>
        </w:rPr>
        <w:t>this study</w:t>
      </w:r>
      <w:r w:rsidR="00CC6693" w:rsidRPr="001C356B">
        <w:rPr>
          <w:rFonts w:ascii="Times New Roman" w:eastAsia="MS Mincho" w:hAnsi="Times New Roman" w:cs="Times New Roman"/>
          <w:sz w:val="20"/>
          <w:szCs w:val="20"/>
        </w:rPr>
        <w:t>.</w:t>
      </w:r>
      <w:r w:rsidR="00571EEC" w:rsidRPr="001C356B">
        <w:rPr>
          <w:rFonts w:ascii="Times New Roman" w:eastAsia="MS Mincho" w:hAnsi="Times New Roman" w:cs="Times New Roman"/>
          <w:sz w:val="20"/>
          <w:szCs w:val="20"/>
        </w:rPr>
        <w:t>The study was conducted at</w:t>
      </w:r>
      <w:r w:rsidRPr="001C356B">
        <w:rPr>
          <w:rFonts w:ascii="Times New Roman" w:eastAsia="MS Mincho" w:hAnsi="Times New Roman" w:cs="Times New Roman"/>
          <w:sz w:val="20"/>
          <w:szCs w:val="20"/>
        </w:rPr>
        <w:t xml:space="preserve"> Tanta University Hospital, clinical oncology department between January 2011 and January 2015. The clinical</w:t>
      </w:r>
      <w:r w:rsidR="00CC6538" w:rsidRPr="001C356B">
        <w:rPr>
          <w:rFonts w:ascii="Times New Roman" w:eastAsia="MS Mincho" w:hAnsi="Times New Roman" w:cs="Times New Roman"/>
          <w:sz w:val="20"/>
          <w:szCs w:val="20"/>
        </w:rPr>
        <w:t xml:space="preserve"> and</w:t>
      </w:r>
      <w:r w:rsidRPr="001C356B">
        <w:rPr>
          <w:rFonts w:ascii="Times New Roman" w:eastAsia="MS Mincho" w:hAnsi="Times New Roman" w:cs="Times New Roman"/>
          <w:sz w:val="20"/>
          <w:szCs w:val="20"/>
        </w:rPr>
        <w:t xml:space="preserve"> pathological features, including age at diagnosis, menopausal status, tumor site, tumor size, histological type and grade, lymph node status and molecular subtypes were constructed. </w:t>
      </w:r>
    </w:p>
    <w:p w:rsidR="005408E9" w:rsidRDefault="00CC6538" w:rsidP="00655CB2">
      <w:pPr>
        <w:bidi w:val="0"/>
        <w:snapToGrid w:val="0"/>
        <w:spacing w:after="0" w:line="240" w:lineRule="auto"/>
        <w:ind w:firstLine="425"/>
        <w:jc w:val="both"/>
        <w:rPr>
          <w:rFonts w:ascii="Times New Roman" w:hAnsi="Times New Roman" w:cs="Times New Roman"/>
          <w:sz w:val="20"/>
          <w:szCs w:val="20"/>
          <w:lang w:eastAsia="zh-CN"/>
        </w:rPr>
      </w:pPr>
      <w:r w:rsidRPr="001C356B">
        <w:rPr>
          <w:rFonts w:ascii="Times New Roman" w:eastAsia="MS Mincho" w:hAnsi="Times New Roman" w:cs="Times New Roman"/>
          <w:sz w:val="20"/>
          <w:szCs w:val="20"/>
        </w:rPr>
        <w:t>Four</w:t>
      </w:r>
      <w:r w:rsidR="005408E9" w:rsidRPr="001C356B">
        <w:rPr>
          <w:rFonts w:ascii="Times New Roman" w:eastAsia="MS Mincho" w:hAnsi="Times New Roman" w:cs="Times New Roman"/>
          <w:sz w:val="20"/>
          <w:szCs w:val="20"/>
        </w:rPr>
        <w:t xml:space="preserve"> molecular types were determined </w:t>
      </w:r>
      <w:r w:rsidR="005408E9" w:rsidRPr="001C356B">
        <w:rPr>
          <w:rFonts w:ascii="Times New Roman" w:eastAsia="MS Mincho" w:hAnsi="Times New Roman" w:cs="Times New Roman"/>
          <w:b/>
          <w:bCs/>
          <w:sz w:val="20"/>
          <w:szCs w:val="20"/>
          <w:vertAlign w:val="superscript"/>
        </w:rPr>
        <w:t>[11].</w:t>
      </w:r>
      <w:r w:rsidR="006874C3" w:rsidRPr="001C356B">
        <w:rPr>
          <w:rFonts w:ascii="Times New Roman" w:eastAsia="MS Mincho" w:hAnsi="Times New Roman" w:cs="Times New Roman"/>
          <w:sz w:val="20"/>
          <w:szCs w:val="20"/>
        </w:rPr>
        <w:t>Patients were classified</w:t>
      </w:r>
      <w:r w:rsidR="005408E9" w:rsidRPr="001C356B">
        <w:rPr>
          <w:rFonts w:ascii="Times New Roman" w:eastAsia="MS Mincho" w:hAnsi="Times New Roman" w:cs="Times New Roman"/>
          <w:sz w:val="20"/>
          <w:szCs w:val="20"/>
        </w:rPr>
        <w:t xml:space="preserve"> as follows: Luminal A (ER+/PR</w:t>
      </w:r>
      <w:r w:rsidR="00571EEC" w:rsidRPr="001C356B">
        <w:rPr>
          <w:rFonts w:ascii="Times New Roman" w:eastAsia="MS Mincho" w:hAnsi="Times New Roman" w:cs="Times New Roman"/>
          <w:sz w:val="20"/>
          <w:szCs w:val="20"/>
        </w:rPr>
        <w:t>+, HER2-, Ki67 &lt; 14%</w:t>
      </w:r>
      <w:r w:rsidR="005408E9" w:rsidRPr="001C356B">
        <w:rPr>
          <w:rFonts w:ascii="Times New Roman" w:eastAsia="MS Mincho" w:hAnsi="Times New Roman" w:cs="Times New Roman"/>
          <w:sz w:val="20"/>
          <w:szCs w:val="20"/>
        </w:rPr>
        <w:t>);Luminal B (ER+/PR+, HER2+); HER2+ (ER-, PR-, HER2</w:t>
      </w:r>
      <w:r w:rsidR="00571EEC" w:rsidRPr="001C356B">
        <w:rPr>
          <w:rFonts w:ascii="Times New Roman" w:eastAsia="MS Mincho" w:hAnsi="Times New Roman" w:cs="Times New Roman"/>
          <w:sz w:val="20"/>
          <w:szCs w:val="20"/>
        </w:rPr>
        <w:t xml:space="preserve">+); TNBC (ER-, PR-, HER2-). </w:t>
      </w:r>
      <w:r w:rsidR="006874C3" w:rsidRPr="001C356B">
        <w:rPr>
          <w:rFonts w:ascii="Times New Roman" w:eastAsia="MS Mincho" w:hAnsi="Times New Roman" w:cs="Times New Roman"/>
          <w:sz w:val="20"/>
          <w:szCs w:val="20"/>
        </w:rPr>
        <w:t xml:space="preserve">HER2 FISH+ or </w:t>
      </w:r>
      <w:r w:rsidR="00571EEC" w:rsidRPr="001C356B">
        <w:rPr>
          <w:rFonts w:ascii="Times New Roman" w:eastAsia="MS Mincho" w:hAnsi="Times New Roman" w:cs="Times New Roman"/>
          <w:sz w:val="20"/>
          <w:szCs w:val="20"/>
        </w:rPr>
        <w:t xml:space="preserve">IHC 3+ was </w:t>
      </w:r>
      <w:r w:rsidR="00B61CD9" w:rsidRPr="001C356B">
        <w:rPr>
          <w:rFonts w:ascii="Times New Roman" w:eastAsia="MS Mincho" w:hAnsi="Times New Roman" w:cs="Times New Roman"/>
          <w:sz w:val="20"/>
          <w:szCs w:val="20"/>
        </w:rPr>
        <w:t>considered</w:t>
      </w:r>
      <w:r w:rsidR="006874C3" w:rsidRPr="001C356B">
        <w:rPr>
          <w:rFonts w:ascii="Times New Roman" w:eastAsia="MS Mincho" w:hAnsi="Times New Roman" w:cs="Times New Roman"/>
          <w:sz w:val="20"/>
          <w:szCs w:val="20"/>
        </w:rPr>
        <w:t xml:space="preserve"> to be positive</w:t>
      </w:r>
      <w:r w:rsidR="00CC6693" w:rsidRPr="001C356B">
        <w:rPr>
          <w:rFonts w:ascii="Times New Roman" w:eastAsia="MS Mincho" w:hAnsi="Times New Roman" w:cs="Times New Roman"/>
          <w:sz w:val="20"/>
          <w:szCs w:val="20"/>
        </w:rPr>
        <w:t>.</w:t>
      </w:r>
    </w:p>
    <w:p w:rsidR="00B61CD9" w:rsidRPr="00B61CD9" w:rsidRDefault="00B61CD9" w:rsidP="00B61CD9">
      <w:pPr>
        <w:bidi w:val="0"/>
        <w:snapToGrid w:val="0"/>
        <w:spacing w:after="0" w:line="240" w:lineRule="auto"/>
        <w:ind w:firstLine="425"/>
        <w:jc w:val="both"/>
        <w:rPr>
          <w:rFonts w:ascii="Times New Roman" w:hAnsi="Times New Roman" w:cs="Times New Roman"/>
          <w:sz w:val="20"/>
          <w:szCs w:val="20"/>
          <w:lang w:eastAsia="zh-CN"/>
        </w:rPr>
      </w:pPr>
    </w:p>
    <w:p w:rsidR="00F11597" w:rsidRPr="001C356B" w:rsidRDefault="005408E9" w:rsidP="00655CB2">
      <w:pPr>
        <w:bidi w:val="0"/>
        <w:snapToGrid w:val="0"/>
        <w:spacing w:after="0" w:line="240" w:lineRule="auto"/>
        <w:jc w:val="both"/>
        <w:rPr>
          <w:rFonts w:ascii="Times New Roman" w:eastAsia="MS Mincho" w:hAnsi="Times New Roman" w:cs="Times New Roman"/>
          <w:sz w:val="20"/>
          <w:szCs w:val="20"/>
        </w:rPr>
      </w:pPr>
      <w:r w:rsidRPr="001C356B">
        <w:rPr>
          <w:rFonts w:ascii="Times New Roman" w:eastAsia="MS Mincho" w:hAnsi="Times New Roman" w:cs="Times New Roman"/>
          <w:b/>
          <w:sz w:val="20"/>
          <w:szCs w:val="20"/>
        </w:rPr>
        <w:lastRenderedPageBreak/>
        <w:t>Statistical analysis:</w:t>
      </w:r>
    </w:p>
    <w:p w:rsidR="00791565" w:rsidRPr="001C356B" w:rsidRDefault="005408E9" w:rsidP="00655CB2">
      <w:pPr>
        <w:bidi w:val="0"/>
        <w:snapToGrid w:val="0"/>
        <w:spacing w:after="0" w:line="240" w:lineRule="auto"/>
        <w:ind w:firstLine="425"/>
        <w:jc w:val="both"/>
        <w:rPr>
          <w:rFonts w:ascii="Times New Roman" w:eastAsia="MS Mincho" w:hAnsi="Times New Roman" w:cs="Times New Roman"/>
          <w:sz w:val="20"/>
          <w:szCs w:val="20"/>
        </w:rPr>
      </w:pPr>
      <w:r w:rsidRPr="001C356B">
        <w:rPr>
          <w:rFonts w:ascii="Times New Roman" w:eastAsia="MS Mincho" w:hAnsi="Times New Roman" w:cs="Times New Roman"/>
          <w:sz w:val="20"/>
          <w:szCs w:val="20"/>
        </w:rPr>
        <w:t xml:space="preserve">All data were statistically analyzed using the Statistical </w:t>
      </w:r>
      <w:r w:rsidR="006874C3" w:rsidRPr="001C356B">
        <w:rPr>
          <w:rFonts w:ascii="Times New Roman" w:eastAsia="MS Mincho" w:hAnsi="Times New Roman" w:cs="Times New Roman"/>
          <w:sz w:val="20"/>
          <w:szCs w:val="20"/>
        </w:rPr>
        <w:t>version 21.0 (SPSS Inc.,</w:t>
      </w:r>
      <w:r w:rsidRPr="001C356B">
        <w:rPr>
          <w:rFonts w:ascii="Times New Roman" w:eastAsia="MS Mincho" w:hAnsi="Times New Roman" w:cs="Times New Roman"/>
          <w:sz w:val="20"/>
          <w:szCs w:val="20"/>
        </w:rPr>
        <w:t>USA).</w:t>
      </w:r>
      <w:r w:rsidR="006874C3" w:rsidRPr="001C356B">
        <w:rPr>
          <w:rFonts w:ascii="Times New Roman" w:eastAsia="MS Mincho" w:hAnsi="Times New Roman" w:cs="Times New Roman"/>
          <w:sz w:val="20"/>
          <w:szCs w:val="20"/>
        </w:rPr>
        <w:t xml:space="preserve">Chi-square </w:t>
      </w:r>
      <w:r w:rsidR="00B61CD9" w:rsidRPr="001C356B">
        <w:rPr>
          <w:rFonts w:ascii="Times New Roman" w:eastAsia="MS Mincho" w:hAnsi="Times New Roman" w:cs="Times New Roman"/>
          <w:sz w:val="20"/>
          <w:szCs w:val="20"/>
        </w:rPr>
        <w:t>test was</w:t>
      </w:r>
      <w:r w:rsidR="006874C3" w:rsidRPr="001C356B">
        <w:rPr>
          <w:rFonts w:ascii="Times New Roman" w:eastAsia="MS Mincho" w:hAnsi="Times New Roman" w:cs="Times New Roman"/>
          <w:sz w:val="20"/>
          <w:szCs w:val="20"/>
        </w:rPr>
        <w:t xml:space="preserve"> used for t</w:t>
      </w:r>
      <w:r w:rsidRPr="001C356B">
        <w:rPr>
          <w:rFonts w:ascii="Times New Roman" w:eastAsia="MS Mincho" w:hAnsi="Times New Roman" w:cs="Times New Roman"/>
          <w:sz w:val="20"/>
          <w:szCs w:val="20"/>
        </w:rPr>
        <w:t xml:space="preserve">he correlation between </w:t>
      </w:r>
      <w:r w:rsidR="00912639" w:rsidRPr="001C356B">
        <w:rPr>
          <w:rFonts w:ascii="Times New Roman" w:eastAsia="MS Mincho" w:hAnsi="Times New Roman" w:cs="Times New Roman"/>
          <w:sz w:val="20"/>
          <w:szCs w:val="20"/>
        </w:rPr>
        <w:t>clinical,</w:t>
      </w:r>
      <w:r w:rsidRPr="001C356B">
        <w:rPr>
          <w:rFonts w:ascii="Times New Roman" w:eastAsia="MS Mincho" w:hAnsi="Times New Roman" w:cs="Times New Roman"/>
          <w:sz w:val="20"/>
          <w:szCs w:val="20"/>
        </w:rPr>
        <w:t>pathological features and axillary lymp</w:t>
      </w:r>
      <w:r w:rsidR="006874C3" w:rsidRPr="001C356B">
        <w:rPr>
          <w:rFonts w:ascii="Times New Roman" w:eastAsia="MS Mincho" w:hAnsi="Times New Roman" w:cs="Times New Roman"/>
          <w:sz w:val="20"/>
          <w:szCs w:val="20"/>
        </w:rPr>
        <w:t>h node status</w:t>
      </w:r>
      <w:r w:rsidRPr="001C356B">
        <w:rPr>
          <w:rFonts w:ascii="Times New Roman" w:eastAsia="MS Mincho" w:hAnsi="Times New Roman" w:cs="Times New Roman"/>
          <w:sz w:val="20"/>
          <w:szCs w:val="20"/>
        </w:rPr>
        <w:t xml:space="preserve">. </w:t>
      </w:r>
      <w:r w:rsidR="00A53284" w:rsidRPr="001C356B">
        <w:rPr>
          <w:rFonts w:ascii="Times New Roman" w:eastAsia="MS Mincho" w:hAnsi="Times New Roman" w:cs="Times New Roman"/>
          <w:sz w:val="20"/>
          <w:szCs w:val="20"/>
        </w:rPr>
        <w:t>U</w:t>
      </w:r>
      <w:r w:rsidRPr="001C356B">
        <w:rPr>
          <w:rFonts w:ascii="Times New Roman" w:eastAsia="MS Mincho" w:hAnsi="Times New Roman" w:cs="Times New Roman"/>
          <w:sz w:val="20"/>
          <w:szCs w:val="20"/>
        </w:rPr>
        <w:t>nivar</w:t>
      </w:r>
      <w:r w:rsidR="00A46EB5" w:rsidRPr="001C356B">
        <w:rPr>
          <w:rFonts w:ascii="Times New Roman" w:eastAsia="MS Mincho" w:hAnsi="Times New Roman" w:cs="Times New Roman"/>
          <w:sz w:val="20"/>
          <w:szCs w:val="20"/>
        </w:rPr>
        <w:t>iate and multivariate analyses</w:t>
      </w:r>
      <w:r w:rsidR="00A53284" w:rsidRPr="001C356B">
        <w:rPr>
          <w:rFonts w:ascii="Times New Roman" w:eastAsia="MS Mincho" w:hAnsi="Times New Roman" w:cs="Times New Roman"/>
          <w:sz w:val="20"/>
          <w:szCs w:val="20"/>
        </w:rPr>
        <w:t xml:space="preserve"> was done </w:t>
      </w:r>
      <w:r w:rsidR="005B5B0B" w:rsidRPr="001C356B">
        <w:rPr>
          <w:rFonts w:ascii="Times New Roman" w:eastAsia="MS Mincho" w:hAnsi="Times New Roman" w:cs="Times New Roman"/>
          <w:sz w:val="20"/>
          <w:szCs w:val="20"/>
        </w:rPr>
        <w:t>using the</w:t>
      </w:r>
      <w:r w:rsidR="00A53284" w:rsidRPr="001C356B">
        <w:rPr>
          <w:rFonts w:ascii="Times New Roman" w:eastAsia="MS Mincho" w:hAnsi="Times New Roman" w:cs="Times New Roman"/>
          <w:sz w:val="20"/>
          <w:szCs w:val="20"/>
        </w:rPr>
        <w:t xml:space="preserve"> logistic regression model with</w:t>
      </w:r>
      <w:r w:rsidRPr="001C356B">
        <w:rPr>
          <w:rFonts w:ascii="Times New Roman" w:eastAsia="MS Mincho" w:hAnsi="Times New Roman" w:cs="Times New Roman"/>
          <w:sz w:val="20"/>
          <w:szCs w:val="20"/>
        </w:rPr>
        <w:t xml:space="preserve">P value </w:t>
      </w:r>
      <w:r w:rsidR="00A46EB5" w:rsidRPr="001C356B">
        <w:rPr>
          <w:rFonts w:ascii="Times New Roman" w:eastAsia="MS Mincho" w:hAnsi="Times New Roman" w:cs="Times New Roman"/>
          <w:sz w:val="20"/>
          <w:szCs w:val="20"/>
        </w:rPr>
        <w:t xml:space="preserve">of </w:t>
      </w:r>
      <w:r w:rsidRPr="001C356B">
        <w:rPr>
          <w:rFonts w:ascii="Times New Roman" w:eastAsia="MS Mincho" w:hAnsi="Times New Roman" w:cs="Times New Roman"/>
          <w:sz w:val="20"/>
          <w:szCs w:val="20"/>
        </w:rPr>
        <w:t>less than 0.05 was considered to be statistically significant.</w:t>
      </w:r>
    </w:p>
    <w:p w:rsidR="00F11597" w:rsidRPr="001C356B" w:rsidRDefault="00F11597" w:rsidP="00655CB2">
      <w:pPr>
        <w:bidi w:val="0"/>
        <w:snapToGrid w:val="0"/>
        <w:spacing w:after="0" w:line="240" w:lineRule="auto"/>
        <w:jc w:val="both"/>
        <w:rPr>
          <w:rFonts w:ascii="Times New Roman" w:eastAsia="MS Mincho" w:hAnsi="Times New Roman" w:cs="Times New Roman"/>
          <w:b/>
          <w:bCs/>
          <w:sz w:val="20"/>
          <w:szCs w:val="20"/>
        </w:rPr>
      </w:pPr>
    </w:p>
    <w:p w:rsidR="005408E9" w:rsidRPr="001C356B" w:rsidRDefault="00F11597" w:rsidP="00655CB2">
      <w:pPr>
        <w:bidi w:val="0"/>
        <w:snapToGrid w:val="0"/>
        <w:spacing w:after="0" w:line="240" w:lineRule="auto"/>
        <w:jc w:val="both"/>
        <w:rPr>
          <w:rFonts w:ascii="Times New Roman" w:eastAsia="MS Mincho" w:hAnsi="Times New Roman" w:cs="Times New Roman"/>
          <w:b/>
          <w:bCs/>
          <w:sz w:val="20"/>
          <w:szCs w:val="20"/>
        </w:rPr>
      </w:pPr>
      <w:r w:rsidRPr="001C356B">
        <w:rPr>
          <w:rFonts w:ascii="Times New Roman" w:eastAsia="MS Mincho" w:hAnsi="Times New Roman" w:cs="Times New Roman"/>
          <w:b/>
          <w:bCs/>
          <w:sz w:val="20"/>
          <w:szCs w:val="20"/>
        </w:rPr>
        <w:t xml:space="preserve">3. </w:t>
      </w:r>
      <w:r w:rsidR="005408E9" w:rsidRPr="001C356B">
        <w:rPr>
          <w:rFonts w:ascii="Times New Roman" w:eastAsia="MS Mincho" w:hAnsi="Times New Roman" w:cs="Times New Roman"/>
          <w:b/>
          <w:bCs/>
          <w:sz w:val="20"/>
          <w:szCs w:val="20"/>
        </w:rPr>
        <w:t>Results</w:t>
      </w:r>
    </w:p>
    <w:p w:rsidR="001C356B" w:rsidRPr="001C356B" w:rsidRDefault="00EC107B" w:rsidP="00655CB2">
      <w:pPr>
        <w:bidi w:val="0"/>
        <w:snapToGrid w:val="0"/>
        <w:spacing w:after="0" w:line="240" w:lineRule="auto"/>
        <w:ind w:firstLine="425"/>
        <w:jc w:val="both"/>
        <w:rPr>
          <w:rFonts w:ascii="Times New Roman" w:eastAsia="MS Mincho" w:hAnsi="Times New Roman" w:cs="Times New Roman"/>
          <w:sz w:val="20"/>
          <w:szCs w:val="20"/>
        </w:rPr>
      </w:pPr>
      <w:r w:rsidRPr="001C356B">
        <w:rPr>
          <w:rFonts w:ascii="Times New Roman" w:eastAsia="MS Mincho" w:hAnsi="Times New Roman" w:cs="Times New Roman"/>
          <w:sz w:val="20"/>
          <w:szCs w:val="20"/>
        </w:rPr>
        <w:t>A total of</w:t>
      </w:r>
      <w:r w:rsidR="00A46EB5" w:rsidRPr="001C356B">
        <w:rPr>
          <w:rFonts w:ascii="Times New Roman" w:eastAsia="MS Mincho" w:hAnsi="Times New Roman" w:cs="Times New Roman"/>
          <w:sz w:val="20"/>
          <w:szCs w:val="20"/>
        </w:rPr>
        <w:t xml:space="preserve"> 329 pa</w:t>
      </w:r>
      <w:r w:rsidR="005408E9" w:rsidRPr="001C356B">
        <w:rPr>
          <w:rFonts w:ascii="Times New Roman" w:eastAsia="MS Mincho" w:hAnsi="Times New Roman" w:cs="Times New Roman"/>
          <w:sz w:val="20"/>
          <w:szCs w:val="20"/>
        </w:rPr>
        <w:t>tients with invasive breast carcinoma were included. The mean age is (50</w:t>
      </w:r>
      <w:r w:rsidR="00A46EB5" w:rsidRPr="001C356B">
        <w:rPr>
          <w:rFonts w:ascii="Times New Roman" w:eastAsia="MS Mincho" w:hAnsi="Times New Roman" w:cs="Times New Roman"/>
          <w:sz w:val="20"/>
          <w:szCs w:val="20"/>
        </w:rPr>
        <w:t>.43</w:t>
      </w:r>
      <w:r w:rsidR="005408E9" w:rsidRPr="001C356B">
        <w:rPr>
          <w:rFonts w:ascii="Times New Roman" w:eastAsia="MS Mincho" w:hAnsi="Times New Roman" w:cs="Times New Roman"/>
          <w:sz w:val="20"/>
          <w:szCs w:val="20"/>
        </w:rPr>
        <w:t xml:space="preserve">) years old. </w:t>
      </w:r>
      <w:r w:rsidRPr="001C356B">
        <w:rPr>
          <w:rFonts w:ascii="Times New Roman" w:eastAsia="MS Mincho" w:hAnsi="Times New Roman" w:cs="Times New Roman"/>
          <w:sz w:val="20"/>
          <w:szCs w:val="20"/>
        </w:rPr>
        <w:t>I</w:t>
      </w:r>
      <w:r w:rsidR="005408E9" w:rsidRPr="001C356B">
        <w:rPr>
          <w:rFonts w:ascii="Times New Roman" w:eastAsia="MS Mincho" w:hAnsi="Times New Roman" w:cs="Times New Roman"/>
          <w:sz w:val="20"/>
          <w:szCs w:val="20"/>
        </w:rPr>
        <w:t xml:space="preserve">nvasive ductal </w:t>
      </w:r>
      <w:r w:rsidRPr="001C356B">
        <w:rPr>
          <w:rFonts w:ascii="Times New Roman" w:eastAsia="MS Mincho" w:hAnsi="Times New Roman" w:cs="Times New Roman"/>
          <w:sz w:val="20"/>
          <w:szCs w:val="20"/>
        </w:rPr>
        <w:t>carcinoma</w:t>
      </w:r>
      <w:r w:rsidR="005408E9" w:rsidRPr="001C356B">
        <w:rPr>
          <w:rFonts w:ascii="Times New Roman" w:eastAsia="MS Mincho" w:hAnsi="Times New Roman" w:cs="Times New Roman"/>
          <w:sz w:val="20"/>
          <w:szCs w:val="20"/>
        </w:rPr>
        <w:t xml:space="preserve"> (86.9%)</w:t>
      </w:r>
      <w:r w:rsidRPr="001C356B">
        <w:rPr>
          <w:rFonts w:ascii="Times New Roman" w:eastAsia="MS Mincho" w:hAnsi="Times New Roman" w:cs="Times New Roman"/>
          <w:sz w:val="20"/>
          <w:szCs w:val="20"/>
        </w:rPr>
        <w:t xml:space="preserve"> constitute majority of patients</w:t>
      </w:r>
      <w:r w:rsidR="005408E9" w:rsidRPr="001C356B">
        <w:rPr>
          <w:rFonts w:ascii="Times New Roman" w:eastAsia="MS Mincho" w:hAnsi="Times New Roman" w:cs="Times New Roman"/>
          <w:sz w:val="20"/>
          <w:szCs w:val="20"/>
        </w:rPr>
        <w:t xml:space="preserve">. Luminal A </w:t>
      </w:r>
      <w:r w:rsidR="00CC6538" w:rsidRPr="001C356B">
        <w:rPr>
          <w:rFonts w:ascii="Times New Roman" w:eastAsia="MS Mincho" w:hAnsi="Times New Roman" w:cs="Times New Roman"/>
          <w:sz w:val="20"/>
          <w:szCs w:val="20"/>
        </w:rPr>
        <w:t xml:space="preserve">molecular subtype was recorded in </w:t>
      </w:r>
      <w:r w:rsidR="002F5816" w:rsidRPr="001C356B">
        <w:rPr>
          <w:rFonts w:ascii="Times New Roman" w:eastAsia="MS Mincho" w:hAnsi="Times New Roman" w:cs="Times New Roman"/>
          <w:sz w:val="20"/>
          <w:szCs w:val="20"/>
        </w:rPr>
        <w:t>87 patients (26.4</w:t>
      </w:r>
      <w:r w:rsidR="005408E9" w:rsidRPr="001C356B">
        <w:rPr>
          <w:rFonts w:ascii="Times New Roman" w:eastAsia="MS Mincho" w:hAnsi="Times New Roman" w:cs="Times New Roman"/>
          <w:sz w:val="20"/>
          <w:szCs w:val="20"/>
        </w:rPr>
        <w:t>%)</w:t>
      </w:r>
      <w:r w:rsidR="005B5B0B" w:rsidRPr="001C356B">
        <w:rPr>
          <w:rFonts w:ascii="Times New Roman" w:eastAsia="MS Mincho" w:hAnsi="Times New Roman" w:cs="Times New Roman"/>
          <w:sz w:val="20"/>
          <w:szCs w:val="20"/>
        </w:rPr>
        <w:t>, while</w:t>
      </w:r>
      <w:r w:rsidR="00A46EB5" w:rsidRPr="001C356B">
        <w:rPr>
          <w:rFonts w:ascii="Times New Roman" w:eastAsia="MS Mincho" w:hAnsi="Times New Roman" w:cs="Times New Roman"/>
          <w:sz w:val="20"/>
          <w:szCs w:val="20"/>
        </w:rPr>
        <w:t xml:space="preserve"> lumina</w:t>
      </w:r>
      <w:r w:rsidR="00655CB2" w:rsidRPr="001C356B">
        <w:rPr>
          <w:rFonts w:ascii="Times New Roman" w:eastAsia="MS Mincho" w:hAnsi="Times New Roman" w:cs="Times New Roman"/>
          <w:sz w:val="20"/>
          <w:szCs w:val="20"/>
        </w:rPr>
        <w:t>lB</w:t>
      </w:r>
      <w:r w:rsidR="00A46EB5" w:rsidRPr="001C356B">
        <w:rPr>
          <w:rFonts w:ascii="Times New Roman" w:eastAsia="MS Mincho" w:hAnsi="Times New Roman" w:cs="Times New Roman"/>
          <w:sz w:val="20"/>
          <w:szCs w:val="20"/>
        </w:rPr>
        <w:t>, HER</w:t>
      </w:r>
      <w:r w:rsidR="005408E9" w:rsidRPr="001C356B">
        <w:rPr>
          <w:rFonts w:ascii="Times New Roman" w:eastAsia="MS Mincho" w:hAnsi="Times New Roman" w:cs="Times New Roman"/>
          <w:sz w:val="20"/>
          <w:szCs w:val="20"/>
        </w:rPr>
        <w:t xml:space="preserve">-2+ </w:t>
      </w:r>
      <w:r w:rsidR="00CC6538" w:rsidRPr="001C356B">
        <w:rPr>
          <w:rFonts w:ascii="Times New Roman" w:eastAsia="MS Mincho" w:hAnsi="Times New Roman" w:cs="Times New Roman"/>
          <w:sz w:val="20"/>
          <w:szCs w:val="20"/>
        </w:rPr>
        <w:t xml:space="preserve">and TNBC were </w:t>
      </w:r>
      <w:r w:rsidR="00A46EB5" w:rsidRPr="001C356B">
        <w:rPr>
          <w:rFonts w:ascii="Times New Roman" w:eastAsia="MS Mincho" w:hAnsi="Times New Roman" w:cs="Times New Roman"/>
          <w:sz w:val="20"/>
          <w:szCs w:val="20"/>
        </w:rPr>
        <w:t>recorded</w:t>
      </w:r>
      <w:r w:rsidR="00CC6538" w:rsidRPr="001C356B">
        <w:rPr>
          <w:rFonts w:ascii="Times New Roman" w:eastAsia="MS Mincho" w:hAnsi="Times New Roman" w:cs="Times New Roman"/>
          <w:sz w:val="20"/>
          <w:szCs w:val="20"/>
        </w:rPr>
        <w:t xml:space="preserve"> in 163 patients (49.5%), 35 patients (10.6%) and 44 patients</w:t>
      </w:r>
      <w:r w:rsidR="002F5816" w:rsidRPr="001C356B">
        <w:rPr>
          <w:rFonts w:ascii="Times New Roman" w:eastAsia="MS Mincho" w:hAnsi="Times New Roman" w:cs="Times New Roman"/>
          <w:sz w:val="20"/>
          <w:szCs w:val="20"/>
        </w:rPr>
        <w:t xml:space="preserve"> (13.5</w:t>
      </w:r>
      <w:r w:rsidR="00CC6538" w:rsidRPr="001C356B">
        <w:rPr>
          <w:rFonts w:ascii="Times New Roman" w:eastAsia="MS Mincho" w:hAnsi="Times New Roman" w:cs="Times New Roman"/>
          <w:sz w:val="20"/>
          <w:szCs w:val="20"/>
        </w:rPr>
        <w:t>%</w:t>
      </w:r>
      <w:r w:rsidR="005B5B0B" w:rsidRPr="001C356B">
        <w:rPr>
          <w:rFonts w:ascii="Times New Roman" w:eastAsia="MS Mincho" w:hAnsi="Times New Roman" w:cs="Times New Roman"/>
          <w:sz w:val="20"/>
          <w:szCs w:val="20"/>
        </w:rPr>
        <w:t>) respectively</w:t>
      </w:r>
      <w:r w:rsidR="00CC6538" w:rsidRPr="001C356B">
        <w:rPr>
          <w:rFonts w:ascii="Times New Roman" w:eastAsia="MS Mincho" w:hAnsi="Times New Roman" w:cs="Times New Roman"/>
          <w:sz w:val="20"/>
          <w:szCs w:val="20"/>
        </w:rPr>
        <w:t>.</w:t>
      </w:r>
    </w:p>
    <w:p w:rsidR="005408E9" w:rsidRPr="001C356B" w:rsidRDefault="001C356B" w:rsidP="00655CB2">
      <w:pPr>
        <w:bidi w:val="0"/>
        <w:snapToGrid w:val="0"/>
        <w:spacing w:after="0" w:line="240" w:lineRule="auto"/>
        <w:ind w:firstLine="425"/>
        <w:jc w:val="both"/>
        <w:rPr>
          <w:rFonts w:ascii="Times New Roman" w:eastAsia="MS Mincho" w:hAnsi="Times New Roman" w:cs="Times New Roman"/>
          <w:sz w:val="20"/>
          <w:szCs w:val="20"/>
        </w:rPr>
      </w:pPr>
      <w:r w:rsidRPr="001C356B">
        <w:rPr>
          <w:rFonts w:ascii="Times New Roman" w:eastAsia="MS Mincho" w:hAnsi="Times New Roman" w:cs="Times New Roman"/>
          <w:sz w:val="20"/>
          <w:szCs w:val="20"/>
        </w:rPr>
        <w:t>O</w:t>
      </w:r>
      <w:r w:rsidR="005408E9" w:rsidRPr="001C356B">
        <w:rPr>
          <w:rFonts w:ascii="Times New Roman" w:eastAsia="MS Mincho" w:hAnsi="Times New Roman" w:cs="Times New Roman"/>
          <w:sz w:val="20"/>
          <w:szCs w:val="20"/>
        </w:rPr>
        <w:t xml:space="preserve">ne hundred thirty nine patients were pre-menopausal (42.2%), 190 patients were post-menopausal (57.8%). </w:t>
      </w:r>
      <w:r w:rsidR="00FF3880" w:rsidRPr="001C356B">
        <w:rPr>
          <w:rFonts w:ascii="Times New Roman" w:eastAsia="MS Mincho" w:hAnsi="Times New Roman" w:cs="Times New Roman"/>
          <w:sz w:val="20"/>
          <w:szCs w:val="20"/>
        </w:rPr>
        <w:t>Regarding t</w:t>
      </w:r>
      <w:r w:rsidR="009558F3" w:rsidRPr="001C356B">
        <w:rPr>
          <w:rFonts w:ascii="Times New Roman" w:eastAsia="MS Mincho" w:hAnsi="Times New Roman" w:cs="Times New Roman"/>
          <w:sz w:val="20"/>
          <w:szCs w:val="20"/>
        </w:rPr>
        <w:t>umor</w:t>
      </w:r>
      <w:r w:rsidR="00FF3880" w:rsidRPr="001C356B">
        <w:rPr>
          <w:rFonts w:ascii="Times New Roman" w:eastAsia="MS Mincho" w:hAnsi="Times New Roman" w:cs="Times New Roman"/>
          <w:sz w:val="20"/>
          <w:szCs w:val="20"/>
        </w:rPr>
        <w:t>,</w:t>
      </w:r>
      <w:r w:rsidR="005408E9" w:rsidRPr="001C356B">
        <w:rPr>
          <w:rFonts w:ascii="Times New Roman" w:eastAsia="MS Mincho" w:hAnsi="Times New Roman" w:cs="Times New Roman"/>
          <w:sz w:val="20"/>
          <w:szCs w:val="20"/>
        </w:rPr>
        <w:t xml:space="preserve"> T1</w:t>
      </w:r>
      <w:r w:rsidR="00CB79DA" w:rsidRPr="001C356B">
        <w:rPr>
          <w:rFonts w:ascii="Times New Roman" w:eastAsia="MS Mincho" w:hAnsi="Times New Roman" w:cs="Times New Roman"/>
          <w:sz w:val="20"/>
          <w:szCs w:val="20"/>
        </w:rPr>
        <w:t xml:space="preserve">was </w:t>
      </w:r>
      <w:r w:rsidR="005408E9" w:rsidRPr="001C356B">
        <w:rPr>
          <w:rFonts w:ascii="Times New Roman" w:eastAsia="MS Mincho" w:hAnsi="Times New Roman" w:cs="Times New Roman"/>
          <w:sz w:val="20"/>
          <w:szCs w:val="20"/>
        </w:rPr>
        <w:t xml:space="preserve">represented </w:t>
      </w:r>
      <w:r w:rsidR="00CB79DA" w:rsidRPr="001C356B">
        <w:rPr>
          <w:rFonts w:ascii="Times New Roman" w:eastAsia="MS Mincho" w:hAnsi="Times New Roman" w:cs="Times New Roman"/>
          <w:sz w:val="20"/>
          <w:szCs w:val="20"/>
        </w:rPr>
        <w:t>in</w:t>
      </w:r>
      <w:r w:rsidR="005408E9" w:rsidRPr="001C356B">
        <w:rPr>
          <w:rFonts w:ascii="Times New Roman" w:eastAsia="MS Mincho" w:hAnsi="Times New Roman" w:cs="Times New Roman"/>
          <w:sz w:val="20"/>
          <w:szCs w:val="20"/>
        </w:rPr>
        <w:t xml:space="preserve">18.2%, </w:t>
      </w:r>
      <w:r w:rsidR="00CB79DA" w:rsidRPr="001C356B">
        <w:rPr>
          <w:rFonts w:ascii="Times New Roman" w:eastAsia="MS Mincho" w:hAnsi="Times New Roman" w:cs="Times New Roman"/>
          <w:sz w:val="20"/>
          <w:szCs w:val="20"/>
        </w:rPr>
        <w:t xml:space="preserve">while T2and T3 were recorded in </w:t>
      </w:r>
      <w:r w:rsidR="005408E9" w:rsidRPr="001C356B">
        <w:rPr>
          <w:rFonts w:ascii="Times New Roman" w:eastAsia="MS Mincho" w:hAnsi="Times New Roman" w:cs="Times New Roman"/>
          <w:sz w:val="20"/>
          <w:szCs w:val="20"/>
        </w:rPr>
        <w:t>53.2%</w:t>
      </w:r>
      <w:r w:rsidR="00CB79DA" w:rsidRPr="001C356B">
        <w:rPr>
          <w:rFonts w:ascii="Times New Roman" w:eastAsia="MS Mincho" w:hAnsi="Times New Roman" w:cs="Times New Roman"/>
          <w:sz w:val="20"/>
          <w:szCs w:val="20"/>
        </w:rPr>
        <w:t xml:space="preserve"> and28.6% respectively.</w:t>
      </w:r>
      <w:r w:rsidR="00881D33" w:rsidRPr="001C356B">
        <w:rPr>
          <w:rFonts w:ascii="Times New Roman" w:eastAsia="MS Mincho" w:hAnsi="Times New Roman" w:cs="Times New Roman"/>
          <w:sz w:val="20"/>
          <w:szCs w:val="20"/>
        </w:rPr>
        <w:t>G</w:t>
      </w:r>
      <w:r w:rsidR="005408E9" w:rsidRPr="001C356B">
        <w:rPr>
          <w:rFonts w:ascii="Times New Roman" w:eastAsia="MS Mincho" w:hAnsi="Times New Roman" w:cs="Times New Roman"/>
          <w:sz w:val="20"/>
          <w:szCs w:val="20"/>
        </w:rPr>
        <w:t>rade I</w:t>
      </w:r>
      <w:r w:rsidRPr="001C356B">
        <w:rPr>
          <w:rFonts w:ascii="Times New Roman" w:eastAsia="MS Mincho" w:hAnsi="Times New Roman" w:cs="Times New Roman"/>
          <w:sz w:val="20"/>
          <w:szCs w:val="20"/>
        </w:rPr>
        <w:t>&amp;</w:t>
      </w:r>
      <w:r w:rsidR="005408E9" w:rsidRPr="001C356B">
        <w:rPr>
          <w:rFonts w:ascii="Times New Roman" w:eastAsia="MS Mincho" w:hAnsi="Times New Roman" w:cs="Times New Roman"/>
          <w:sz w:val="20"/>
          <w:szCs w:val="20"/>
        </w:rPr>
        <w:t xml:space="preserve">II, representing 71.1% while grade </w:t>
      </w:r>
      <w:r w:rsidR="00CB79DA" w:rsidRPr="001C356B">
        <w:rPr>
          <w:rFonts w:ascii="Times New Roman" w:eastAsia="MS Mincho" w:hAnsi="Times New Roman" w:cs="Times New Roman"/>
          <w:sz w:val="20"/>
          <w:szCs w:val="20"/>
        </w:rPr>
        <w:t>III occurred in 28.9%.</w:t>
      </w:r>
    </w:p>
    <w:p w:rsidR="002353BD" w:rsidRPr="001C356B" w:rsidRDefault="005408E9" w:rsidP="00655CB2">
      <w:pPr>
        <w:bidi w:val="0"/>
        <w:snapToGrid w:val="0"/>
        <w:spacing w:after="0" w:line="240" w:lineRule="auto"/>
        <w:ind w:firstLine="425"/>
        <w:jc w:val="both"/>
        <w:rPr>
          <w:rFonts w:ascii="Times New Roman" w:eastAsia="MS Mincho" w:hAnsi="Times New Roman" w:cs="Times New Roman"/>
          <w:sz w:val="20"/>
          <w:szCs w:val="20"/>
        </w:rPr>
      </w:pPr>
      <w:r w:rsidRPr="001C356B">
        <w:rPr>
          <w:rFonts w:ascii="Times New Roman" w:eastAsia="MS Mincho" w:hAnsi="Times New Roman" w:cs="Times New Roman"/>
          <w:sz w:val="20"/>
          <w:szCs w:val="20"/>
        </w:rPr>
        <w:t xml:space="preserve">Table 1, (Fig. 1) showed that 163 (49.5%) patients had node negative disease while 166 (50.5%) </w:t>
      </w:r>
      <w:r w:rsidRPr="001C356B">
        <w:rPr>
          <w:rFonts w:ascii="Times New Roman" w:eastAsia="MS Mincho" w:hAnsi="Times New Roman" w:cs="Times New Roman"/>
          <w:sz w:val="20"/>
          <w:szCs w:val="20"/>
        </w:rPr>
        <w:lastRenderedPageBreak/>
        <w:t xml:space="preserve">had node positive disease. Nodal stage 2 was the most frequent (106 </w:t>
      </w:r>
      <w:r w:rsidR="00A46EB5" w:rsidRPr="001C356B">
        <w:rPr>
          <w:rFonts w:ascii="Times New Roman" w:eastAsia="MS Mincho" w:hAnsi="Times New Roman" w:cs="Times New Roman"/>
          <w:sz w:val="20"/>
          <w:szCs w:val="20"/>
        </w:rPr>
        <w:t>patients)</w:t>
      </w:r>
      <w:r w:rsidR="00200531" w:rsidRPr="001C356B">
        <w:rPr>
          <w:rFonts w:ascii="Times New Roman" w:eastAsia="MS Mincho" w:hAnsi="Times New Roman" w:cs="Times New Roman"/>
          <w:sz w:val="20"/>
          <w:szCs w:val="20"/>
        </w:rPr>
        <w:t xml:space="preserve"> followed </w:t>
      </w:r>
      <w:r w:rsidR="00A46EB5" w:rsidRPr="001C356B">
        <w:rPr>
          <w:rFonts w:ascii="Times New Roman" w:eastAsia="MS Mincho" w:hAnsi="Times New Roman" w:cs="Times New Roman"/>
          <w:sz w:val="20"/>
          <w:szCs w:val="20"/>
        </w:rPr>
        <w:t>by N1</w:t>
      </w:r>
      <w:r w:rsidRPr="001C356B">
        <w:rPr>
          <w:rFonts w:ascii="Times New Roman" w:eastAsia="MS Mincho" w:hAnsi="Times New Roman" w:cs="Times New Roman"/>
          <w:sz w:val="20"/>
          <w:szCs w:val="20"/>
        </w:rPr>
        <w:t xml:space="preserve"> (34 patients</w:t>
      </w:r>
      <w:r w:rsidR="00A46EB5" w:rsidRPr="001C356B">
        <w:rPr>
          <w:rFonts w:ascii="Times New Roman" w:eastAsia="MS Mincho" w:hAnsi="Times New Roman" w:cs="Times New Roman"/>
          <w:sz w:val="20"/>
          <w:szCs w:val="20"/>
        </w:rPr>
        <w:t>) and</w:t>
      </w:r>
      <w:r w:rsidRPr="001C356B">
        <w:rPr>
          <w:rFonts w:ascii="Times New Roman" w:eastAsia="MS Mincho" w:hAnsi="Times New Roman" w:cs="Times New Roman"/>
          <w:sz w:val="20"/>
          <w:szCs w:val="20"/>
        </w:rPr>
        <w:t xml:space="preserve">26 patients had N3 stage. </w:t>
      </w:r>
    </w:p>
    <w:p w:rsidR="00655CB2" w:rsidRDefault="00655CB2" w:rsidP="00655CB2">
      <w:pPr>
        <w:bidi w:val="0"/>
        <w:snapToGrid w:val="0"/>
        <w:spacing w:after="0" w:line="240" w:lineRule="auto"/>
        <w:jc w:val="both"/>
        <w:rPr>
          <w:rFonts w:ascii="Times New Roman" w:hAnsi="Times New Roman" w:cs="Times New Roman"/>
          <w:b/>
          <w:bCs/>
          <w:sz w:val="20"/>
          <w:szCs w:val="18"/>
          <w:lang w:eastAsia="zh-CN"/>
        </w:rPr>
      </w:pPr>
    </w:p>
    <w:p w:rsidR="00655CB2" w:rsidRPr="001C356B" w:rsidRDefault="00655CB2" w:rsidP="00655CB2">
      <w:pPr>
        <w:bidi w:val="0"/>
        <w:snapToGrid w:val="0"/>
        <w:spacing w:after="0" w:line="240" w:lineRule="auto"/>
        <w:jc w:val="both"/>
        <w:rPr>
          <w:rFonts w:ascii="Times New Roman" w:hAnsi="Times New Roman" w:cs="Times New Roman"/>
          <w:b/>
          <w:bCs/>
          <w:sz w:val="20"/>
          <w:szCs w:val="18"/>
        </w:rPr>
      </w:pPr>
      <w:r w:rsidRPr="001C356B">
        <w:rPr>
          <w:rFonts w:ascii="Times New Roman" w:hAnsi="Times New Roman" w:cs="Times New Roman"/>
          <w:b/>
          <w:bCs/>
          <w:sz w:val="20"/>
          <w:szCs w:val="18"/>
        </w:rPr>
        <w:t>Table (1): Distribution of the patients according to N stage (n = 329)</w:t>
      </w: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tblPr>
      <w:tblGrid>
        <w:gridCol w:w="2675"/>
        <w:gridCol w:w="870"/>
        <w:gridCol w:w="975"/>
      </w:tblGrid>
      <w:tr w:rsidR="00655CB2" w:rsidRPr="001C356B" w:rsidTr="00D02288">
        <w:trPr>
          <w:jc w:val="center"/>
        </w:trPr>
        <w:tc>
          <w:tcPr>
            <w:tcW w:w="2959" w:type="pct"/>
            <w:tcBorders>
              <w:top w:val="single" w:sz="12" w:space="0" w:color="auto"/>
              <w:left w:val="nil"/>
              <w:bottom w:val="single" w:sz="4" w:space="0" w:color="auto"/>
              <w:right w:val="nil"/>
            </w:tcBorders>
            <w:vAlign w:val="center"/>
            <w:hideMark/>
          </w:tcPr>
          <w:p w:rsidR="00655CB2" w:rsidRPr="001C356B" w:rsidRDefault="00655CB2" w:rsidP="00D02288">
            <w:pPr>
              <w:bidi w:val="0"/>
              <w:snapToGrid w:val="0"/>
              <w:jc w:val="both"/>
              <w:rPr>
                <w:b/>
                <w:bCs/>
                <w:sz w:val="20"/>
                <w:szCs w:val="18"/>
              </w:rPr>
            </w:pPr>
            <w:r w:rsidRPr="001C356B">
              <w:rPr>
                <w:b/>
                <w:bCs/>
                <w:sz w:val="20"/>
                <w:szCs w:val="18"/>
              </w:rPr>
              <w:t>Stage N</w:t>
            </w:r>
          </w:p>
        </w:tc>
        <w:tc>
          <w:tcPr>
            <w:tcW w:w="962" w:type="pct"/>
            <w:tcBorders>
              <w:top w:val="single" w:sz="12" w:space="0" w:color="auto"/>
              <w:left w:val="nil"/>
              <w:bottom w:val="single" w:sz="4" w:space="0" w:color="auto"/>
              <w:right w:val="nil"/>
            </w:tcBorders>
            <w:vAlign w:val="center"/>
            <w:hideMark/>
          </w:tcPr>
          <w:p w:rsidR="00655CB2" w:rsidRPr="001C356B" w:rsidRDefault="00655CB2" w:rsidP="00D02288">
            <w:pPr>
              <w:bidi w:val="0"/>
              <w:snapToGrid w:val="0"/>
              <w:jc w:val="both"/>
              <w:rPr>
                <w:b/>
                <w:bCs/>
                <w:sz w:val="20"/>
                <w:szCs w:val="18"/>
              </w:rPr>
            </w:pPr>
            <w:r w:rsidRPr="001C356B">
              <w:rPr>
                <w:b/>
                <w:bCs/>
                <w:sz w:val="20"/>
                <w:szCs w:val="18"/>
              </w:rPr>
              <w:t>No.</w:t>
            </w:r>
          </w:p>
        </w:tc>
        <w:tc>
          <w:tcPr>
            <w:tcW w:w="1079" w:type="pct"/>
            <w:tcBorders>
              <w:top w:val="single" w:sz="12" w:space="0" w:color="auto"/>
              <w:left w:val="nil"/>
              <w:bottom w:val="single" w:sz="4" w:space="0" w:color="auto"/>
              <w:right w:val="nil"/>
            </w:tcBorders>
            <w:vAlign w:val="center"/>
            <w:hideMark/>
          </w:tcPr>
          <w:p w:rsidR="00655CB2" w:rsidRPr="001C356B" w:rsidRDefault="00655CB2" w:rsidP="00D02288">
            <w:pPr>
              <w:bidi w:val="0"/>
              <w:snapToGrid w:val="0"/>
              <w:jc w:val="both"/>
              <w:rPr>
                <w:b/>
                <w:bCs/>
                <w:sz w:val="20"/>
                <w:szCs w:val="18"/>
              </w:rPr>
            </w:pPr>
            <w:r w:rsidRPr="001C356B">
              <w:rPr>
                <w:b/>
                <w:bCs/>
                <w:sz w:val="20"/>
                <w:szCs w:val="18"/>
              </w:rPr>
              <w:t>%</w:t>
            </w:r>
          </w:p>
        </w:tc>
      </w:tr>
      <w:tr w:rsidR="00655CB2" w:rsidRPr="001C356B" w:rsidTr="00D02288">
        <w:trPr>
          <w:jc w:val="center"/>
        </w:trPr>
        <w:tc>
          <w:tcPr>
            <w:tcW w:w="2959" w:type="pct"/>
            <w:tcBorders>
              <w:top w:val="single" w:sz="4" w:space="0" w:color="auto"/>
              <w:left w:val="nil"/>
              <w:bottom w:val="nil"/>
              <w:right w:val="nil"/>
            </w:tcBorders>
            <w:vAlign w:val="center"/>
            <w:hideMark/>
          </w:tcPr>
          <w:p w:rsidR="00655CB2" w:rsidRPr="001C356B" w:rsidRDefault="00655CB2" w:rsidP="00D02288">
            <w:pPr>
              <w:bidi w:val="0"/>
              <w:snapToGrid w:val="0"/>
              <w:jc w:val="both"/>
              <w:rPr>
                <w:sz w:val="20"/>
                <w:szCs w:val="18"/>
              </w:rPr>
            </w:pPr>
            <w:r w:rsidRPr="001C356B">
              <w:rPr>
                <w:sz w:val="20"/>
                <w:szCs w:val="18"/>
              </w:rPr>
              <w:t>N0</w:t>
            </w:r>
          </w:p>
        </w:tc>
        <w:tc>
          <w:tcPr>
            <w:tcW w:w="962" w:type="pct"/>
            <w:tcBorders>
              <w:top w:val="single" w:sz="4" w:space="0" w:color="auto"/>
              <w:left w:val="nil"/>
              <w:bottom w:val="nil"/>
              <w:right w:val="nil"/>
            </w:tcBorders>
            <w:vAlign w:val="center"/>
            <w:hideMark/>
          </w:tcPr>
          <w:p w:rsidR="00655CB2" w:rsidRPr="001C356B" w:rsidRDefault="00655CB2" w:rsidP="00D02288">
            <w:pPr>
              <w:bidi w:val="0"/>
              <w:snapToGrid w:val="0"/>
              <w:jc w:val="both"/>
              <w:rPr>
                <w:sz w:val="20"/>
                <w:szCs w:val="18"/>
              </w:rPr>
            </w:pPr>
            <w:r w:rsidRPr="001C356B">
              <w:rPr>
                <w:sz w:val="20"/>
                <w:szCs w:val="18"/>
              </w:rPr>
              <w:t>163</w:t>
            </w:r>
          </w:p>
        </w:tc>
        <w:tc>
          <w:tcPr>
            <w:tcW w:w="1079" w:type="pct"/>
            <w:tcBorders>
              <w:top w:val="single" w:sz="4" w:space="0" w:color="auto"/>
              <w:left w:val="nil"/>
              <w:bottom w:val="nil"/>
              <w:right w:val="nil"/>
            </w:tcBorders>
            <w:vAlign w:val="center"/>
            <w:hideMark/>
          </w:tcPr>
          <w:p w:rsidR="00655CB2" w:rsidRPr="001C356B" w:rsidRDefault="00655CB2" w:rsidP="00D02288">
            <w:pPr>
              <w:bidi w:val="0"/>
              <w:snapToGrid w:val="0"/>
              <w:jc w:val="both"/>
              <w:rPr>
                <w:sz w:val="20"/>
                <w:szCs w:val="18"/>
              </w:rPr>
            </w:pPr>
            <w:r w:rsidRPr="001C356B">
              <w:rPr>
                <w:sz w:val="20"/>
                <w:szCs w:val="18"/>
              </w:rPr>
              <w:t>49.5</w:t>
            </w:r>
          </w:p>
        </w:tc>
      </w:tr>
      <w:tr w:rsidR="00655CB2" w:rsidRPr="001C356B" w:rsidTr="00D02288">
        <w:trPr>
          <w:jc w:val="center"/>
        </w:trPr>
        <w:tc>
          <w:tcPr>
            <w:tcW w:w="2959" w:type="pct"/>
            <w:vAlign w:val="center"/>
            <w:hideMark/>
          </w:tcPr>
          <w:p w:rsidR="00655CB2" w:rsidRPr="001C356B" w:rsidRDefault="00655CB2" w:rsidP="00D02288">
            <w:pPr>
              <w:bidi w:val="0"/>
              <w:snapToGrid w:val="0"/>
              <w:jc w:val="both"/>
              <w:rPr>
                <w:sz w:val="20"/>
                <w:szCs w:val="18"/>
              </w:rPr>
            </w:pPr>
            <w:r w:rsidRPr="001C356B">
              <w:rPr>
                <w:sz w:val="20"/>
                <w:szCs w:val="18"/>
              </w:rPr>
              <w:t>N1</w:t>
            </w:r>
          </w:p>
        </w:tc>
        <w:tc>
          <w:tcPr>
            <w:tcW w:w="962" w:type="pct"/>
            <w:vAlign w:val="center"/>
            <w:hideMark/>
          </w:tcPr>
          <w:p w:rsidR="00655CB2" w:rsidRPr="001C356B" w:rsidRDefault="00655CB2" w:rsidP="00D02288">
            <w:pPr>
              <w:bidi w:val="0"/>
              <w:snapToGrid w:val="0"/>
              <w:jc w:val="both"/>
              <w:rPr>
                <w:sz w:val="20"/>
                <w:szCs w:val="18"/>
              </w:rPr>
            </w:pPr>
            <w:r w:rsidRPr="001C356B">
              <w:rPr>
                <w:sz w:val="20"/>
                <w:szCs w:val="18"/>
              </w:rPr>
              <w:t>34</w:t>
            </w:r>
          </w:p>
        </w:tc>
        <w:tc>
          <w:tcPr>
            <w:tcW w:w="1079" w:type="pct"/>
            <w:vAlign w:val="center"/>
            <w:hideMark/>
          </w:tcPr>
          <w:p w:rsidR="00655CB2" w:rsidRPr="001C356B" w:rsidRDefault="00655CB2" w:rsidP="00D02288">
            <w:pPr>
              <w:bidi w:val="0"/>
              <w:snapToGrid w:val="0"/>
              <w:jc w:val="both"/>
              <w:rPr>
                <w:sz w:val="20"/>
                <w:szCs w:val="18"/>
              </w:rPr>
            </w:pPr>
            <w:r w:rsidRPr="001C356B">
              <w:rPr>
                <w:sz w:val="20"/>
                <w:szCs w:val="18"/>
              </w:rPr>
              <w:t>10.3</w:t>
            </w:r>
          </w:p>
        </w:tc>
      </w:tr>
      <w:tr w:rsidR="00655CB2" w:rsidRPr="001C356B" w:rsidTr="00D02288">
        <w:trPr>
          <w:jc w:val="center"/>
        </w:trPr>
        <w:tc>
          <w:tcPr>
            <w:tcW w:w="2959" w:type="pct"/>
            <w:vAlign w:val="center"/>
            <w:hideMark/>
          </w:tcPr>
          <w:p w:rsidR="00655CB2" w:rsidRPr="001C356B" w:rsidRDefault="00655CB2" w:rsidP="00D02288">
            <w:pPr>
              <w:bidi w:val="0"/>
              <w:snapToGrid w:val="0"/>
              <w:jc w:val="both"/>
              <w:rPr>
                <w:sz w:val="20"/>
                <w:szCs w:val="18"/>
              </w:rPr>
            </w:pPr>
            <w:r w:rsidRPr="001C356B">
              <w:rPr>
                <w:sz w:val="20"/>
                <w:szCs w:val="18"/>
              </w:rPr>
              <w:t>N2</w:t>
            </w:r>
          </w:p>
        </w:tc>
        <w:tc>
          <w:tcPr>
            <w:tcW w:w="962" w:type="pct"/>
            <w:vAlign w:val="center"/>
            <w:hideMark/>
          </w:tcPr>
          <w:p w:rsidR="00655CB2" w:rsidRPr="001C356B" w:rsidRDefault="00655CB2" w:rsidP="00D02288">
            <w:pPr>
              <w:bidi w:val="0"/>
              <w:snapToGrid w:val="0"/>
              <w:jc w:val="both"/>
              <w:rPr>
                <w:sz w:val="20"/>
                <w:szCs w:val="18"/>
              </w:rPr>
            </w:pPr>
            <w:r w:rsidRPr="001C356B">
              <w:rPr>
                <w:sz w:val="20"/>
                <w:szCs w:val="18"/>
              </w:rPr>
              <w:t>106</w:t>
            </w:r>
          </w:p>
        </w:tc>
        <w:tc>
          <w:tcPr>
            <w:tcW w:w="1079" w:type="pct"/>
            <w:vAlign w:val="center"/>
            <w:hideMark/>
          </w:tcPr>
          <w:p w:rsidR="00655CB2" w:rsidRPr="001C356B" w:rsidRDefault="00655CB2" w:rsidP="00D02288">
            <w:pPr>
              <w:bidi w:val="0"/>
              <w:snapToGrid w:val="0"/>
              <w:jc w:val="both"/>
              <w:rPr>
                <w:sz w:val="20"/>
                <w:szCs w:val="18"/>
              </w:rPr>
            </w:pPr>
            <w:r w:rsidRPr="001C356B">
              <w:rPr>
                <w:sz w:val="20"/>
                <w:szCs w:val="18"/>
              </w:rPr>
              <w:t>32.2</w:t>
            </w:r>
          </w:p>
        </w:tc>
      </w:tr>
      <w:tr w:rsidR="00655CB2" w:rsidRPr="001C356B" w:rsidTr="00D02288">
        <w:trPr>
          <w:jc w:val="center"/>
        </w:trPr>
        <w:tc>
          <w:tcPr>
            <w:tcW w:w="2959" w:type="pct"/>
            <w:vAlign w:val="center"/>
            <w:hideMark/>
          </w:tcPr>
          <w:p w:rsidR="00655CB2" w:rsidRPr="001C356B" w:rsidRDefault="00655CB2" w:rsidP="00D02288">
            <w:pPr>
              <w:bidi w:val="0"/>
              <w:snapToGrid w:val="0"/>
              <w:jc w:val="both"/>
              <w:rPr>
                <w:sz w:val="20"/>
                <w:szCs w:val="18"/>
              </w:rPr>
            </w:pPr>
            <w:r w:rsidRPr="001C356B">
              <w:rPr>
                <w:sz w:val="20"/>
                <w:szCs w:val="18"/>
              </w:rPr>
              <w:t>N3</w:t>
            </w:r>
          </w:p>
        </w:tc>
        <w:tc>
          <w:tcPr>
            <w:tcW w:w="962" w:type="pct"/>
            <w:vAlign w:val="center"/>
            <w:hideMark/>
          </w:tcPr>
          <w:p w:rsidR="00655CB2" w:rsidRPr="001C356B" w:rsidRDefault="00655CB2" w:rsidP="00D02288">
            <w:pPr>
              <w:bidi w:val="0"/>
              <w:snapToGrid w:val="0"/>
              <w:jc w:val="both"/>
              <w:rPr>
                <w:sz w:val="20"/>
                <w:szCs w:val="18"/>
              </w:rPr>
            </w:pPr>
            <w:r w:rsidRPr="001C356B">
              <w:rPr>
                <w:sz w:val="20"/>
                <w:szCs w:val="18"/>
              </w:rPr>
              <w:t>26</w:t>
            </w:r>
          </w:p>
        </w:tc>
        <w:tc>
          <w:tcPr>
            <w:tcW w:w="1079" w:type="pct"/>
            <w:vAlign w:val="center"/>
            <w:hideMark/>
          </w:tcPr>
          <w:p w:rsidR="00655CB2" w:rsidRPr="001C356B" w:rsidRDefault="00655CB2" w:rsidP="00D02288">
            <w:pPr>
              <w:bidi w:val="0"/>
              <w:snapToGrid w:val="0"/>
              <w:jc w:val="both"/>
              <w:rPr>
                <w:sz w:val="20"/>
                <w:szCs w:val="18"/>
              </w:rPr>
            </w:pPr>
            <w:r w:rsidRPr="001C356B">
              <w:rPr>
                <w:sz w:val="20"/>
                <w:szCs w:val="18"/>
              </w:rPr>
              <w:t>7.9</w:t>
            </w:r>
          </w:p>
        </w:tc>
      </w:tr>
      <w:tr w:rsidR="00655CB2" w:rsidRPr="001C356B" w:rsidTr="00D02288">
        <w:trPr>
          <w:jc w:val="center"/>
        </w:trPr>
        <w:tc>
          <w:tcPr>
            <w:tcW w:w="2959" w:type="pct"/>
            <w:vAlign w:val="center"/>
            <w:hideMark/>
          </w:tcPr>
          <w:p w:rsidR="00655CB2" w:rsidRPr="001C356B" w:rsidRDefault="00655CB2" w:rsidP="00D02288">
            <w:pPr>
              <w:bidi w:val="0"/>
              <w:snapToGrid w:val="0"/>
              <w:jc w:val="both"/>
              <w:rPr>
                <w:sz w:val="20"/>
                <w:szCs w:val="18"/>
              </w:rPr>
            </w:pPr>
          </w:p>
        </w:tc>
        <w:tc>
          <w:tcPr>
            <w:tcW w:w="962" w:type="pct"/>
            <w:vAlign w:val="center"/>
            <w:hideMark/>
          </w:tcPr>
          <w:p w:rsidR="00655CB2" w:rsidRPr="001C356B" w:rsidRDefault="00655CB2" w:rsidP="00D02288">
            <w:pPr>
              <w:bidi w:val="0"/>
              <w:snapToGrid w:val="0"/>
              <w:jc w:val="both"/>
              <w:rPr>
                <w:sz w:val="20"/>
                <w:szCs w:val="18"/>
              </w:rPr>
            </w:pPr>
          </w:p>
        </w:tc>
        <w:tc>
          <w:tcPr>
            <w:tcW w:w="1079" w:type="pct"/>
            <w:vAlign w:val="center"/>
            <w:hideMark/>
          </w:tcPr>
          <w:p w:rsidR="00655CB2" w:rsidRPr="001C356B" w:rsidRDefault="00655CB2" w:rsidP="00D02288">
            <w:pPr>
              <w:bidi w:val="0"/>
              <w:snapToGrid w:val="0"/>
              <w:jc w:val="both"/>
              <w:rPr>
                <w:sz w:val="20"/>
                <w:szCs w:val="18"/>
              </w:rPr>
            </w:pPr>
          </w:p>
        </w:tc>
      </w:tr>
      <w:tr w:rsidR="00655CB2" w:rsidRPr="001C356B" w:rsidTr="00D02288">
        <w:trPr>
          <w:jc w:val="center"/>
        </w:trPr>
        <w:tc>
          <w:tcPr>
            <w:tcW w:w="2959" w:type="pct"/>
            <w:tcBorders>
              <w:top w:val="nil"/>
              <w:left w:val="nil"/>
              <w:bottom w:val="single" w:sz="12" w:space="0" w:color="auto"/>
              <w:right w:val="nil"/>
            </w:tcBorders>
            <w:vAlign w:val="center"/>
            <w:hideMark/>
          </w:tcPr>
          <w:p w:rsidR="00655CB2" w:rsidRPr="001C356B" w:rsidRDefault="00655CB2" w:rsidP="00D02288">
            <w:pPr>
              <w:bidi w:val="0"/>
              <w:snapToGrid w:val="0"/>
              <w:jc w:val="both"/>
              <w:rPr>
                <w:sz w:val="20"/>
                <w:szCs w:val="18"/>
              </w:rPr>
            </w:pPr>
            <w:r w:rsidRPr="001C356B">
              <w:rPr>
                <w:sz w:val="20"/>
                <w:szCs w:val="18"/>
              </w:rPr>
              <w:t>N1 + N2 + N3</w:t>
            </w:r>
          </w:p>
        </w:tc>
        <w:tc>
          <w:tcPr>
            <w:tcW w:w="962" w:type="pct"/>
            <w:tcBorders>
              <w:top w:val="nil"/>
              <w:left w:val="nil"/>
              <w:bottom w:val="single" w:sz="12" w:space="0" w:color="auto"/>
              <w:right w:val="nil"/>
            </w:tcBorders>
            <w:vAlign w:val="center"/>
            <w:hideMark/>
          </w:tcPr>
          <w:p w:rsidR="00655CB2" w:rsidRPr="001C356B" w:rsidRDefault="00655CB2" w:rsidP="00D02288">
            <w:pPr>
              <w:bidi w:val="0"/>
              <w:snapToGrid w:val="0"/>
              <w:jc w:val="both"/>
              <w:rPr>
                <w:sz w:val="20"/>
                <w:szCs w:val="18"/>
              </w:rPr>
            </w:pPr>
            <w:r w:rsidRPr="001C356B">
              <w:rPr>
                <w:sz w:val="20"/>
                <w:szCs w:val="18"/>
              </w:rPr>
              <w:t>166</w:t>
            </w:r>
          </w:p>
        </w:tc>
        <w:tc>
          <w:tcPr>
            <w:tcW w:w="1079" w:type="pct"/>
            <w:tcBorders>
              <w:top w:val="nil"/>
              <w:left w:val="nil"/>
              <w:bottom w:val="single" w:sz="12" w:space="0" w:color="auto"/>
              <w:right w:val="nil"/>
            </w:tcBorders>
            <w:vAlign w:val="center"/>
            <w:hideMark/>
          </w:tcPr>
          <w:p w:rsidR="00655CB2" w:rsidRPr="001C356B" w:rsidRDefault="00655CB2" w:rsidP="00D02288">
            <w:pPr>
              <w:bidi w:val="0"/>
              <w:snapToGrid w:val="0"/>
              <w:jc w:val="both"/>
              <w:rPr>
                <w:sz w:val="20"/>
                <w:szCs w:val="18"/>
              </w:rPr>
            </w:pPr>
            <w:r w:rsidRPr="001C356B">
              <w:rPr>
                <w:sz w:val="20"/>
                <w:szCs w:val="18"/>
              </w:rPr>
              <w:t>50.5</w:t>
            </w:r>
          </w:p>
        </w:tc>
      </w:tr>
    </w:tbl>
    <w:p w:rsidR="00655CB2" w:rsidRPr="001C356B" w:rsidRDefault="00655CB2" w:rsidP="00655CB2">
      <w:pPr>
        <w:bidi w:val="0"/>
        <w:snapToGrid w:val="0"/>
        <w:spacing w:after="0" w:line="240" w:lineRule="auto"/>
        <w:ind w:firstLine="425"/>
        <w:jc w:val="both"/>
        <w:rPr>
          <w:rFonts w:ascii="Times New Roman" w:hAnsi="Times New Roman" w:cs="Times New Roman"/>
          <w:sz w:val="20"/>
          <w:szCs w:val="20"/>
        </w:rPr>
      </w:pPr>
    </w:p>
    <w:p w:rsidR="00655CB2" w:rsidRPr="001C356B" w:rsidRDefault="00655CB2" w:rsidP="00655CB2">
      <w:pPr>
        <w:bidi w:val="0"/>
        <w:snapToGrid w:val="0"/>
        <w:spacing w:after="0" w:line="240" w:lineRule="auto"/>
        <w:jc w:val="center"/>
        <w:rPr>
          <w:rFonts w:ascii="Times New Roman" w:eastAsia="MS Mincho" w:hAnsi="Times New Roman" w:cs="Times New Roman"/>
          <w:sz w:val="20"/>
          <w:szCs w:val="20"/>
        </w:rPr>
      </w:pPr>
      <w:r w:rsidRPr="001C356B">
        <w:rPr>
          <w:rFonts w:ascii="Times New Roman" w:hAnsi="Times New Roman" w:cs="Times New Roman"/>
          <w:noProof/>
          <w:sz w:val="20"/>
          <w:szCs w:val="20"/>
        </w:rPr>
        <w:drawing>
          <wp:inline distT="0" distB="0" distL="0" distR="0">
            <wp:extent cx="2668491" cy="1415582"/>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15480" t="5188" r="14551" b="9840"/>
                    <a:stretch>
                      <a:fillRect/>
                    </a:stretch>
                  </pic:blipFill>
                  <pic:spPr bwMode="auto">
                    <a:xfrm>
                      <a:off x="0" y="0"/>
                      <a:ext cx="2671567" cy="1417214"/>
                    </a:xfrm>
                    <a:prstGeom prst="rect">
                      <a:avLst/>
                    </a:prstGeom>
                    <a:noFill/>
                    <a:ln>
                      <a:noFill/>
                    </a:ln>
                  </pic:spPr>
                </pic:pic>
              </a:graphicData>
            </a:graphic>
          </wp:inline>
        </w:drawing>
      </w:r>
    </w:p>
    <w:p w:rsidR="00655CB2" w:rsidRPr="001C356B" w:rsidRDefault="00655CB2" w:rsidP="00655CB2">
      <w:pPr>
        <w:bidi w:val="0"/>
        <w:snapToGrid w:val="0"/>
        <w:spacing w:after="0" w:line="240" w:lineRule="auto"/>
        <w:jc w:val="both"/>
        <w:rPr>
          <w:rFonts w:ascii="Times New Roman" w:eastAsia="MS Mincho" w:hAnsi="Times New Roman" w:cs="Times New Roman"/>
          <w:sz w:val="20"/>
          <w:szCs w:val="20"/>
        </w:rPr>
      </w:pPr>
      <w:r w:rsidRPr="001C356B">
        <w:rPr>
          <w:rFonts w:ascii="Times New Roman" w:eastAsia="MS Mincho" w:hAnsi="Times New Roman" w:cs="Times New Roman"/>
          <w:b/>
          <w:bCs/>
          <w:sz w:val="20"/>
          <w:szCs w:val="20"/>
        </w:rPr>
        <w:t>(Fig. 1)</w:t>
      </w:r>
      <w:r w:rsidRPr="001C356B">
        <w:rPr>
          <w:rFonts w:ascii="Times New Roman" w:hAnsi="Times New Roman" w:cs="Times New Roman"/>
          <w:sz w:val="20"/>
          <w:szCs w:val="20"/>
        </w:rPr>
        <w:t xml:space="preserve"> Distribution of the patients according to N stage (n = 329)</w:t>
      </w:r>
    </w:p>
    <w:p w:rsidR="00655CB2" w:rsidRPr="00655CB2" w:rsidRDefault="00655CB2" w:rsidP="00655CB2">
      <w:pPr>
        <w:bidi w:val="0"/>
        <w:snapToGrid w:val="0"/>
        <w:spacing w:after="0" w:line="240" w:lineRule="auto"/>
        <w:jc w:val="center"/>
        <w:rPr>
          <w:rFonts w:ascii="Times New Roman" w:hAnsi="Times New Roman" w:cs="Times New Roman"/>
          <w:sz w:val="20"/>
          <w:szCs w:val="20"/>
          <w:lang w:eastAsia="zh-CN"/>
        </w:rPr>
        <w:sectPr w:rsidR="00655CB2" w:rsidRPr="00655CB2" w:rsidSect="00655CB2">
          <w:type w:val="continuous"/>
          <w:pgSz w:w="12242" w:h="15842" w:code="1"/>
          <w:pgMar w:top="1440" w:right="1440" w:bottom="1440" w:left="1440" w:header="720" w:footer="720" w:gutter="0"/>
          <w:cols w:num="2" w:space="550"/>
          <w:docGrid w:linePitch="360"/>
        </w:sectPr>
      </w:pPr>
    </w:p>
    <w:p w:rsidR="00DB1FA6" w:rsidRPr="00655CB2" w:rsidRDefault="00DB1FA6" w:rsidP="00655CB2">
      <w:pPr>
        <w:bidi w:val="0"/>
        <w:snapToGrid w:val="0"/>
        <w:spacing w:after="0" w:line="240" w:lineRule="auto"/>
        <w:jc w:val="center"/>
        <w:rPr>
          <w:rFonts w:ascii="Times New Roman" w:eastAsia="MS Mincho" w:hAnsi="Times New Roman" w:cs="Times New Roman"/>
          <w:sz w:val="18"/>
          <w:szCs w:val="18"/>
        </w:rPr>
      </w:pPr>
    </w:p>
    <w:p w:rsidR="00DB1FA6" w:rsidRPr="00655CB2" w:rsidRDefault="00DB1FA6" w:rsidP="00655CB2">
      <w:pPr>
        <w:bidi w:val="0"/>
        <w:snapToGrid w:val="0"/>
        <w:spacing w:after="0" w:line="240" w:lineRule="auto"/>
        <w:jc w:val="center"/>
        <w:rPr>
          <w:rFonts w:ascii="Times New Roman" w:hAnsi="Times New Roman" w:cs="Times New Roman"/>
          <w:b/>
          <w:bCs/>
          <w:sz w:val="18"/>
          <w:szCs w:val="18"/>
        </w:rPr>
      </w:pPr>
      <w:r w:rsidRPr="00655CB2">
        <w:rPr>
          <w:rFonts w:ascii="Times New Roman" w:hAnsi="Times New Roman" w:cs="Times New Roman"/>
          <w:b/>
          <w:bCs/>
          <w:sz w:val="18"/>
          <w:szCs w:val="18"/>
        </w:rPr>
        <w:t>Table (2</w:t>
      </w:r>
      <w:r w:rsidR="00F11597" w:rsidRPr="00655CB2">
        <w:rPr>
          <w:rFonts w:ascii="Times New Roman" w:hAnsi="Times New Roman" w:cs="Times New Roman"/>
          <w:b/>
          <w:bCs/>
          <w:sz w:val="18"/>
          <w:szCs w:val="18"/>
        </w:rPr>
        <w:t xml:space="preserve">): </w:t>
      </w:r>
      <w:r w:rsidRPr="00655CB2">
        <w:rPr>
          <w:rFonts w:ascii="Times New Roman" w:hAnsi="Times New Roman" w:cs="Times New Roman"/>
          <w:b/>
          <w:bCs/>
          <w:sz w:val="18"/>
          <w:szCs w:val="18"/>
        </w:rPr>
        <w:t>Relation between N stage and different parameters (n = 329)</w:t>
      </w:r>
    </w:p>
    <w:tbl>
      <w:tblPr>
        <w:tblStyle w:val="TableGrid"/>
        <w:tblW w:w="5000" w:type="pct"/>
        <w:jc w:val="center"/>
        <w:tblCellMar>
          <w:left w:w="57" w:type="dxa"/>
          <w:right w:w="57" w:type="dxa"/>
        </w:tblCellMar>
        <w:tblLook w:val="04A0"/>
      </w:tblPr>
      <w:tblGrid>
        <w:gridCol w:w="1665"/>
        <w:gridCol w:w="1622"/>
        <w:gridCol w:w="1855"/>
        <w:gridCol w:w="3203"/>
        <w:gridCol w:w="1131"/>
      </w:tblGrid>
      <w:tr w:rsidR="009558F3" w:rsidRPr="00655CB2" w:rsidTr="001C356B">
        <w:trPr>
          <w:jc w:val="center"/>
        </w:trPr>
        <w:tc>
          <w:tcPr>
            <w:tcW w:w="878" w:type="pct"/>
            <w:vMerge w:val="restart"/>
            <w:vAlign w:val="center"/>
          </w:tcPr>
          <w:p w:rsidR="009558F3" w:rsidRPr="00655CB2" w:rsidRDefault="009558F3" w:rsidP="00655CB2">
            <w:pPr>
              <w:bidi w:val="0"/>
              <w:snapToGrid w:val="0"/>
              <w:jc w:val="both"/>
              <w:rPr>
                <w:b/>
                <w:bCs/>
                <w:sz w:val="18"/>
                <w:szCs w:val="18"/>
              </w:rPr>
            </w:pPr>
          </w:p>
        </w:tc>
        <w:tc>
          <w:tcPr>
            <w:tcW w:w="856" w:type="pct"/>
            <w:vMerge w:val="restart"/>
            <w:vAlign w:val="center"/>
            <w:hideMark/>
          </w:tcPr>
          <w:p w:rsidR="001C356B" w:rsidRPr="00655CB2" w:rsidRDefault="009558F3" w:rsidP="00655CB2">
            <w:pPr>
              <w:bidi w:val="0"/>
              <w:snapToGrid w:val="0"/>
              <w:jc w:val="both"/>
              <w:rPr>
                <w:b/>
                <w:bCs/>
                <w:sz w:val="18"/>
                <w:szCs w:val="18"/>
              </w:rPr>
            </w:pPr>
            <w:r w:rsidRPr="00655CB2">
              <w:rPr>
                <w:b/>
                <w:bCs/>
                <w:sz w:val="18"/>
                <w:szCs w:val="18"/>
              </w:rPr>
              <w:t>Total</w:t>
            </w:r>
          </w:p>
          <w:p w:rsidR="009558F3" w:rsidRPr="00655CB2" w:rsidRDefault="009558F3" w:rsidP="00655CB2">
            <w:pPr>
              <w:bidi w:val="0"/>
              <w:snapToGrid w:val="0"/>
              <w:jc w:val="both"/>
              <w:rPr>
                <w:b/>
                <w:bCs/>
                <w:sz w:val="18"/>
                <w:szCs w:val="18"/>
              </w:rPr>
            </w:pPr>
            <w:r w:rsidRPr="00655CB2">
              <w:rPr>
                <w:b/>
                <w:bCs/>
                <w:sz w:val="18"/>
                <w:szCs w:val="18"/>
              </w:rPr>
              <w:t>(n = 329)</w:t>
            </w:r>
          </w:p>
        </w:tc>
        <w:tc>
          <w:tcPr>
            <w:tcW w:w="2669" w:type="pct"/>
            <w:gridSpan w:val="2"/>
            <w:vAlign w:val="center"/>
            <w:hideMark/>
          </w:tcPr>
          <w:p w:rsidR="009558F3" w:rsidRPr="00655CB2" w:rsidRDefault="009558F3" w:rsidP="00655CB2">
            <w:pPr>
              <w:bidi w:val="0"/>
              <w:snapToGrid w:val="0"/>
              <w:jc w:val="both"/>
              <w:rPr>
                <w:b/>
                <w:bCs/>
                <w:sz w:val="18"/>
                <w:szCs w:val="18"/>
              </w:rPr>
            </w:pPr>
            <w:r w:rsidRPr="00655CB2">
              <w:rPr>
                <w:b/>
                <w:bCs/>
                <w:sz w:val="18"/>
                <w:szCs w:val="18"/>
              </w:rPr>
              <w:t>N Stage</w:t>
            </w:r>
          </w:p>
        </w:tc>
        <w:tc>
          <w:tcPr>
            <w:tcW w:w="597" w:type="pct"/>
            <w:vMerge w:val="restart"/>
            <w:vAlign w:val="center"/>
            <w:hideMark/>
          </w:tcPr>
          <w:p w:rsidR="009558F3" w:rsidRPr="00655CB2" w:rsidRDefault="009558F3" w:rsidP="00655CB2">
            <w:pPr>
              <w:bidi w:val="0"/>
              <w:snapToGrid w:val="0"/>
              <w:jc w:val="both"/>
              <w:rPr>
                <w:b/>
                <w:bCs/>
                <w:sz w:val="18"/>
                <w:szCs w:val="18"/>
              </w:rPr>
            </w:pPr>
            <w:r w:rsidRPr="00655CB2">
              <w:rPr>
                <w:b/>
                <w:bCs/>
                <w:sz w:val="18"/>
                <w:szCs w:val="18"/>
              </w:rPr>
              <w:t xml:space="preserve"> p</w:t>
            </w:r>
          </w:p>
        </w:tc>
      </w:tr>
      <w:tr w:rsidR="009558F3" w:rsidRPr="00655CB2" w:rsidTr="001C356B">
        <w:trPr>
          <w:jc w:val="center"/>
        </w:trPr>
        <w:tc>
          <w:tcPr>
            <w:tcW w:w="878" w:type="pct"/>
            <w:vMerge/>
            <w:vAlign w:val="center"/>
            <w:hideMark/>
          </w:tcPr>
          <w:p w:rsidR="009558F3" w:rsidRPr="00655CB2" w:rsidRDefault="009558F3" w:rsidP="00655CB2">
            <w:pPr>
              <w:bidi w:val="0"/>
              <w:snapToGrid w:val="0"/>
              <w:jc w:val="both"/>
              <w:rPr>
                <w:b/>
                <w:bCs/>
                <w:sz w:val="18"/>
                <w:szCs w:val="18"/>
              </w:rPr>
            </w:pPr>
          </w:p>
        </w:tc>
        <w:tc>
          <w:tcPr>
            <w:tcW w:w="856" w:type="pct"/>
            <w:vMerge/>
            <w:vAlign w:val="center"/>
            <w:hideMark/>
          </w:tcPr>
          <w:p w:rsidR="009558F3" w:rsidRPr="00655CB2" w:rsidRDefault="009558F3" w:rsidP="00655CB2">
            <w:pPr>
              <w:bidi w:val="0"/>
              <w:snapToGrid w:val="0"/>
              <w:jc w:val="both"/>
              <w:rPr>
                <w:b/>
                <w:bCs/>
                <w:sz w:val="18"/>
                <w:szCs w:val="18"/>
              </w:rPr>
            </w:pPr>
          </w:p>
        </w:tc>
        <w:tc>
          <w:tcPr>
            <w:tcW w:w="979" w:type="pct"/>
            <w:vAlign w:val="center"/>
            <w:hideMark/>
          </w:tcPr>
          <w:p w:rsidR="009558F3" w:rsidRPr="00655CB2" w:rsidRDefault="00F11597" w:rsidP="00655CB2">
            <w:pPr>
              <w:bidi w:val="0"/>
              <w:snapToGrid w:val="0"/>
              <w:jc w:val="both"/>
              <w:rPr>
                <w:b/>
                <w:bCs/>
                <w:sz w:val="18"/>
                <w:szCs w:val="18"/>
              </w:rPr>
            </w:pPr>
            <w:r w:rsidRPr="00655CB2">
              <w:rPr>
                <w:b/>
                <w:bCs/>
                <w:sz w:val="18"/>
                <w:szCs w:val="18"/>
              </w:rPr>
              <w:t xml:space="preserve"> N0 </w:t>
            </w:r>
            <w:r w:rsidR="009558F3" w:rsidRPr="00655CB2">
              <w:rPr>
                <w:b/>
                <w:bCs/>
                <w:sz w:val="18"/>
                <w:szCs w:val="18"/>
              </w:rPr>
              <w:t>(n = 163)</w:t>
            </w:r>
          </w:p>
        </w:tc>
        <w:tc>
          <w:tcPr>
            <w:tcW w:w="1690" w:type="pct"/>
            <w:vAlign w:val="center"/>
            <w:hideMark/>
          </w:tcPr>
          <w:p w:rsidR="009558F3" w:rsidRPr="00655CB2" w:rsidRDefault="00F11597" w:rsidP="00655CB2">
            <w:pPr>
              <w:bidi w:val="0"/>
              <w:snapToGrid w:val="0"/>
              <w:jc w:val="both"/>
              <w:rPr>
                <w:b/>
                <w:bCs/>
                <w:sz w:val="18"/>
                <w:szCs w:val="18"/>
              </w:rPr>
            </w:pPr>
            <w:r w:rsidRPr="00655CB2">
              <w:rPr>
                <w:b/>
                <w:bCs/>
                <w:sz w:val="18"/>
                <w:szCs w:val="18"/>
              </w:rPr>
              <w:t xml:space="preserve">(N1 + N2 +N3 </w:t>
            </w:r>
            <w:r w:rsidR="009558F3" w:rsidRPr="00655CB2">
              <w:rPr>
                <w:b/>
                <w:bCs/>
                <w:sz w:val="18"/>
                <w:szCs w:val="18"/>
              </w:rPr>
              <w:t>(n = 166)</w:t>
            </w:r>
          </w:p>
        </w:tc>
        <w:tc>
          <w:tcPr>
            <w:tcW w:w="597" w:type="pct"/>
            <w:vMerge/>
            <w:vAlign w:val="center"/>
            <w:hideMark/>
          </w:tcPr>
          <w:p w:rsidR="009558F3" w:rsidRPr="00655CB2" w:rsidRDefault="009558F3" w:rsidP="00655CB2">
            <w:pPr>
              <w:bidi w:val="0"/>
              <w:snapToGrid w:val="0"/>
              <w:jc w:val="both"/>
              <w:rPr>
                <w:b/>
                <w:bCs/>
                <w:sz w:val="18"/>
                <w:szCs w:val="18"/>
              </w:rPr>
            </w:pPr>
          </w:p>
        </w:tc>
      </w:tr>
      <w:tr w:rsidR="009558F3" w:rsidRPr="00655CB2" w:rsidTr="001C356B">
        <w:trPr>
          <w:jc w:val="center"/>
        </w:trPr>
        <w:tc>
          <w:tcPr>
            <w:tcW w:w="878" w:type="pct"/>
            <w:vAlign w:val="center"/>
            <w:hideMark/>
          </w:tcPr>
          <w:p w:rsidR="009558F3" w:rsidRPr="00655CB2" w:rsidRDefault="009558F3" w:rsidP="00655CB2">
            <w:pPr>
              <w:bidi w:val="0"/>
              <w:snapToGrid w:val="0"/>
              <w:jc w:val="both"/>
              <w:rPr>
                <w:b/>
                <w:bCs/>
                <w:sz w:val="18"/>
                <w:szCs w:val="18"/>
              </w:rPr>
            </w:pPr>
            <w:r w:rsidRPr="00655CB2">
              <w:rPr>
                <w:b/>
                <w:bCs/>
                <w:sz w:val="18"/>
                <w:szCs w:val="18"/>
              </w:rPr>
              <w:t>Age</w:t>
            </w:r>
          </w:p>
        </w:tc>
        <w:tc>
          <w:tcPr>
            <w:tcW w:w="856" w:type="pct"/>
            <w:vAlign w:val="center"/>
          </w:tcPr>
          <w:p w:rsidR="009558F3" w:rsidRPr="00655CB2" w:rsidRDefault="009558F3" w:rsidP="00655CB2">
            <w:pPr>
              <w:bidi w:val="0"/>
              <w:snapToGrid w:val="0"/>
              <w:jc w:val="both"/>
              <w:rPr>
                <w:sz w:val="18"/>
                <w:szCs w:val="18"/>
              </w:rPr>
            </w:pPr>
          </w:p>
        </w:tc>
        <w:tc>
          <w:tcPr>
            <w:tcW w:w="979" w:type="pct"/>
            <w:vAlign w:val="center"/>
          </w:tcPr>
          <w:p w:rsidR="009558F3" w:rsidRPr="00655CB2" w:rsidRDefault="009558F3" w:rsidP="00655CB2">
            <w:pPr>
              <w:bidi w:val="0"/>
              <w:snapToGrid w:val="0"/>
              <w:jc w:val="both"/>
              <w:rPr>
                <w:sz w:val="18"/>
                <w:szCs w:val="18"/>
              </w:rPr>
            </w:pPr>
          </w:p>
        </w:tc>
        <w:tc>
          <w:tcPr>
            <w:tcW w:w="1690" w:type="pct"/>
            <w:vAlign w:val="center"/>
          </w:tcPr>
          <w:p w:rsidR="009558F3" w:rsidRPr="00655CB2" w:rsidRDefault="009558F3" w:rsidP="00655CB2">
            <w:pPr>
              <w:bidi w:val="0"/>
              <w:snapToGrid w:val="0"/>
              <w:jc w:val="both"/>
              <w:rPr>
                <w:sz w:val="18"/>
                <w:szCs w:val="18"/>
              </w:rPr>
            </w:pPr>
          </w:p>
        </w:tc>
        <w:tc>
          <w:tcPr>
            <w:tcW w:w="597" w:type="pct"/>
            <w:vAlign w:val="center"/>
          </w:tcPr>
          <w:p w:rsidR="009558F3" w:rsidRPr="00655CB2" w:rsidRDefault="009558F3" w:rsidP="00655CB2">
            <w:pPr>
              <w:bidi w:val="0"/>
              <w:snapToGrid w:val="0"/>
              <w:jc w:val="both"/>
              <w:rPr>
                <w:sz w:val="18"/>
                <w:szCs w:val="18"/>
              </w:rPr>
            </w:pPr>
          </w:p>
        </w:tc>
      </w:tr>
      <w:tr w:rsidR="009558F3" w:rsidRPr="00655CB2" w:rsidTr="001C356B">
        <w:trPr>
          <w:jc w:val="center"/>
        </w:trPr>
        <w:tc>
          <w:tcPr>
            <w:tcW w:w="878" w:type="pct"/>
            <w:vAlign w:val="center"/>
            <w:hideMark/>
          </w:tcPr>
          <w:p w:rsidR="009558F3" w:rsidRPr="00655CB2" w:rsidRDefault="009558F3" w:rsidP="00655CB2">
            <w:pPr>
              <w:bidi w:val="0"/>
              <w:snapToGrid w:val="0"/>
              <w:jc w:val="both"/>
              <w:rPr>
                <w:sz w:val="18"/>
                <w:szCs w:val="18"/>
              </w:rPr>
            </w:pPr>
            <w:r w:rsidRPr="00655CB2">
              <w:rPr>
                <w:sz w:val="18"/>
                <w:szCs w:val="18"/>
              </w:rPr>
              <w:t>≤50</w:t>
            </w:r>
          </w:p>
        </w:tc>
        <w:tc>
          <w:tcPr>
            <w:tcW w:w="856" w:type="pct"/>
            <w:vAlign w:val="center"/>
            <w:hideMark/>
          </w:tcPr>
          <w:p w:rsidR="009558F3" w:rsidRPr="00655CB2" w:rsidRDefault="009558F3" w:rsidP="00655CB2">
            <w:pPr>
              <w:bidi w:val="0"/>
              <w:snapToGrid w:val="0"/>
              <w:jc w:val="both"/>
              <w:rPr>
                <w:sz w:val="18"/>
                <w:szCs w:val="18"/>
              </w:rPr>
            </w:pPr>
            <w:r w:rsidRPr="00655CB2">
              <w:rPr>
                <w:sz w:val="18"/>
                <w:szCs w:val="18"/>
              </w:rPr>
              <w:t>144(43.8%)</w:t>
            </w:r>
          </w:p>
        </w:tc>
        <w:tc>
          <w:tcPr>
            <w:tcW w:w="979" w:type="pct"/>
            <w:vAlign w:val="center"/>
            <w:hideMark/>
          </w:tcPr>
          <w:p w:rsidR="009558F3" w:rsidRPr="00655CB2" w:rsidRDefault="009558F3" w:rsidP="00655CB2">
            <w:pPr>
              <w:bidi w:val="0"/>
              <w:snapToGrid w:val="0"/>
              <w:jc w:val="both"/>
              <w:rPr>
                <w:sz w:val="18"/>
                <w:szCs w:val="18"/>
              </w:rPr>
            </w:pPr>
            <w:r w:rsidRPr="00655CB2">
              <w:rPr>
                <w:sz w:val="18"/>
                <w:szCs w:val="18"/>
              </w:rPr>
              <w:t>50 (34.7%)</w:t>
            </w:r>
          </w:p>
        </w:tc>
        <w:tc>
          <w:tcPr>
            <w:tcW w:w="1690" w:type="pct"/>
            <w:vAlign w:val="center"/>
            <w:hideMark/>
          </w:tcPr>
          <w:p w:rsidR="009558F3" w:rsidRPr="00655CB2" w:rsidRDefault="009558F3" w:rsidP="00655CB2">
            <w:pPr>
              <w:bidi w:val="0"/>
              <w:snapToGrid w:val="0"/>
              <w:jc w:val="both"/>
              <w:rPr>
                <w:sz w:val="18"/>
                <w:szCs w:val="18"/>
              </w:rPr>
            </w:pPr>
            <w:r w:rsidRPr="00655CB2">
              <w:rPr>
                <w:sz w:val="18"/>
                <w:szCs w:val="18"/>
              </w:rPr>
              <w:t>94 (65.3%)</w:t>
            </w:r>
          </w:p>
        </w:tc>
        <w:tc>
          <w:tcPr>
            <w:tcW w:w="597" w:type="pct"/>
            <w:vMerge w:val="restart"/>
            <w:vAlign w:val="center"/>
            <w:hideMark/>
          </w:tcPr>
          <w:p w:rsidR="009558F3" w:rsidRPr="00655CB2" w:rsidRDefault="009558F3" w:rsidP="00655CB2">
            <w:pPr>
              <w:bidi w:val="0"/>
              <w:snapToGrid w:val="0"/>
              <w:jc w:val="both"/>
              <w:rPr>
                <w:sz w:val="18"/>
                <w:szCs w:val="18"/>
              </w:rPr>
            </w:pPr>
            <w:r w:rsidRPr="00655CB2">
              <w:rPr>
                <w:sz w:val="18"/>
                <w:szCs w:val="18"/>
              </w:rPr>
              <w:t>&lt;0.001</w:t>
            </w:r>
            <w:r w:rsidRPr="00655CB2">
              <w:rPr>
                <w:sz w:val="18"/>
                <w:szCs w:val="18"/>
                <w:vertAlign w:val="superscript"/>
              </w:rPr>
              <w:t>*</w:t>
            </w:r>
          </w:p>
        </w:tc>
      </w:tr>
      <w:tr w:rsidR="009558F3" w:rsidRPr="00655CB2" w:rsidTr="001C356B">
        <w:trPr>
          <w:jc w:val="center"/>
        </w:trPr>
        <w:tc>
          <w:tcPr>
            <w:tcW w:w="878" w:type="pct"/>
            <w:vAlign w:val="center"/>
            <w:hideMark/>
          </w:tcPr>
          <w:p w:rsidR="009558F3" w:rsidRPr="00655CB2" w:rsidRDefault="009558F3" w:rsidP="00655CB2">
            <w:pPr>
              <w:bidi w:val="0"/>
              <w:snapToGrid w:val="0"/>
              <w:jc w:val="both"/>
              <w:rPr>
                <w:sz w:val="18"/>
                <w:szCs w:val="18"/>
              </w:rPr>
            </w:pPr>
            <w:r w:rsidRPr="00655CB2">
              <w:rPr>
                <w:sz w:val="18"/>
                <w:szCs w:val="18"/>
              </w:rPr>
              <w:t>&gt;50</w:t>
            </w:r>
          </w:p>
        </w:tc>
        <w:tc>
          <w:tcPr>
            <w:tcW w:w="856" w:type="pct"/>
            <w:vAlign w:val="center"/>
            <w:hideMark/>
          </w:tcPr>
          <w:p w:rsidR="009558F3" w:rsidRPr="00655CB2" w:rsidRDefault="009558F3" w:rsidP="00655CB2">
            <w:pPr>
              <w:bidi w:val="0"/>
              <w:snapToGrid w:val="0"/>
              <w:jc w:val="both"/>
              <w:rPr>
                <w:sz w:val="18"/>
                <w:szCs w:val="18"/>
              </w:rPr>
            </w:pPr>
            <w:r w:rsidRPr="00655CB2">
              <w:rPr>
                <w:sz w:val="18"/>
                <w:szCs w:val="18"/>
              </w:rPr>
              <w:t>185(56.2%)</w:t>
            </w:r>
          </w:p>
        </w:tc>
        <w:tc>
          <w:tcPr>
            <w:tcW w:w="979" w:type="pct"/>
            <w:vAlign w:val="center"/>
            <w:hideMark/>
          </w:tcPr>
          <w:p w:rsidR="009558F3" w:rsidRPr="00655CB2" w:rsidRDefault="009558F3" w:rsidP="00655CB2">
            <w:pPr>
              <w:bidi w:val="0"/>
              <w:snapToGrid w:val="0"/>
              <w:jc w:val="both"/>
              <w:rPr>
                <w:sz w:val="18"/>
                <w:szCs w:val="18"/>
              </w:rPr>
            </w:pPr>
            <w:r w:rsidRPr="00655CB2">
              <w:rPr>
                <w:sz w:val="18"/>
                <w:szCs w:val="18"/>
              </w:rPr>
              <w:t>113(61.1%)</w:t>
            </w:r>
          </w:p>
        </w:tc>
        <w:tc>
          <w:tcPr>
            <w:tcW w:w="1690" w:type="pct"/>
            <w:vAlign w:val="center"/>
            <w:hideMark/>
          </w:tcPr>
          <w:p w:rsidR="009558F3" w:rsidRPr="00655CB2" w:rsidRDefault="009558F3" w:rsidP="00655CB2">
            <w:pPr>
              <w:bidi w:val="0"/>
              <w:snapToGrid w:val="0"/>
              <w:jc w:val="both"/>
              <w:rPr>
                <w:sz w:val="18"/>
                <w:szCs w:val="18"/>
              </w:rPr>
            </w:pPr>
            <w:r w:rsidRPr="00655CB2">
              <w:rPr>
                <w:sz w:val="18"/>
                <w:szCs w:val="18"/>
              </w:rPr>
              <w:t>72 (38.9%)</w:t>
            </w:r>
          </w:p>
        </w:tc>
        <w:tc>
          <w:tcPr>
            <w:tcW w:w="597" w:type="pct"/>
            <w:vMerge/>
            <w:vAlign w:val="center"/>
            <w:hideMark/>
          </w:tcPr>
          <w:p w:rsidR="009558F3" w:rsidRPr="00655CB2" w:rsidRDefault="009558F3" w:rsidP="00655CB2">
            <w:pPr>
              <w:bidi w:val="0"/>
              <w:snapToGrid w:val="0"/>
              <w:jc w:val="both"/>
              <w:rPr>
                <w:sz w:val="18"/>
                <w:szCs w:val="18"/>
              </w:rPr>
            </w:pPr>
          </w:p>
        </w:tc>
      </w:tr>
      <w:tr w:rsidR="009558F3" w:rsidRPr="00655CB2" w:rsidTr="001C356B">
        <w:trPr>
          <w:jc w:val="center"/>
        </w:trPr>
        <w:tc>
          <w:tcPr>
            <w:tcW w:w="878" w:type="pct"/>
            <w:vAlign w:val="center"/>
            <w:hideMark/>
          </w:tcPr>
          <w:p w:rsidR="009558F3" w:rsidRPr="00655CB2" w:rsidRDefault="009558F3" w:rsidP="00655CB2">
            <w:pPr>
              <w:bidi w:val="0"/>
              <w:snapToGrid w:val="0"/>
              <w:jc w:val="both"/>
              <w:rPr>
                <w:b/>
                <w:bCs/>
                <w:sz w:val="18"/>
                <w:szCs w:val="18"/>
              </w:rPr>
            </w:pPr>
            <w:r w:rsidRPr="00655CB2">
              <w:rPr>
                <w:b/>
                <w:bCs/>
                <w:sz w:val="18"/>
                <w:szCs w:val="18"/>
              </w:rPr>
              <w:t>Sup type</w:t>
            </w:r>
          </w:p>
        </w:tc>
        <w:tc>
          <w:tcPr>
            <w:tcW w:w="856" w:type="pct"/>
            <w:vAlign w:val="center"/>
          </w:tcPr>
          <w:p w:rsidR="009558F3" w:rsidRPr="00655CB2" w:rsidRDefault="009558F3" w:rsidP="00655CB2">
            <w:pPr>
              <w:bidi w:val="0"/>
              <w:snapToGrid w:val="0"/>
              <w:jc w:val="both"/>
              <w:rPr>
                <w:sz w:val="18"/>
                <w:szCs w:val="18"/>
              </w:rPr>
            </w:pPr>
          </w:p>
        </w:tc>
        <w:tc>
          <w:tcPr>
            <w:tcW w:w="979" w:type="pct"/>
            <w:vAlign w:val="center"/>
          </w:tcPr>
          <w:p w:rsidR="009558F3" w:rsidRPr="00655CB2" w:rsidRDefault="009558F3" w:rsidP="00655CB2">
            <w:pPr>
              <w:bidi w:val="0"/>
              <w:snapToGrid w:val="0"/>
              <w:jc w:val="both"/>
              <w:rPr>
                <w:sz w:val="18"/>
                <w:szCs w:val="18"/>
              </w:rPr>
            </w:pPr>
          </w:p>
        </w:tc>
        <w:tc>
          <w:tcPr>
            <w:tcW w:w="1690" w:type="pct"/>
            <w:vAlign w:val="center"/>
          </w:tcPr>
          <w:p w:rsidR="009558F3" w:rsidRPr="00655CB2" w:rsidRDefault="009558F3" w:rsidP="00655CB2">
            <w:pPr>
              <w:bidi w:val="0"/>
              <w:snapToGrid w:val="0"/>
              <w:jc w:val="both"/>
              <w:rPr>
                <w:sz w:val="18"/>
                <w:szCs w:val="18"/>
              </w:rPr>
            </w:pPr>
          </w:p>
        </w:tc>
        <w:tc>
          <w:tcPr>
            <w:tcW w:w="597" w:type="pct"/>
            <w:vAlign w:val="center"/>
          </w:tcPr>
          <w:p w:rsidR="009558F3" w:rsidRPr="00655CB2" w:rsidRDefault="009558F3" w:rsidP="00655CB2">
            <w:pPr>
              <w:bidi w:val="0"/>
              <w:snapToGrid w:val="0"/>
              <w:jc w:val="both"/>
              <w:rPr>
                <w:sz w:val="18"/>
                <w:szCs w:val="18"/>
              </w:rPr>
            </w:pPr>
          </w:p>
        </w:tc>
      </w:tr>
      <w:tr w:rsidR="009558F3" w:rsidRPr="00655CB2" w:rsidTr="001C356B">
        <w:trPr>
          <w:jc w:val="center"/>
        </w:trPr>
        <w:tc>
          <w:tcPr>
            <w:tcW w:w="878" w:type="pct"/>
            <w:vAlign w:val="center"/>
            <w:hideMark/>
          </w:tcPr>
          <w:p w:rsidR="009558F3" w:rsidRPr="00655CB2" w:rsidRDefault="009558F3" w:rsidP="00655CB2">
            <w:pPr>
              <w:bidi w:val="0"/>
              <w:snapToGrid w:val="0"/>
              <w:jc w:val="both"/>
              <w:rPr>
                <w:sz w:val="18"/>
                <w:szCs w:val="18"/>
              </w:rPr>
            </w:pPr>
            <w:r w:rsidRPr="00655CB2">
              <w:rPr>
                <w:sz w:val="18"/>
                <w:szCs w:val="18"/>
              </w:rPr>
              <w:t>Luminal A</w:t>
            </w:r>
          </w:p>
        </w:tc>
        <w:tc>
          <w:tcPr>
            <w:tcW w:w="856" w:type="pct"/>
            <w:vAlign w:val="center"/>
            <w:hideMark/>
          </w:tcPr>
          <w:p w:rsidR="009558F3" w:rsidRPr="00655CB2" w:rsidRDefault="009558F3" w:rsidP="00655CB2">
            <w:pPr>
              <w:bidi w:val="0"/>
              <w:snapToGrid w:val="0"/>
              <w:jc w:val="both"/>
              <w:rPr>
                <w:sz w:val="18"/>
                <w:szCs w:val="18"/>
              </w:rPr>
            </w:pPr>
            <w:r w:rsidRPr="00655CB2">
              <w:rPr>
                <w:sz w:val="18"/>
                <w:szCs w:val="18"/>
              </w:rPr>
              <w:t>87(26.4%)</w:t>
            </w:r>
          </w:p>
        </w:tc>
        <w:tc>
          <w:tcPr>
            <w:tcW w:w="979" w:type="pct"/>
            <w:vAlign w:val="center"/>
            <w:hideMark/>
          </w:tcPr>
          <w:p w:rsidR="009558F3" w:rsidRPr="00655CB2" w:rsidRDefault="009558F3" w:rsidP="00655CB2">
            <w:pPr>
              <w:bidi w:val="0"/>
              <w:snapToGrid w:val="0"/>
              <w:jc w:val="both"/>
              <w:rPr>
                <w:sz w:val="18"/>
                <w:szCs w:val="18"/>
              </w:rPr>
            </w:pPr>
            <w:r w:rsidRPr="00655CB2">
              <w:rPr>
                <w:sz w:val="18"/>
                <w:szCs w:val="18"/>
              </w:rPr>
              <w:t>77(88.5%)</w:t>
            </w:r>
          </w:p>
        </w:tc>
        <w:tc>
          <w:tcPr>
            <w:tcW w:w="1690" w:type="pct"/>
            <w:vAlign w:val="center"/>
            <w:hideMark/>
          </w:tcPr>
          <w:p w:rsidR="009558F3" w:rsidRPr="00655CB2" w:rsidRDefault="009558F3" w:rsidP="00655CB2">
            <w:pPr>
              <w:bidi w:val="0"/>
              <w:snapToGrid w:val="0"/>
              <w:jc w:val="both"/>
              <w:rPr>
                <w:sz w:val="18"/>
                <w:szCs w:val="18"/>
              </w:rPr>
            </w:pPr>
            <w:r w:rsidRPr="00655CB2">
              <w:rPr>
                <w:sz w:val="18"/>
                <w:szCs w:val="18"/>
              </w:rPr>
              <w:t>10 (11.5%)</w:t>
            </w:r>
          </w:p>
        </w:tc>
        <w:tc>
          <w:tcPr>
            <w:tcW w:w="597" w:type="pct"/>
            <w:vAlign w:val="center"/>
            <w:hideMark/>
          </w:tcPr>
          <w:p w:rsidR="009558F3" w:rsidRPr="00655CB2" w:rsidRDefault="009558F3" w:rsidP="00655CB2">
            <w:pPr>
              <w:bidi w:val="0"/>
              <w:snapToGrid w:val="0"/>
              <w:jc w:val="both"/>
              <w:rPr>
                <w:sz w:val="18"/>
                <w:szCs w:val="18"/>
                <w:vertAlign w:val="superscript"/>
              </w:rPr>
            </w:pPr>
            <w:r w:rsidRPr="00655CB2">
              <w:rPr>
                <w:sz w:val="18"/>
                <w:szCs w:val="18"/>
              </w:rPr>
              <w:t>&lt;0.001</w:t>
            </w:r>
            <w:r w:rsidRPr="00655CB2">
              <w:rPr>
                <w:sz w:val="18"/>
                <w:szCs w:val="18"/>
                <w:vertAlign w:val="superscript"/>
              </w:rPr>
              <w:t>*</w:t>
            </w:r>
          </w:p>
        </w:tc>
      </w:tr>
      <w:tr w:rsidR="009558F3" w:rsidRPr="00655CB2" w:rsidTr="001C356B">
        <w:trPr>
          <w:jc w:val="center"/>
        </w:trPr>
        <w:tc>
          <w:tcPr>
            <w:tcW w:w="878" w:type="pct"/>
            <w:vAlign w:val="center"/>
            <w:hideMark/>
          </w:tcPr>
          <w:p w:rsidR="009558F3" w:rsidRPr="00655CB2" w:rsidRDefault="009558F3" w:rsidP="00655CB2">
            <w:pPr>
              <w:bidi w:val="0"/>
              <w:snapToGrid w:val="0"/>
              <w:jc w:val="both"/>
              <w:rPr>
                <w:sz w:val="18"/>
                <w:szCs w:val="18"/>
              </w:rPr>
            </w:pPr>
            <w:r w:rsidRPr="00655CB2">
              <w:rPr>
                <w:sz w:val="18"/>
                <w:szCs w:val="18"/>
              </w:rPr>
              <w:t>Luminal B</w:t>
            </w:r>
          </w:p>
        </w:tc>
        <w:tc>
          <w:tcPr>
            <w:tcW w:w="856" w:type="pct"/>
            <w:vAlign w:val="center"/>
            <w:hideMark/>
          </w:tcPr>
          <w:p w:rsidR="009558F3" w:rsidRPr="00655CB2" w:rsidRDefault="009558F3" w:rsidP="00655CB2">
            <w:pPr>
              <w:bidi w:val="0"/>
              <w:snapToGrid w:val="0"/>
              <w:jc w:val="both"/>
              <w:rPr>
                <w:sz w:val="18"/>
                <w:szCs w:val="18"/>
              </w:rPr>
            </w:pPr>
            <w:r w:rsidRPr="00655CB2">
              <w:rPr>
                <w:sz w:val="18"/>
                <w:szCs w:val="18"/>
              </w:rPr>
              <w:t>163(49.5%)</w:t>
            </w:r>
          </w:p>
        </w:tc>
        <w:tc>
          <w:tcPr>
            <w:tcW w:w="979" w:type="pct"/>
            <w:vAlign w:val="center"/>
            <w:hideMark/>
          </w:tcPr>
          <w:p w:rsidR="009558F3" w:rsidRPr="00655CB2" w:rsidRDefault="009558F3" w:rsidP="00655CB2">
            <w:pPr>
              <w:bidi w:val="0"/>
              <w:snapToGrid w:val="0"/>
              <w:jc w:val="both"/>
              <w:rPr>
                <w:sz w:val="18"/>
                <w:szCs w:val="18"/>
              </w:rPr>
            </w:pPr>
            <w:r w:rsidRPr="00655CB2">
              <w:rPr>
                <w:sz w:val="18"/>
                <w:szCs w:val="18"/>
              </w:rPr>
              <w:t>54(33.1%)</w:t>
            </w:r>
          </w:p>
        </w:tc>
        <w:tc>
          <w:tcPr>
            <w:tcW w:w="1690" w:type="pct"/>
            <w:vAlign w:val="center"/>
            <w:hideMark/>
          </w:tcPr>
          <w:p w:rsidR="009558F3" w:rsidRPr="00655CB2" w:rsidRDefault="009558F3" w:rsidP="00655CB2">
            <w:pPr>
              <w:bidi w:val="0"/>
              <w:snapToGrid w:val="0"/>
              <w:jc w:val="both"/>
              <w:rPr>
                <w:sz w:val="18"/>
                <w:szCs w:val="18"/>
              </w:rPr>
            </w:pPr>
            <w:r w:rsidRPr="00655CB2">
              <w:rPr>
                <w:sz w:val="18"/>
                <w:szCs w:val="18"/>
              </w:rPr>
              <w:t>109(66.9%)</w:t>
            </w:r>
          </w:p>
        </w:tc>
        <w:tc>
          <w:tcPr>
            <w:tcW w:w="597" w:type="pct"/>
            <w:vAlign w:val="center"/>
            <w:hideMark/>
          </w:tcPr>
          <w:p w:rsidR="009558F3" w:rsidRPr="00655CB2" w:rsidRDefault="009558F3" w:rsidP="00655CB2">
            <w:pPr>
              <w:bidi w:val="0"/>
              <w:snapToGrid w:val="0"/>
              <w:jc w:val="both"/>
              <w:rPr>
                <w:sz w:val="18"/>
                <w:szCs w:val="18"/>
                <w:vertAlign w:val="superscript"/>
              </w:rPr>
            </w:pPr>
            <w:r w:rsidRPr="00655CB2">
              <w:rPr>
                <w:sz w:val="18"/>
                <w:szCs w:val="18"/>
              </w:rPr>
              <w:t>0.03</w:t>
            </w:r>
            <w:r w:rsidRPr="00655CB2">
              <w:rPr>
                <w:sz w:val="18"/>
                <w:szCs w:val="18"/>
                <w:vertAlign w:val="superscript"/>
              </w:rPr>
              <w:t>*</w:t>
            </w:r>
          </w:p>
        </w:tc>
      </w:tr>
      <w:tr w:rsidR="009558F3" w:rsidRPr="00655CB2" w:rsidTr="001C356B">
        <w:trPr>
          <w:jc w:val="center"/>
        </w:trPr>
        <w:tc>
          <w:tcPr>
            <w:tcW w:w="878" w:type="pct"/>
            <w:vAlign w:val="center"/>
            <w:hideMark/>
          </w:tcPr>
          <w:p w:rsidR="009558F3" w:rsidRPr="00655CB2" w:rsidRDefault="009558F3" w:rsidP="00655CB2">
            <w:pPr>
              <w:bidi w:val="0"/>
              <w:snapToGrid w:val="0"/>
              <w:jc w:val="both"/>
              <w:rPr>
                <w:sz w:val="18"/>
                <w:szCs w:val="18"/>
              </w:rPr>
            </w:pPr>
            <w:r w:rsidRPr="00655CB2">
              <w:rPr>
                <w:sz w:val="18"/>
                <w:szCs w:val="18"/>
              </w:rPr>
              <w:t>HER.2+</w:t>
            </w:r>
          </w:p>
        </w:tc>
        <w:tc>
          <w:tcPr>
            <w:tcW w:w="856" w:type="pct"/>
            <w:vAlign w:val="center"/>
            <w:hideMark/>
          </w:tcPr>
          <w:p w:rsidR="009558F3" w:rsidRPr="00655CB2" w:rsidRDefault="009558F3" w:rsidP="00655CB2">
            <w:pPr>
              <w:bidi w:val="0"/>
              <w:snapToGrid w:val="0"/>
              <w:jc w:val="both"/>
              <w:rPr>
                <w:sz w:val="18"/>
                <w:szCs w:val="18"/>
              </w:rPr>
            </w:pPr>
            <w:r w:rsidRPr="00655CB2">
              <w:rPr>
                <w:sz w:val="18"/>
                <w:szCs w:val="18"/>
              </w:rPr>
              <w:t>35(10.6%)</w:t>
            </w:r>
          </w:p>
        </w:tc>
        <w:tc>
          <w:tcPr>
            <w:tcW w:w="979" w:type="pct"/>
            <w:vAlign w:val="center"/>
            <w:hideMark/>
          </w:tcPr>
          <w:p w:rsidR="009558F3" w:rsidRPr="00655CB2" w:rsidRDefault="009558F3" w:rsidP="00655CB2">
            <w:pPr>
              <w:bidi w:val="0"/>
              <w:snapToGrid w:val="0"/>
              <w:jc w:val="both"/>
              <w:rPr>
                <w:sz w:val="18"/>
                <w:szCs w:val="18"/>
              </w:rPr>
            </w:pPr>
            <w:r w:rsidRPr="00655CB2">
              <w:rPr>
                <w:sz w:val="18"/>
                <w:szCs w:val="18"/>
              </w:rPr>
              <w:t>3(8.6%)</w:t>
            </w:r>
          </w:p>
        </w:tc>
        <w:tc>
          <w:tcPr>
            <w:tcW w:w="1690" w:type="pct"/>
            <w:vAlign w:val="center"/>
            <w:hideMark/>
          </w:tcPr>
          <w:p w:rsidR="009558F3" w:rsidRPr="00655CB2" w:rsidRDefault="009558F3" w:rsidP="00655CB2">
            <w:pPr>
              <w:bidi w:val="0"/>
              <w:snapToGrid w:val="0"/>
              <w:jc w:val="both"/>
              <w:rPr>
                <w:sz w:val="18"/>
                <w:szCs w:val="18"/>
              </w:rPr>
            </w:pPr>
            <w:r w:rsidRPr="00655CB2">
              <w:rPr>
                <w:sz w:val="18"/>
                <w:szCs w:val="18"/>
              </w:rPr>
              <w:t>32(91.4%)</w:t>
            </w:r>
          </w:p>
        </w:tc>
        <w:tc>
          <w:tcPr>
            <w:tcW w:w="597" w:type="pct"/>
            <w:vAlign w:val="center"/>
            <w:hideMark/>
          </w:tcPr>
          <w:p w:rsidR="009558F3" w:rsidRPr="00655CB2" w:rsidRDefault="009558F3" w:rsidP="00655CB2">
            <w:pPr>
              <w:bidi w:val="0"/>
              <w:snapToGrid w:val="0"/>
              <w:jc w:val="both"/>
              <w:rPr>
                <w:sz w:val="18"/>
                <w:szCs w:val="18"/>
                <w:vertAlign w:val="superscript"/>
              </w:rPr>
            </w:pPr>
            <w:r w:rsidRPr="00655CB2">
              <w:rPr>
                <w:sz w:val="18"/>
                <w:szCs w:val="18"/>
              </w:rPr>
              <w:t>&lt;0.001</w:t>
            </w:r>
            <w:r w:rsidRPr="00655CB2">
              <w:rPr>
                <w:sz w:val="18"/>
                <w:szCs w:val="18"/>
                <w:vertAlign w:val="superscript"/>
              </w:rPr>
              <w:t>*</w:t>
            </w:r>
          </w:p>
        </w:tc>
      </w:tr>
      <w:tr w:rsidR="009558F3" w:rsidRPr="00655CB2" w:rsidTr="001C356B">
        <w:trPr>
          <w:jc w:val="center"/>
        </w:trPr>
        <w:tc>
          <w:tcPr>
            <w:tcW w:w="878" w:type="pct"/>
            <w:vAlign w:val="center"/>
            <w:hideMark/>
          </w:tcPr>
          <w:p w:rsidR="009558F3" w:rsidRPr="00655CB2" w:rsidRDefault="009558F3" w:rsidP="00655CB2">
            <w:pPr>
              <w:bidi w:val="0"/>
              <w:snapToGrid w:val="0"/>
              <w:jc w:val="both"/>
              <w:rPr>
                <w:sz w:val="18"/>
                <w:szCs w:val="18"/>
              </w:rPr>
            </w:pPr>
            <w:r w:rsidRPr="00655CB2">
              <w:rPr>
                <w:sz w:val="18"/>
                <w:szCs w:val="18"/>
              </w:rPr>
              <w:t>Triple -</w:t>
            </w:r>
          </w:p>
        </w:tc>
        <w:tc>
          <w:tcPr>
            <w:tcW w:w="856" w:type="pct"/>
            <w:vAlign w:val="center"/>
            <w:hideMark/>
          </w:tcPr>
          <w:p w:rsidR="009558F3" w:rsidRPr="00655CB2" w:rsidRDefault="009558F3" w:rsidP="00655CB2">
            <w:pPr>
              <w:bidi w:val="0"/>
              <w:snapToGrid w:val="0"/>
              <w:jc w:val="both"/>
              <w:rPr>
                <w:sz w:val="18"/>
                <w:szCs w:val="18"/>
              </w:rPr>
            </w:pPr>
            <w:r w:rsidRPr="00655CB2">
              <w:rPr>
                <w:sz w:val="18"/>
                <w:szCs w:val="18"/>
              </w:rPr>
              <w:t>44(13.5%)</w:t>
            </w:r>
          </w:p>
        </w:tc>
        <w:tc>
          <w:tcPr>
            <w:tcW w:w="979" w:type="pct"/>
            <w:vAlign w:val="center"/>
            <w:hideMark/>
          </w:tcPr>
          <w:p w:rsidR="009558F3" w:rsidRPr="00655CB2" w:rsidRDefault="009558F3" w:rsidP="00655CB2">
            <w:pPr>
              <w:bidi w:val="0"/>
              <w:snapToGrid w:val="0"/>
              <w:jc w:val="both"/>
              <w:rPr>
                <w:sz w:val="18"/>
                <w:szCs w:val="18"/>
              </w:rPr>
            </w:pPr>
            <w:r w:rsidRPr="00655CB2">
              <w:rPr>
                <w:sz w:val="18"/>
                <w:szCs w:val="18"/>
              </w:rPr>
              <w:t>29(65.9%)</w:t>
            </w:r>
          </w:p>
        </w:tc>
        <w:tc>
          <w:tcPr>
            <w:tcW w:w="1690" w:type="pct"/>
            <w:vAlign w:val="center"/>
            <w:hideMark/>
          </w:tcPr>
          <w:p w:rsidR="009558F3" w:rsidRPr="00655CB2" w:rsidRDefault="009558F3" w:rsidP="00655CB2">
            <w:pPr>
              <w:bidi w:val="0"/>
              <w:snapToGrid w:val="0"/>
              <w:jc w:val="both"/>
              <w:rPr>
                <w:sz w:val="18"/>
                <w:szCs w:val="18"/>
              </w:rPr>
            </w:pPr>
            <w:r w:rsidRPr="00655CB2">
              <w:rPr>
                <w:sz w:val="18"/>
                <w:szCs w:val="18"/>
              </w:rPr>
              <w:t>15(34.1%)</w:t>
            </w:r>
          </w:p>
        </w:tc>
        <w:tc>
          <w:tcPr>
            <w:tcW w:w="597" w:type="pct"/>
            <w:vAlign w:val="center"/>
            <w:hideMark/>
          </w:tcPr>
          <w:p w:rsidR="009558F3" w:rsidRPr="00655CB2" w:rsidRDefault="009558F3" w:rsidP="00655CB2">
            <w:pPr>
              <w:bidi w:val="0"/>
              <w:snapToGrid w:val="0"/>
              <w:jc w:val="both"/>
              <w:rPr>
                <w:sz w:val="18"/>
                <w:szCs w:val="18"/>
                <w:vertAlign w:val="superscript"/>
              </w:rPr>
            </w:pPr>
            <w:r w:rsidRPr="00655CB2">
              <w:rPr>
                <w:sz w:val="18"/>
                <w:szCs w:val="18"/>
              </w:rPr>
              <w:t>&lt;0.001</w:t>
            </w:r>
            <w:r w:rsidRPr="00655CB2">
              <w:rPr>
                <w:sz w:val="18"/>
                <w:szCs w:val="18"/>
                <w:vertAlign w:val="superscript"/>
              </w:rPr>
              <w:t>*</w:t>
            </w:r>
          </w:p>
        </w:tc>
      </w:tr>
      <w:tr w:rsidR="009558F3" w:rsidRPr="00655CB2" w:rsidTr="001C356B">
        <w:trPr>
          <w:jc w:val="center"/>
        </w:trPr>
        <w:tc>
          <w:tcPr>
            <w:tcW w:w="878" w:type="pct"/>
            <w:vAlign w:val="center"/>
            <w:hideMark/>
          </w:tcPr>
          <w:p w:rsidR="009558F3" w:rsidRPr="00655CB2" w:rsidRDefault="009558F3" w:rsidP="00655CB2">
            <w:pPr>
              <w:bidi w:val="0"/>
              <w:snapToGrid w:val="0"/>
              <w:jc w:val="both"/>
              <w:rPr>
                <w:sz w:val="18"/>
                <w:szCs w:val="18"/>
              </w:rPr>
            </w:pPr>
            <w:r w:rsidRPr="00655CB2">
              <w:rPr>
                <w:b/>
                <w:bCs/>
                <w:sz w:val="18"/>
                <w:szCs w:val="18"/>
              </w:rPr>
              <w:t>Pathology</w:t>
            </w:r>
          </w:p>
        </w:tc>
        <w:tc>
          <w:tcPr>
            <w:tcW w:w="856" w:type="pct"/>
            <w:vAlign w:val="center"/>
          </w:tcPr>
          <w:p w:rsidR="009558F3" w:rsidRPr="00655CB2" w:rsidRDefault="009558F3" w:rsidP="00655CB2">
            <w:pPr>
              <w:bidi w:val="0"/>
              <w:snapToGrid w:val="0"/>
              <w:jc w:val="both"/>
              <w:rPr>
                <w:sz w:val="18"/>
                <w:szCs w:val="18"/>
              </w:rPr>
            </w:pPr>
          </w:p>
        </w:tc>
        <w:tc>
          <w:tcPr>
            <w:tcW w:w="979" w:type="pct"/>
            <w:vAlign w:val="center"/>
          </w:tcPr>
          <w:p w:rsidR="009558F3" w:rsidRPr="00655CB2" w:rsidRDefault="009558F3" w:rsidP="00655CB2">
            <w:pPr>
              <w:bidi w:val="0"/>
              <w:snapToGrid w:val="0"/>
              <w:jc w:val="both"/>
              <w:rPr>
                <w:sz w:val="18"/>
                <w:szCs w:val="18"/>
              </w:rPr>
            </w:pPr>
          </w:p>
        </w:tc>
        <w:tc>
          <w:tcPr>
            <w:tcW w:w="1690" w:type="pct"/>
            <w:vAlign w:val="center"/>
          </w:tcPr>
          <w:p w:rsidR="009558F3" w:rsidRPr="00655CB2" w:rsidRDefault="009558F3" w:rsidP="00655CB2">
            <w:pPr>
              <w:bidi w:val="0"/>
              <w:snapToGrid w:val="0"/>
              <w:jc w:val="both"/>
              <w:rPr>
                <w:sz w:val="18"/>
                <w:szCs w:val="18"/>
              </w:rPr>
            </w:pPr>
          </w:p>
        </w:tc>
        <w:tc>
          <w:tcPr>
            <w:tcW w:w="597" w:type="pct"/>
            <w:vAlign w:val="center"/>
          </w:tcPr>
          <w:p w:rsidR="009558F3" w:rsidRPr="00655CB2" w:rsidRDefault="009558F3" w:rsidP="00655CB2">
            <w:pPr>
              <w:bidi w:val="0"/>
              <w:snapToGrid w:val="0"/>
              <w:jc w:val="both"/>
              <w:rPr>
                <w:sz w:val="18"/>
                <w:szCs w:val="18"/>
              </w:rPr>
            </w:pPr>
          </w:p>
        </w:tc>
      </w:tr>
      <w:tr w:rsidR="009558F3" w:rsidRPr="00655CB2" w:rsidTr="001C356B">
        <w:trPr>
          <w:jc w:val="center"/>
        </w:trPr>
        <w:tc>
          <w:tcPr>
            <w:tcW w:w="878" w:type="pct"/>
            <w:vAlign w:val="center"/>
            <w:hideMark/>
          </w:tcPr>
          <w:p w:rsidR="009558F3" w:rsidRPr="00655CB2" w:rsidRDefault="009558F3" w:rsidP="00655CB2">
            <w:pPr>
              <w:bidi w:val="0"/>
              <w:snapToGrid w:val="0"/>
              <w:jc w:val="both"/>
              <w:rPr>
                <w:sz w:val="18"/>
                <w:szCs w:val="18"/>
              </w:rPr>
            </w:pPr>
            <w:r w:rsidRPr="00655CB2">
              <w:rPr>
                <w:sz w:val="18"/>
                <w:szCs w:val="18"/>
              </w:rPr>
              <w:t>Ductal</w:t>
            </w:r>
          </w:p>
        </w:tc>
        <w:tc>
          <w:tcPr>
            <w:tcW w:w="856" w:type="pct"/>
            <w:vAlign w:val="center"/>
            <w:hideMark/>
          </w:tcPr>
          <w:p w:rsidR="009558F3" w:rsidRPr="00655CB2" w:rsidRDefault="009558F3" w:rsidP="00655CB2">
            <w:pPr>
              <w:bidi w:val="0"/>
              <w:snapToGrid w:val="0"/>
              <w:jc w:val="both"/>
              <w:rPr>
                <w:sz w:val="18"/>
                <w:szCs w:val="18"/>
              </w:rPr>
            </w:pPr>
            <w:r w:rsidRPr="00655CB2">
              <w:rPr>
                <w:sz w:val="18"/>
                <w:szCs w:val="18"/>
              </w:rPr>
              <w:t>286(86.9%)</w:t>
            </w:r>
          </w:p>
        </w:tc>
        <w:tc>
          <w:tcPr>
            <w:tcW w:w="979" w:type="pct"/>
            <w:vAlign w:val="center"/>
            <w:hideMark/>
          </w:tcPr>
          <w:p w:rsidR="009558F3" w:rsidRPr="00655CB2" w:rsidRDefault="009558F3" w:rsidP="00655CB2">
            <w:pPr>
              <w:bidi w:val="0"/>
              <w:snapToGrid w:val="0"/>
              <w:jc w:val="both"/>
              <w:rPr>
                <w:sz w:val="18"/>
                <w:szCs w:val="18"/>
              </w:rPr>
            </w:pPr>
            <w:r w:rsidRPr="00655CB2">
              <w:rPr>
                <w:sz w:val="18"/>
                <w:szCs w:val="18"/>
              </w:rPr>
              <w:t>142(49.7%)</w:t>
            </w:r>
          </w:p>
        </w:tc>
        <w:tc>
          <w:tcPr>
            <w:tcW w:w="1690" w:type="pct"/>
            <w:vAlign w:val="center"/>
            <w:hideMark/>
          </w:tcPr>
          <w:p w:rsidR="009558F3" w:rsidRPr="00655CB2" w:rsidRDefault="009558F3" w:rsidP="00655CB2">
            <w:pPr>
              <w:bidi w:val="0"/>
              <w:snapToGrid w:val="0"/>
              <w:jc w:val="both"/>
              <w:rPr>
                <w:sz w:val="18"/>
                <w:szCs w:val="18"/>
              </w:rPr>
            </w:pPr>
            <w:r w:rsidRPr="00655CB2">
              <w:rPr>
                <w:sz w:val="18"/>
                <w:szCs w:val="18"/>
              </w:rPr>
              <w:t>144(50.3%)</w:t>
            </w:r>
          </w:p>
        </w:tc>
        <w:tc>
          <w:tcPr>
            <w:tcW w:w="597" w:type="pct"/>
            <w:vMerge w:val="restart"/>
            <w:vAlign w:val="center"/>
            <w:hideMark/>
          </w:tcPr>
          <w:p w:rsidR="009558F3" w:rsidRPr="00655CB2" w:rsidRDefault="009558F3" w:rsidP="00655CB2">
            <w:pPr>
              <w:bidi w:val="0"/>
              <w:snapToGrid w:val="0"/>
              <w:jc w:val="both"/>
              <w:rPr>
                <w:sz w:val="18"/>
                <w:szCs w:val="18"/>
              </w:rPr>
            </w:pPr>
            <w:r w:rsidRPr="00655CB2">
              <w:rPr>
                <w:sz w:val="18"/>
                <w:szCs w:val="18"/>
              </w:rPr>
              <w:t>0.921</w:t>
            </w:r>
          </w:p>
        </w:tc>
      </w:tr>
      <w:tr w:rsidR="009558F3" w:rsidRPr="00655CB2" w:rsidTr="001C356B">
        <w:trPr>
          <w:jc w:val="center"/>
        </w:trPr>
        <w:tc>
          <w:tcPr>
            <w:tcW w:w="878" w:type="pct"/>
            <w:vAlign w:val="center"/>
            <w:hideMark/>
          </w:tcPr>
          <w:p w:rsidR="009558F3" w:rsidRPr="00655CB2" w:rsidRDefault="009558F3" w:rsidP="00655CB2">
            <w:pPr>
              <w:bidi w:val="0"/>
              <w:snapToGrid w:val="0"/>
              <w:jc w:val="both"/>
              <w:rPr>
                <w:sz w:val="18"/>
                <w:szCs w:val="18"/>
              </w:rPr>
            </w:pPr>
            <w:r w:rsidRPr="00655CB2">
              <w:rPr>
                <w:sz w:val="18"/>
                <w:szCs w:val="18"/>
              </w:rPr>
              <w:t>Lobular</w:t>
            </w:r>
          </w:p>
        </w:tc>
        <w:tc>
          <w:tcPr>
            <w:tcW w:w="856" w:type="pct"/>
            <w:vAlign w:val="center"/>
            <w:hideMark/>
          </w:tcPr>
          <w:p w:rsidR="009558F3" w:rsidRPr="00655CB2" w:rsidRDefault="009558F3" w:rsidP="00655CB2">
            <w:pPr>
              <w:bidi w:val="0"/>
              <w:snapToGrid w:val="0"/>
              <w:jc w:val="both"/>
              <w:rPr>
                <w:sz w:val="18"/>
                <w:szCs w:val="18"/>
              </w:rPr>
            </w:pPr>
            <w:r w:rsidRPr="00655CB2">
              <w:rPr>
                <w:sz w:val="18"/>
                <w:szCs w:val="18"/>
              </w:rPr>
              <w:t>43(13.1%)</w:t>
            </w:r>
          </w:p>
        </w:tc>
        <w:tc>
          <w:tcPr>
            <w:tcW w:w="979" w:type="pct"/>
            <w:vAlign w:val="center"/>
            <w:hideMark/>
          </w:tcPr>
          <w:p w:rsidR="009558F3" w:rsidRPr="00655CB2" w:rsidRDefault="009558F3" w:rsidP="00655CB2">
            <w:pPr>
              <w:bidi w:val="0"/>
              <w:snapToGrid w:val="0"/>
              <w:jc w:val="both"/>
              <w:rPr>
                <w:sz w:val="18"/>
                <w:szCs w:val="18"/>
              </w:rPr>
            </w:pPr>
            <w:r w:rsidRPr="00655CB2">
              <w:rPr>
                <w:sz w:val="18"/>
                <w:szCs w:val="18"/>
              </w:rPr>
              <w:t>21(48.8%)</w:t>
            </w:r>
          </w:p>
        </w:tc>
        <w:tc>
          <w:tcPr>
            <w:tcW w:w="1690" w:type="pct"/>
            <w:vAlign w:val="center"/>
            <w:hideMark/>
          </w:tcPr>
          <w:p w:rsidR="009558F3" w:rsidRPr="00655CB2" w:rsidRDefault="009558F3" w:rsidP="00655CB2">
            <w:pPr>
              <w:bidi w:val="0"/>
              <w:snapToGrid w:val="0"/>
              <w:jc w:val="both"/>
              <w:rPr>
                <w:sz w:val="18"/>
                <w:szCs w:val="18"/>
              </w:rPr>
            </w:pPr>
            <w:r w:rsidRPr="00655CB2">
              <w:rPr>
                <w:sz w:val="18"/>
                <w:szCs w:val="18"/>
              </w:rPr>
              <w:t>22(51.2%)</w:t>
            </w:r>
          </w:p>
        </w:tc>
        <w:tc>
          <w:tcPr>
            <w:tcW w:w="597" w:type="pct"/>
            <w:vMerge/>
            <w:vAlign w:val="center"/>
            <w:hideMark/>
          </w:tcPr>
          <w:p w:rsidR="009558F3" w:rsidRPr="00655CB2" w:rsidRDefault="009558F3" w:rsidP="00655CB2">
            <w:pPr>
              <w:bidi w:val="0"/>
              <w:snapToGrid w:val="0"/>
              <w:jc w:val="both"/>
              <w:rPr>
                <w:sz w:val="18"/>
                <w:szCs w:val="18"/>
              </w:rPr>
            </w:pPr>
          </w:p>
        </w:tc>
      </w:tr>
      <w:tr w:rsidR="009558F3" w:rsidRPr="00655CB2" w:rsidTr="001C356B">
        <w:trPr>
          <w:jc w:val="center"/>
        </w:trPr>
        <w:tc>
          <w:tcPr>
            <w:tcW w:w="878" w:type="pct"/>
            <w:vAlign w:val="center"/>
            <w:hideMark/>
          </w:tcPr>
          <w:p w:rsidR="009558F3" w:rsidRPr="00655CB2" w:rsidRDefault="009558F3" w:rsidP="00655CB2">
            <w:pPr>
              <w:bidi w:val="0"/>
              <w:snapToGrid w:val="0"/>
              <w:jc w:val="both"/>
              <w:rPr>
                <w:sz w:val="18"/>
                <w:szCs w:val="18"/>
              </w:rPr>
            </w:pPr>
            <w:r w:rsidRPr="00655CB2">
              <w:rPr>
                <w:b/>
                <w:bCs/>
                <w:sz w:val="18"/>
                <w:szCs w:val="18"/>
              </w:rPr>
              <w:t>Menopause</w:t>
            </w:r>
          </w:p>
        </w:tc>
        <w:tc>
          <w:tcPr>
            <w:tcW w:w="856" w:type="pct"/>
            <w:vAlign w:val="center"/>
          </w:tcPr>
          <w:p w:rsidR="009558F3" w:rsidRPr="00655CB2" w:rsidRDefault="009558F3" w:rsidP="00655CB2">
            <w:pPr>
              <w:bidi w:val="0"/>
              <w:snapToGrid w:val="0"/>
              <w:jc w:val="both"/>
              <w:rPr>
                <w:sz w:val="18"/>
                <w:szCs w:val="18"/>
              </w:rPr>
            </w:pPr>
          </w:p>
        </w:tc>
        <w:tc>
          <w:tcPr>
            <w:tcW w:w="979" w:type="pct"/>
            <w:vAlign w:val="center"/>
          </w:tcPr>
          <w:p w:rsidR="009558F3" w:rsidRPr="00655CB2" w:rsidRDefault="009558F3" w:rsidP="00655CB2">
            <w:pPr>
              <w:bidi w:val="0"/>
              <w:snapToGrid w:val="0"/>
              <w:jc w:val="both"/>
              <w:rPr>
                <w:sz w:val="18"/>
                <w:szCs w:val="18"/>
              </w:rPr>
            </w:pPr>
          </w:p>
        </w:tc>
        <w:tc>
          <w:tcPr>
            <w:tcW w:w="1690" w:type="pct"/>
            <w:vAlign w:val="center"/>
          </w:tcPr>
          <w:p w:rsidR="009558F3" w:rsidRPr="00655CB2" w:rsidRDefault="009558F3" w:rsidP="00655CB2">
            <w:pPr>
              <w:bidi w:val="0"/>
              <w:snapToGrid w:val="0"/>
              <w:jc w:val="both"/>
              <w:rPr>
                <w:sz w:val="18"/>
                <w:szCs w:val="18"/>
              </w:rPr>
            </w:pPr>
          </w:p>
        </w:tc>
        <w:tc>
          <w:tcPr>
            <w:tcW w:w="597" w:type="pct"/>
            <w:vAlign w:val="center"/>
          </w:tcPr>
          <w:p w:rsidR="009558F3" w:rsidRPr="00655CB2" w:rsidRDefault="009558F3" w:rsidP="00655CB2">
            <w:pPr>
              <w:bidi w:val="0"/>
              <w:snapToGrid w:val="0"/>
              <w:jc w:val="both"/>
              <w:rPr>
                <w:sz w:val="18"/>
                <w:szCs w:val="18"/>
              </w:rPr>
            </w:pPr>
          </w:p>
        </w:tc>
      </w:tr>
      <w:tr w:rsidR="009558F3" w:rsidRPr="00655CB2" w:rsidTr="001C356B">
        <w:trPr>
          <w:jc w:val="center"/>
        </w:trPr>
        <w:tc>
          <w:tcPr>
            <w:tcW w:w="878" w:type="pct"/>
            <w:vAlign w:val="center"/>
            <w:hideMark/>
          </w:tcPr>
          <w:p w:rsidR="009558F3" w:rsidRPr="00655CB2" w:rsidRDefault="009558F3" w:rsidP="00655CB2">
            <w:pPr>
              <w:bidi w:val="0"/>
              <w:snapToGrid w:val="0"/>
              <w:jc w:val="both"/>
              <w:rPr>
                <w:sz w:val="18"/>
                <w:szCs w:val="18"/>
              </w:rPr>
            </w:pPr>
            <w:r w:rsidRPr="00655CB2">
              <w:rPr>
                <w:sz w:val="18"/>
                <w:szCs w:val="18"/>
              </w:rPr>
              <w:t>Pre</w:t>
            </w:r>
          </w:p>
        </w:tc>
        <w:tc>
          <w:tcPr>
            <w:tcW w:w="856" w:type="pct"/>
            <w:vAlign w:val="center"/>
            <w:hideMark/>
          </w:tcPr>
          <w:p w:rsidR="009558F3" w:rsidRPr="00655CB2" w:rsidRDefault="009558F3" w:rsidP="00655CB2">
            <w:pPr>
              <w:bidi w:val="0"/>
              <w:snapToGrid w:val="0"/>
              <w:jc w:val="both"/>
              <w:rPr>
                <w:sz w:val="18"/>
                <w:szCs w:val="18"/>
              </w:rPr>
            </w:pPr>
            <w:r w:rsidRPr="00655CB2">
              <w:rPr>
                <w:sz w:val="18"/>
                <w:szCs w:val="18"/>
              </w:rPr>
              <w:t>139(42.2%)</w:t>
            </w:r>
          </w:p>
        </w:tc>
        <w:tc>
          <w:tcPr>
            <w:tcW w:w="979" w:type="pct"/>
            <w:vAlign w:val="center"/>
            <w:hideMark/>
          </w:tcPr>
          <w:p w:rsidR="009558F3" w:rsidRPr="00655CB2" w:rsidRDefault="009558F3" w:rsidP="00655CB2">
            <w:pPr>
              <w:bidi w:val="0"/>
              <w:snapToGrid w:val="0"/>
              <w:jc w:val="both"/>
              <w:rPr>
                <w:sz w:val="18"/>
                <w:szCs w:val="18"/>
              </w:rPr>
            </w:pPr>
            <w:r w:rsidRPr="00655CB2">
              <w:rPr>
                <w:sz w:val="18"/>
                <w:szCs w:val="18"/>
              </w:rPr>
              <w:t>52(37.4%)</w:t>
            </w:r>
          </w:p>
        </w:tc>
        <w:tc>
          <w:tcPr>
            <w:tcW w:w="1690" w:type="pct"/>
            <w:vAlign w:val="center"/>
            <w:hideMark/>
          </w:tcPr>
          <w:p w:rsidR="009558F3" w:rsidRPr="00655CB2" w:rsidRDefault="009558F3" w:rsidP="00655CB2">
            <w:pPr>
              <w:bidi w:val="0"/>
              <w:snapToGrid w:val="0"/>
              <w:jc w:val="both"/>
              <w:rPr>
                <w:sz w:val="18"/>
                <w:szCs w:val="18"/>
              </w:rPr>
            </w:pPr>
            <w:r w:rsidRPr="00655CB2">
              <w:rPr>
                <w:sz w:val="18"/>
                <w:szCs w:val="18"/>
              </w:rPr>
              <w:t>87 (62.6%)</w:t>
            </w:r>
          </w:p>
        </w:tc>
        <w:tc>
          <w:tcPr>
            <w:tcW w:w="597" w:type="pct"/>
            <w:vMerge w:val="restart"/>
            <w:vAlign w:val="center"/>
            <w:hideMark/>
          </w:tcPr>
          <w:p w:rsidR="009558F3" w:rsidRPr="00655CB2" w:rsidRDefault="009558F3" w:rsidP="00655CB2">
            <w:pPr>
              <w:bidi w:val="0"/>
              <w:snapToGrid w:val="0"/>
              <w:jc w:val="both"/>
              <w:rPr>
                <w:sz w:val="18"/>
                <w:szCs w:val="18"/>
              </w:rPr>
            </w:pPr>
            <w:r w:rsidRPr="00655CB2">
              <w:rPr>
                <w:sz w:val="18"/>
                <w:szCs w:val="18"/>
              </w:rPr>
              <w:t>&lt;0.001</w:t>
            </w:r>
            <w:r w:rsidRPr="00655CB2">
              <w:rPr>
                <w:sz w:val="18"/>
                <w:szCs w:val="18"/>
                <w:vertAlign w:val="superscript"/>
              </w:rPr>
              <w:t>*</w:t>
            </w:r>
          </w:p>
        </w:tc>
      </w:tr>
      <w:tr w:rsidR="009558F3" w:rsidRPr="00655CB2" w:rsidTr="001C356B">
        <w:trPr>
          <w:jc w:val="center"/>
        </w:trPr>
        <w:tc>
          <w:tcPr>
            <w:tcW w:w="878" w:type="pct"/>
            <w:vAlign w:val="center"/>
            <w:hideMark/>
          </w:tcPr>
          <w:p w:rsidR="009558F3" w:rsidRPr="00655CB2" w:rsidRDefault="009558F3" w:rsidP="00655CB2">
            <w:pPr>
              <w:bidi w:val="0"/>
              <w:snapToGrid w:val="0"/>
              <w:jc w:val="both"/>
              <w:rPr>
                <w:sz w:val="18"/>
                <w:szCs w:val="18"/>
              </w:rPr>
            </w:pPr>
            <w:r w:rsidRPr="00655CB2">
              <w:rPr>
                <w:sz w:val="18"/>
                <w:szCs w:val="18"/>
              </w:rPr>
              <w:t>Post</w:t>
            </w:r>
          </w:p>
        </w:tc>
        <w:tc>
          <w:tcPr>
            <w:tcW w:w="856" w:type="pct"/>
            <w:vAlign w:val="center"/>
            <w:hideMark/>
          </w:tcPr>
          <w:p w:rsidR="009558F3" w:rsidRPr="00655CB2" w:rsidRDefault="009558F3" w:rsidP="00655CB2">
            <w:pPr>
              <w:bidi w:val="0"/>
              <w:snapToGrid w:val="0"/>
              <w:jc w:val="both"/>
              <w:rPr>
                <w:sz w:val="18"/>
                <w:szCs w:val="18"/>
              </w:rPr>
            </w:pPr>
            <w:r w:rsidRPr="00655CB2">
              <w:rPr>
                <w:sz w:val="18"/>
                <w:szCs w:val="18"/>
              </w:rPr>
              <w:t>190(57.8%)</w:t>
            </w:r>
          </w:p>
        </w:tc>
        <w:tc>
          <w:tcPr>
            <w:tcW w:w="979" w:type="pct"/>
            <w:vAlign w:val="center"/>
            <w:hideMark/>
          </w:tcPr>
          <w:p w:rsidR="009558F3" w:rsidRPr="00655CB2" w:rsidRDefault="009558F3" w:rsidP="00655CB2">
            <w:pPr>
              <w:bidi w:val="0"/>
              <w:snapToGrid w:val="0"/>
              <w:jc w:val="both"/>
              <w:rPr>
                <w:sz w:val="18"/>
                <w:szCs w:val="18"/>
              </w:rPr>
            </w:pPr>
            <w:r w:rsidRPr="00655CB2">
              <w:rPr>
                <w:sz w:val="18"/>
                <w:szCs w:val="18"/>
              </w:rPr>
              <w:t>111(58.4%)</w:t>
            </w:r>
          </w:p>
        </w:tc>
        <w:tc>
          <w:tcPr>
            <w:tcW w:w="1690" w:type="pct"/>
            <w:vAlign w:val="center"/>
            <w:hideMark/>
          </w:tcPr>
          <w:p w:rsidR="009558F3" w:rsidRPr="00655CB2" w:rsidRDefault="009558F3" w:rsidP="00655CB2">
            <w:pPr>
              <w:bidi w:val="0"/>
              <w:snapToGrid w:val="0"/>
              <w:jc w:val="both"/>
              <w:rPr>
                <w:sz w:val="18"/>
                <w:szCs w:val="18"/>
              </w:rPr>
            </w:pPr>
            <w:r w:rsidRPr="00655CB2">
              <w:rPr>
                <w:sz w:val="18"/>
                <w:szCs w:val="18"/>
              </w:rPr>
              <w:t>79 (41.6%)</w:t>
            </w:r>
          </w:p>
        </w:tc>
        <w:tc>
          <w:tcPr>
            <w:tcW w:w="597" w:type="pct"/>
            <w:vMerge/>
            <w:vAlign w:val="center"/>
            <w:hideMark/>
          </w:tcPr>
          <w:p w:rsidR="009558F3" w:rsidRPr="00655CB2" w:rsidRDefault="009558F3" w:rsidP="00655CB2">
            <w:pPr>
              <w:bidi w:val="0"/>
              <w:snapToGrid w:val="0"/>
              <w:jc w:val="both"/>
              <w:rPr>
                <w:sz w:val="18"/>
                <w:szCs w:val="18"/>
              </w:rPr>
            </w:pPr>
          </w:p>
        </w:tc>
      </w:tr>
      <w:tr w:rsidR="009558F3" w:rsidRPr="00655CB2" w:rsidTr="001C356B">
        <w:trPr>
          <w:jc w:val="center"/>
        </w:trPr>
        <w:tc>
          <w:tcPr>
            <w:tcW w:w="878" w:type="pct"/>
            <w:vAlign w:val="center"/>
            <w:hideMark/>
          </w:tcPr>
          <w:p w:rsidR="009558F3" w:rsidRPr="00655CB2" w:rsidRDefault="009558F3" w:rsidP="00655CB2">
            <w:pPr>
              <w:bidi w:val="0"/>
              <w:snapToGrid w:val="0"/>
              <w:jc w:val="both"/>
              <w:rPr>
                <w:sz w:val="18"/>
                <w:szCs w:val="18"/>
              </w:rPr>
            </w:pPr>
            <w:r w:rsidRPr="00655CB2">
              <w:rPr>
                <w:b/>
                <w:bCs/>
                <w:sz w:val="18"/>
                <w:szCs w:val="18"/>
              </w:rPr>
              <w:t>T</w:t>
            </w:r>
            <w:r w:rsidRPr="00655CB2">
              <w:rPr>
                <w:sz w:val="18"/>
                <w:szCs w:val="18"/>
              </w:rPr>
              <w:t>size</w:t>
            </w:r>
          </w:p>
        </w:tc>
        <w:tc>
          <w:tcPr>
            <w:tcW w:w="856" w:type="pct"/>
            <w:vAlign w:val="center"/>
          </w:tcPr>
          <w:p w:rsidR="009558F3" w:rsidRPr="00655CB2" w:rsidRDefault="009558F3" w:rsidP="00655CB2">
            <w:pPr>
              <w:bidi w:val="0"/>
              <w:snapToGrid w:val="0"/>
              <w:jc w:val="both"/>
              <w:rPr>
                <w:sz w:val="18"/>
                <w:szCs w:val="18"/>
              </w:rPr>
            </w:pPr>
          </w:p>
        </w:tc>
        <w:tc>
          <w:tcPr>
            <w:tcW w:w="979" w:type="pct"/>
            <w:vAlign w:val="center"/>
          </w:tcPr>
          <w:p w:rsidR="009558F3" w:rsidRPr="00655CB2" w:rsidRDefault="009558F3" w:rsidP="00655CB2">
            <w:pPr>
              <w:bidi w:val="0"/>
              <w:snapToGrid w:val="0"/>
              <w:jc w:val="both"/>
              <w:rPr>
                <w:sz w:val="18"/>
                <w:szCs w:val="18"/>
              </w:rPr>
            </w:pPr>
          </w:p>
        </w:tc>
        <w:tc>
          <w:tcPr>
            <w:tcW w:w="1690" w:type="pct"/>
            <w:vAlign w:val="center"/>
          </w:tcPr>
          <w:p w:rsidR="009558F3" w:rsidRPr="00655CB2" w:rsidRDefault="009558F3" w:rsidP="00655CB2">
            <w:pPr>
              <w:bidi w:val="0"/>
              <w:snapToGrid w:val="0"/>
              <w:jc w:val="both"/>
              <w:rPr>
                <w:sz w:val="18"/>
                <w:szCs w:val="18"/>
              </w:rPr>
            </w:pPr>
          </w:p>
        </w:tc>
        <w:tc>
          <w:tcPr>
            <w:tcW w:w="597" w:type="pct"/>
            <w:vAlign w:val="center"/>
          </w:tcPr>
          <w:p w:rsidR="009558F3" w:rsidRPr="00655CB2" w:rsidRDefault="009558F3" w:rsidP="00655CB2">
            <w:pPr>
              <w:bidi w:val="0"/>
              <w:snapToGrid w:val="0"/>
              <w:jc w:val="both"/>
              <w:rPr>
                <w:sz w:val="18"/>
                <w:szCs w:val="18"/>
              </w:rPr>
            </w:pPr>
          </w:p>
        </w:tc>
      </w:tr>
      <w:tr w:rsidR="009558F3" w:rsidRPr="00655CB2" w:rsidTr="001C356B">
        <w:trPr>
          <w:jc w:val="center"/>
        </w:trPr>
        <w:tc>
          <w:tcPr>
            <w:tcW w:w="878" w:type="pct"/>
            <w:vAlign w:val="center"/>
            <w:hideMark/>
          </w:tcPr>
          <w:p w:rsidR="009558F3" w:rsidRPr="00655CB2" w:rsidRDefault="009558F3" w:rsidP="00655CB2">
            <w:pPr>
              <w:bidi w:val="0"/>
              <w:snapToGrid w:val="0"/>
              <w:jc w:val="both"/>
              <w:rPr>
                <w:sz w:val="18"/>
                <w:szCs w:val="18"/>
              </w:rPr>
            </w:pPr>
            <w:r w:rsidRPr="00655CB2">
              <w:rPr>
                <w:sz w:val="18"/>
                <w:szCs w:val="18"/>
              </w:rPr>
              <w:t>≤2</w:t>
            </w:r>
          </w:p>
        </w:tc>
        <w:tc>
          <w:tcPr>
            <w:tcW w:w="856" w:type="pct"/>
            <w:vAlign w:val="center"/>
            <w:hideMark/>
          </w:tcPr>
          <w:p w:rsidR="009558F3" w:rsidRPr="00655CB2" w:rsidRDefault="009558F3" w:rsidP="00655CB2">
            <w:pPr>
              <w:bidi w:val="0"/>
              <w:snapToGrid w:val="0"/>
              <w:jc w:val="both"/>
              <w:rPr>
                <w:sz w:val="18"/>
                <w:szCs w:val="18"/>
              </w:rPr>
            </w:pPr>
            <w:r w:rsidRPr="00655CB2">
              <w:rPr>
                <w:sz w:val="18"/>
                <w:szCs w:val="18"/>
              </w:rPr>
              <w:t>60 (18.2%)</w:t>
            </w:r>
          </w:p>
        </w:tc>
        <w:tc>
          <w:tcPr>
            <w:tcW w:w="979" w:type="pct"/>
            <w:vAlign w:val="center"/>
            <w:hideMark/>
          </w:tcPr>
          <w:p w:rsidR="009558F3" w:rsidRPr="00655CB2" w:rsidRDefault="009558F3" w:rsidP="00655CB2">
            <w:pPr>
              <w:bidi w:val="0"/>
              <w:snapToGrid w:val="0"/>
              <w:jc w:val="both"/>
              <w:rPr>
                <w:sz w:val="18"/>
                <w:szCs w:val="18"/>
              </w:rPr>
            </w:pPr>
            <w:r w:rsidRPr="00655CB2">
              <w:rPr>
                <w:sz w:val="18"/>
                <w:szCs w:val="18"/>
              </w:rPr>
              <w:t>47(78.3%)</w:t>
            </w:r>
          </w:p>
        </w:tc>
        <w:tc>
          <w:tcPr>
            <w:tcW w:w="1690" w:type="pct"/>
            <w:vAlign w:val="center"/>
            <w:hideMark/>
          </w:tcPr>
          <w:p w:rsidR="009558F3" w:rsidRPr="00655CB2" w:rsidRDefault="009558F3" w:rsidP="00655CB2">
            <w:pPr>
              <w:bidi w:val="0"/>
              <w:snapToGrid w:val="0"/>
              <w:jc w:val="both"/>
              <w:rPr>
                <w:sz w:val="18"/>
                <w:szCs w:val="18"/>
              </w:rPr>
            </w:pPr>
            <w:r w:rsidRPr="00655CB2">
              <w:rPr>
                <w:sz w:val="18"/>
                <w:szCs w:val="18"/>
              </w:rPr>
              <w:t>13(21.7%)</w:t>
            </w:r>
          </w:p>
        </w:tc>
        <w:tc>
          <w:tcPr>
            <w:tcW w:w="597" w:type="pct"/>
            <w:vMerge w:val="restart"/>
            <w:vAlign w:val="center"/>
            <w:hideMark/>
          </w:tcPr>
          <w:p w:rsidR="009558F3" w:rsidRPr="00655CB2" w:rsidRDefault="009558F3" w:rsidP="00655CB2">
            <w:pPr>
              <w:bidi w:val="0"/>
              <w:snapToGrid w:val="0"/>
              <w:jc w:val="both"/>
              <w:rPr>
                <w:sz w:val="18"/>
                <w:szCs w:val="18"/>
              </w:rPr>
            </w:pPr>
            <w:r w:rsidRPr="00655CB2">
              <w:rPr>
                <w:sz w:val="18"/>
                <w:szCs w:val="18"/>
              </w:rPr>
              <w:t>&lt;0.001</w:t>
            </w:r>
            <w:r w:rsidRPr="00655CB2">
              <w:rPr>
                <w:sz w:val="18"/>
                <w:szCs w:val="18"/>
                <w:vertAlign w:val="superscript"/>
              </w:rPr>
              <w:t>*</w:t>
            </w:r>
          </w:p>
        </w:tc>
      </w:tr>
      <w:tr w:rsidR="009558F3" w:rsidRPr="00655CB2" w:rsidTr="001C356B">
        <w:trPr>
          <w:jc w:val="center"/>
        </w:trPr>
        <w:tc>
          <w:tcPr>
            <w:tcW w:w="878" w:type="pct"/>
            <w:vAlign w:val="center"/>
            <w:hideMark/>
          </w:tcPr>
          <w:p w:rsidR="009558F3" w:rsidRPr="00655CB2" w:rsidRDefault="009558F3" w:rsidP="00655CB2">
            <w:pPr>
              <w:bidi w:val="0"/>
              <w:snapToGrid w:val="0"/>
              <w:jc w:val="both"/>
              <w:rPr>
                <w:sz w:val="18"/>
                <w:szCs w:val="18"/>
              </w:rPr>
            </w:pPr>
            <w:r w:rsidRPr="00655CB2">
              <w:rPr>
                <w:sz w:val="18"/>
                <w:szCs w:val="18"/>
              </w:rPr>
              <w:t>&gt;2- ≤5</w:t>
            </w:r>
          </w:p>
        </w:tc>
        <w:tc>
          <w:tcPr>
            <w:tcW w:w="856" w:type="pct"/>
            <w:vAlign w:val="center"/>
            <w:hideMark/>
          </w:tcPr>
          <w:p w:rsidR="009558F3" w:rsidRPr="00655CB2" w:rsidRDefault="009558F3" w:rsidP="00655CB2">
            <w:pPr>
              <w:bidi w:val="0"/>
              <w:snapToGrid w:val="0"/>
              <w:jc w:val="both"/>
              <w:rPr>
                <w:sz w:val="18"/>
                <w:szCs w:val="18"/>
              </w:rPr>
            </w:pPr>
            <w:r w:rsidRPr="00655CB2">
              <w:rPr>
                <w:sz w:val="18"/>
                <w:szCs w:val="18"/>
              </w:rPr>
              <w:t>175(53.2%)</w:t>
            </w:r>
          </w:p>
        </w:tc>
        <w:tc>
          <w:tcPr>
            <w:tcW w:w="979" w:type="pct"/>
            <w:vAlign w:val="center"/>
            <w:hideMark/>
          </w:tcPr>
          <w:p w:rsidR="009558F3" w:rsidRPr="00655CB2" w:rsidRDefault="009558F3" w:rsidP="00655CB2">
            <w:pPr>
              <w:bidi w:val="0"/>
              <w:snapToGrid w:val="0"/>
              <w:jc w:val="both"/>
              <w:rPr>
                <w:sz w:val="18"/>
                <w:szCs w:val="18"/>
              </w:rPr>
            </w:pPr>
            <w:r w:rsidRPr="00655CB2">
              <w:rPr>
                <w:sz w:val="18"/>
                <w:szCs w:val="18"/>
              </w:rPr>
              <w:t>103(58.9%)</w:t>
            </w:r>
          </w:p>
        </w:tc>
        <w:tc>
          <w:tcPr>
            <w:tcW w:w="1690" w:type="pct"/>
            <w:vAlign w:val="center"/>
            <w:hideMark/>
          </w:tcPr>
          <w:p w:rsidR="009558F3" w:rsidRPr="00655CB2" w:rsidRDefault="009558F3" w:rsidP="00655CB2">
            <w:pPr>
              <w:bidi w:val="0"/>
              <w:snapToGrid w:val="0"/>
              <w:jc w:val="both"/>
              <w:rPr>
                <w:sz w:val="18"/>
                <w:szCs w:val="18"/>
              </w:rPr>
            </w:pPr>
            <w:r w:rsidRPr="00655CB2">
              <w:rPr>
                <w:sz w:val="18"/>
                <w:szCs w:val="18"/>
              </w:rPr>
              <w:t>72(41.1%)</w:t>
            </w:r>
          </w:p>
        </w:tc>
        <w:tc>
          <w:tcPr>
            <w:tcW w:w="597" w:type="pct"/>
            <w:vMerge/>
            <w:vAlign w:val="center"/>
            <w:hideMark/>
          </w:tcPr>
          <w:p w:rsidR="009558F3" w:rsidRPr="00655CB2" w:rsidRDefault="009558F3" w:rsidP="00655CB2">
            <w:pPr>
              <w:bidi w:val="0"/>
              <w:snapToGrid w:val="0"/>
              <w:jc w:val="both"/>
              <w:rPr>
                <w:sz w:val="18"/>
                <w:szCs w:val="18"/>
              </w:rPr>
            </w:pPr>
          </w:p>
        </w:tc>
      </w:tr>
      <w:tr w:rsidR="009558F3" w:rsidRPr="00655CB2" w:rsidTr="001C356B">
        <w:trPr>
          <w:jc w:val="center"/>
        </w:trPr>
        <w:tc>
          <w:tcPr>
            <w:tcW w:w="878" w:type="pct"/>
            <w:vAlign w:val="center"/>
            <w:hideMark/>
          </w:tcPr>
          <w:p w:rsidR="009558F3" w:rsidRPr="00655CB2" w:rsidRDefault="009558F3" w:rsidP="00655CB2">
            <w:pPr>
              <w:bidi w:val="0"/>
              <w:snapToGrid w:val="0"/>
              <w:jc w:val="both"/>
              <w:rPr>
                <w:sz w:val="18"/>
                <w:szCs w:val="18"/>
              </w:rPr>
            </w:pPr>
            <w:r w:rsidRPr="00655CB2">
              <w:rPr>
                <w:sz w:val="18"/>
                <w:szCs w:val="18"/>
              </w:rPr>
              <w:t>&gt;5</w:t>
            </w:r>
          </w:p>
        </w:tc>
        <w:tc>
          <w:tcPr>
            <w:tcW w:w="856" w:type="pct"/>
            <w:vAlign w:val="center"/>
            <w:hideMark/>
          </w:tcPr>
          <w:p w:rsidR="009558F3" w:rsidRPr="00655CB2" w:rsidRDefault="009558F3" w:rsidP="00655CB2">
            <w:pPr>
              <w:bidi w:val="0"/>
              <w:snapToGrid w:val="0"/>
              <w:jc w:val="both"/>
              <w:rPr>
                <w:sz w:val="18"/>
                <w:szCs w:val="18"/>
              </w:rPr>
            </w:pPr>
            <w:r w:rsidRPr="00655CB2">
              <w:rPr>
                <w:sz w:val="18"/>
                <w:szCs w:val="18"/>
              </w:rPr>
              <w:t>94(28.6%)</w:t>
            </w:r>
          </w:p>
        </w:tc>
        <w:tc>
          <w:tcPr>
            <w:tcW w:w="979" w:type="pct"/>
            <w:vAlign w:val="center"/>
            <w:hideMark/>
          </w:tcPr>
          <w:p w:rsidR="009558F3" w:rsidRPr="00655CB2" w:rsidRDefault="009558F3" w:rsidP="00655CB2">
            <w:pPr>
              <w:bidi w:val="0"/>
              <w:snapToGrid w:val="0"/>
              <w:jc w:val="both"/>
              <w:rPr>
                <w:sz w:val="18"/>
                <w:szCs w:val="18"/>
              </w:rPr>
            </w:pPr>
            <w:r w:rsidRPr="00655CB2">
              <w:rPr>
                <w:sz w:val="18"/>
                <w:szCs w:val="18"/>
              </w:rPr>
              <w:t>13(13.8%)</w:t>
            </w:r>
          </w:p>
        </w:tc>
        <w:tc>
          <w:tcPr>
            <w:tcW w:w="1690" w:type="pct"/>
            <w:vAlign w:val="center"/>
            <w:hideMark/>
          </w:tcPr>
          <w:p w:rsidR="009558F3" w:rsidRPr="00655CB2" w:rsidRDefault="009558F3" w:rsidP="00655CB2">
            <w:pPr>
              <w:bidi w:val="0"/>
              <w:snapToGrid w:val="0"/>
              <w:jc w:val="both"/>
              <w:rPr>
                <w:sz w:val="18"/>
                <w:szCs w:val="18"/>
              </w:rPr>
            </w:pPr>
            <w:r w:rsidRPr="00655CB2">
              <w:rPr>
                <w:sz w:val="18"/>
                <w:szCs w:val="18"/>
              </w:rPr>
              <w:t>81(86.2%)</w:t>
            </w:r>
          </w:p>
        </w:tc>
        <w:tc>
          <w:tcPr>
            <w:tcW w:w="597" w:type="pct"/>
            <w:vMerge/>
            <w:vAlign w:val="center"/>
            <w:hideMark/>
          </w:tcPr>
          <w:p w:rsidR="009558F3" w:rsidRPr="00655CB2" w:rsidRDefault="009558F3" w:rsidP="00655CB2">
            <w:pPr>
              <w:bidi w:val="0"/>
              <w:snapToGrid w:val="0"/>
              <w:jc w:val="both"/>
              <w:rPr>
                <w:sz w:val="18"/>
                <w:szCs w:val="18"/>
              </w:rPr>
            </w:pPr>
          </w:p>
        </w:tc>
      </w:tr>
      <w:tr w:rsidR="009558F3" w:rsidRPr="00655CB2" w:rsidTr="001C356B">
        <w:trPr>
          <w:jc w:val="center"/>
        </w:trPr>
        <w:tc>
          <w:tcPr>
            <w:tcW w:w="878" w:type="pct"/>
            <w:vAlign w:val="center"/>
            <w:hideMark/>
          </w:tcPr>
          <w:p w:rsidR="009558F3" w:rsidRPr="00655CB2" w:rsidRDefault="009558F3" w:rsidP="00655CB2">
            <w:pPr>
              <w:bidi w:val="0"/>
              <w:snapToGrid w:val="0"/>
              <w:jc w:val="both"/>
              <w:rPr>
                <w:sz w:val="18"/>
                <w:szCs w:val="18"/>
              </w:rPr>
            </w:pPr>
            <w:r w:rsidRPr="00655CB2">
              <w:rPr>
                <w:b/>
                <w:bCs/>
                <w:sz w:val="18"/>
                <w:szCs w:val="18"/>
              </w:rPr>
              <w:t>Grade</w:t>
            </w:r>
          </w:p>
        </w:tc>
        <w:tc>
          <w:tcPr>
            <w:tcW w:w="856" w:type="pct"/>
            <w:vAlign w:val="center"/>
          </w:tcPr>
          <w:p w:rsidR="009558F3" w:rsidRPr="00655CB2" w:rsidRDefault="009558F3" w:rsidP="00655CB2">
            <w:pPr>
              <w:bidi w:val="0"/>
              <w:snapToGrid w:val="0"/>
              <w:jc w:val="both"/>
              <w:rPr>
                <w:sz w:val="18"/>
                <w:szCs w:val="18"/>
              </w:rPr>
            </w:pPr>
          </w:p>
        </w:tc>
        <w:tc>
          <w:tcPr>
            <w:tcW w:w="979" w:type="pct"/>
            <w:vAlign w:val="center"/>
          </w:tcPr>
          <w:p w:rsidR="009558F3" w:rsidRPr="00655CB2" w:rsidRDefault="009558F3" w:rsidP="00655CB2">
            <w:pPr>
              <w:bidi w:val="0"/>
              <w:snapToGrid w:val="0"/>
              <w:jc w:val="both"/>
              <w:rPr>
                <w:sz w:val="18"/>
                <w:szCs w:val="18"/>
              </w:rPr>
            </w:pPr>
          </w:p>
        </w:tc>
        <w:tc>
          <w:tcPr>
            <w:tcW w:w="1690" w:type="pct"/>
            <w:vAlign w:val="center"/>
          </w:tcPr>
          <w:p w:rsidR="009558F3" w:rsidRPr="00655CB2" w:rsidRDefault="009558F3" w:rsidP="00655CB2">
            <w:pPr>
              <w:bidi w:val="0"/>
              <w:snapToGrid w:val="0"/>
              <w:jc w:val="both"/>
              <w:rPr>
                <w:sz w:val="18"/>
                <w:szCs w:val="18"/>
              </w:rPr>
            </w:pPr>
          </w:p>
        </w:tc>
        <w:tc>
          <w:tcPr>
            <w:tcW w:w="597" w:type="pct"/>
            <w:vAlign w:val="center"/>
          </w:tcPr>
          <w:p w:rsidR="009558F3" w:rsidRPr="00655CB2" w:rsidRDefault="009558F3" w:rsidP="00655CB2">
            <w:pPr>
              <w:bidi w:val="0"/>
              <w:snapToGrid w:val="0"/>
              <w:jc w:val="both"/>
              <w:rPr>
                <w:sz w:val="18"/>
                <w:szCs w:val="18"/>
              </w:rPr>
            </w:pPr>
          </w:p>
        </w:tc>
      </w:tr>
      <w:tr w:rsidR="009558F3" w:rsidRPr="00655CB2" w:rsidTr="001C356B">
        <w:trPr>
          <w:jc w:val="center"/>
        </w:trPr>
        <w:tc>
          <w:tcPr>
            <w:tcW w:w="878" w:type="pct"/>
            <w:vAlign w:val="center"/>
            <w:hideMark/>
          </w:tcPr>
          <w:p w:rsidR="009558F3" w:rsidRPr="00655CB2" w:rsidRDefault="009558F3" w:rsidP="00655CB2">
            <w:pPr>
              <w:bidi w:val="0"/>
              <w:snapToGrid w:val="0"/>
              <w:jc w:val="both"/>
              <w:rPr>
                <w:sz w:val="18"/>
                <w:szCs w:val="18"/>
              </w:rPr>
            </w:pPr>
            <w:r w:rsidRPr="00655CB2">
              <w:rPr>
                <w:sz w:val="18"/>
                <w:szCs w:val="18"/>
              </w:rPr>
              <w:t>G1</w:t>
            </w:r>
            <w:r w:rsidR="001C356B" w:rsidRPr="00655CB2">
              <w:rPr>
                <w:sz w:val="18"/>
                <w:szCs w:val="18"/>
              </w:rPr>
              <w:t>&amp;</w:t>
            </w:r>
            <w:r w:rsidRPr="00655CB2">
              <w:rPr>
                <w:sz w:val="18"/>
                <w:szCs w:val="18"/>
              </w:rPr>
              <w:t>2</w:t>
            </w:r>
          </w:p>
        </w:tc>
        <w:tc>
          <w:tcPr>
            <w:tcW w:w="856" w:type="pct"/>
            <w:vAlign w:val="center"/>
            <w:hideMark/>
          </w:tcPr>
          <w:p w:rsidR="009558F3" w:rsidRPr="00655CB2" w:rsidRDefault="009558F3" w:rsidP="00655CB2">
            <w:pPr>
              <w:bidi w:val="0"/>
              <w:snapToGrid w:val="0"/>
              <w:jc w:val="both"/>
              <w:rPr>
                <w:sz w:val="18"/>
                <w:szCs w:val="18"/>
              </w:rPr>
            </w:pPr>
            <w:r w:rsidRPr="00655CB2">
              <w:rPr>
                <w:sz w:val="18"/>
                <w:szCs w:val="18"/>
              </w:rPr>
              <w:t>234(71.1%)</w:t>
            </w:r>
          </w:p>
        </w:tc>
        <w:tc>
          <w:tcPr>
            <w:tcW w:w="979" w:type="pct"/>
            <w:vAlign w:val="center"/>
            <w:hideMark/>
          </w:tcPr>
          <w:p w:rsidR="009558F3" w:rsidRPr="00655CB2" w:rsidRDefault="009558F3" w:rsidP="00655CB2">
            <w:pPr>
              <w:bidi w:val="0"/>
              <w:snapToGrid w:val="0"/>
              <w:jc w:val="both"/>
              <w:rPr>
                <w:sz w:val="18"/>
                <w:szCs w:val="18"/>
              </w:rPr>
            </w:pPr>
            <w:r w:rsidRPr="00655CB2">
              <w:rPr>
                <w:sz w:val="18"/>
                <w:szCs w:val="18"/>
              </w:rPr>
              <w:t>143(61.1%)</w:t>
            </w:r>
          </w:p>
        </w:tc>
        <w:tc>
          <w:tcPr>
            <w:tcW w:w="1690" w:type="pct"/>
            <w:vAlign w:val="center"/>
            <w:hideMark/>
          </w:tcPr>
          <w:p w:rsidR="009558F3" w:rsidRPr="00655CB2" w:rsidRDefault="009558F3" w:rsidP="00655CB2">
            <w:pPr>
              <w:bidi w:val="0"/>
              <w:snapToGrid w:val="0"/>
              <w:jc w:val="both"/>
              <w:rPr>
                <w:sz w:val="18"/>
                <w:szCs w:val="18"/>
              </w:rPr>
            </w:pPr>
            <w:r w:rsidRPr="00655CB2">
              <w:rPr>
                <w:sz w:val="18"/>
                <w:szCs w:val="18"/>
              </w:rPr>
              <w:t>91(38.9%)</w:t>
            </w:r>
          </w:p>
        </w:tc>
        <w:tc>
          <w:tcPr>
            <w:tcW w:w="597" w:type="pct"/>
            <w:vMerge w:val="restart"/>
            <w:vAlign w:val="center"/>
            <w:hideMark/>
          </w:tcPr>
          <w:p w:rsidR="009558F3" w:rsidRPr="00655CB2" w:rsidRDefault="009558F3" w:rsidP="00655CB2">
            <w:pPr>
              <w:bidi w:val="0"/>
              <w:snapToGrid w:val="0"/>
              <w:jc w:val="both"/>
              <w:rPr>
                <w:sz w:val="18"/>
                <w:szCs w:val="18"/>
              </w:rPr>
            </w:pPr>
            <w:r w:rsidRPr="00655CB2">
              <w:rPr>
                <w:sz w:val="18"/>
                <w:szCs w:val="18"/>
              </w:rPr>
              <w:t>&lt;0.001</w:t>
            </w:r>
            <w:r w:rsidRPr="00655CB2">
              <w:rPr>
                <w:sz w:val="18"/>
                <w:szCs w:val="18"/>
                <w:vertAlign w:val="superscript"/>
              </w:rPr>
              <w:t>*</w:t>
            </w:r>
          </w:p>
        </w:tc>
      </w:tr>
      <w:tr w:rsidR="009558F3" w:rsidRPr="00655CB2" w:rsidTr="001C356B">
        <w:trPr>
          <w:jc w:val="center"/>
        </w:trPr>
        <w:tc>
          <w:tcPr>
            <w:tcW w:w="878" w:type="pct"/>
            <w:vAlign w:val="center"/>
            <w:hideMark/>
          </w:tcPr>
          <w:p w:rsidR="009558F3" w:rsidRPr="00655CB2" w:rsidRDefault="009558F3" w:rsidP="00655CB2">
            <w:pPr>
              <w:bidi w:val="0"/>
              <w:snapToGrid w:val="0"/>
              <w:jc w:val="both"/>
              <w:rPr>
                <w:sz w:val="18"/>
                <w:szCs w:val="18"/>
              </w:rPr>
            </w:pPr>
            <w:r w:rsidRPr="00655CB2">
              <w:rPr>
                <w:sz w:val="18"/>
                <w:szCs w:val="18"/>
              </w:rPr>
              <w:t>G3</w:t>
            </w:r>
          </w:p>
        </w:tc>
        <w:tc>
          <w:tcPr>
            <w:tcW w:w="856" w:type="pct"/>
            <w:vAlign w:val="center"/>
            <w:hideMark/>
          </w:tcPr>
          <w:p w:rsidR="009558F3" w:rsidRPr="00655CB2" w:rsidRDefault="009558F3" w:rsidP="00655CB2">
            <w:pPr>
              <w:bidi w:val="0"/>
              <w:snapToGrid w:val="0"/>
              <w:jc w:val="both"/>
              <w:rPr>
                <w:sz w:val="18"/>
                <w:szCs w:val="18"/>
              </w:rPr>
            </w:pPr>
            <w:r w:rsidRPr="00655CB2">
              <w:rPr>
                <w:sz w:val="18"/>
                <w:szCs w:val="18"/>
              </w:rPr>
              <w:t>95(28.9%)</w:t>
            </w:r>
          </w:p>
        </w:tc>
        <w:tc>
          <w:tcPr>
            <w:tcW w:w="979" w:type="pct"/>
            <w:vAlign w:val="center"/>
            <w:hideMark/>
          </w:tcPr>
          <w:p w:rsidR="009558F3" w:rsidRPr="00655CB2" w:rsidRDefault="009558F3" w:rsidP="00655CB2">
            <w:pPr>
              <w:bidi w:val="0"/>
              <w:snapToGrid w:val="0"/>
              <w:jc w:val="both"/>
              <w:rPr>
                <w:sz w:val="18"/>
                <w:szCs w:val="18"/>
              </w:rPr>
            </w:pPr>
            <w:r w:rsidRPr="00655CB2">
              <w:rPr>
                <w:sz w:val="18"/>
                <w:szCs w:val="18"/>
              </w:rPr>
              <w:t>20 (21.1%)</w:t>
            </w:r>
          </w:p>
        </w:tc>
        <w:tc>
          <w:tcPr>
            <w:tcW w:w="1690" w:type="pct"/>
            <w:vAlign w:val="center"/>
            <w:hideMark/>
          </w:tcPr>
          <w:p w:rsidR="009558F3" w:rsidRPr="00655CB2" w:rsidRDefault="009558F3" w:rsidP="00655CB2">
            <w:pPr>
              <w:bidi w:val="0"/>
              <w:snapToGrid w:val="0"/>
              <w:jc w:val="both"/>
              <w:rPr>
                <w:sz w:val="18"/>
                <w:szCs w:val="18"/>
              </w:rPr>
            </w:pPr>
            <w:r w:rsidRPr="00655CB2">
              <w:rPr>
                <w:sz w:val="18"/>
                <w:szCs w:val="18"/>
              </w:rPr>
              <w:t>75(78.9%)</w:t>
            </w:r>
          </w:p>
        </w:tc>
        <w:tc>
          <w:tcPr>
            <w:tcW w:w="597" w:type="pct"/>
            <w:vMerge/>
            <w:vAlign w:val="center"/>
            <w:hideMark/>
          </w:tcPr>
          <w:p w:rsidR="009558F3" w:rsidRPr="00655CB2" w:rsidRDefault="009558F3" w:rsidP="00655CB2">
            <w:pPr>
              <w:bidi w:val="0"/>
              <w:snapToGrid w:val="0"/>
              <w:jc w:val="both"/>
              <w:rPr>
                <w:sz w:val="18"/>
                <w:szCs w:val="18"/>
              </w:rPr>
            </w:pPr>
          </w:p>
        </w:tc>
      </w:tr>
      <w:tr w:rsidR="009558F3" w:rsidRPr="00655CB2" w:rsidTr="001C356B">
        <w:trPr>
          <w:jc w:val="center"/>
        </w:trPr>
        <w:tc>
          <w:tcPr>
            <w:tcW w:w="878" w:type="pct"/>
            <w:vAlign w:val="center"/>
            <w:hideMark/>
          </w:tcPr>
          <w:p w:rsidR="009558F3" w:rsidRPr="00655CB2" w:rsidRDefault="009558F3" w:rsidP="00655CB2">
            <w:pPr>
              <w:bidi w:val="0"/>
              <w:snapToGrid w:val="0"/>
              <w:jc w:val="both"/>
              <w:rPr>
                <w:sz w:val="18"/>
                <w:szCs w:val="18"/>
              </w:rPr>
            </w:pPr>
            <w:r w:rsidRPr="00655CB2">
              <w:rPr>
                <w:b/>
                <w:bCs/>
                <w:sz w:val="18"/>
                <w:szCs w:val="18"/>
              </w:rPr>
              <w:t>LVI</w:t>
            </w:r>
          </w:p>
        </w:tc>
        <w:tc>
          <w:tcPr>
            <w:tcW w:w="856" w:type="pct"/>
            <w:vAlign w:val="center"/>
          </w:tcPr>
          <w:p w:rsidR="009558F3" w:rsidRPr="00655CB2" w:rsidRDefault="009558F3" w:rsidP="00655CB2">
            <w:pPr>
              <w:bidi w:val="0"/>
              <w:snapToGrid w:val="0"/>
              <w:jc w:val="both"/>
              <w:rPr>
                <w:sz w:val="18"/>
                <w:szCs w:val="18"/>
              </w:rPr>
            </w:pPr>
          </w:p>
        </w:tc>
        <w:tc>
          <w:tcPr>
            <w:tcW w:w="979" w:type="pct"/>
            <w:vAlign w:val="center"/>
          </w:tcPr>
          <w:p w:rsidR="009558F3" w:rsidRPr="00655CB2" w:rsidRDefault="009558F3" w:rsidP="00655CB2">
            <w:pPr>
              <w:bidi w:val="0"/>
              <w:snapToGrid w:val="0"/>
              <w:jc w:val="both"/>
              <w:rPr>
                <w:sz w:val="18"/>
                <w:szCs w:val="18"/>
              </w:rPr>
            </w:pPr>
          </w:p>
        </w:tc>
        <w:tc>
          <w:tcPr>
            <w:tcW w:w="1690" w:type="pct"/>
            <w:vAlign w:val="center"/>
          </w:tcPr>
          <w:p w:rsidR="009558F3" w:rsidRPr="00655CB2" w:rsidRDefault="009558F3" w:rsidP="00655CB2">
            <w:pPr>
              <w:bidi w:val="0"/>
              <w:snapToGrid w:val="0"/>
              <w:jc w:val="both"/>
              <w:rPr>
                <w:sz w:val="18"/>
                <w:szCs w:val="18"/>
              </w:rPr>
            </w:pPr>
          </w:p>
        </w:tc>
        <w:tc>
          <w:tcPr>
            <w:tcW w:w="597" w:type="pct"/>
            <w:vAlign w:val="center"/>
          </w:tcPr>
          <w:p w:rsidR="009558F3" w:rsidRPr="00655CB2" w:rsidRDefault="009558F3" w:rsidP="00655CB2">
            <w:pPr>
              <w:bidi w:val="0"/>
              <w:snapToGrid w:val="0"/>
              <w:jc w:val="both"/>
              <w:rPr>
                <w:sz w:val="18"/>
                <w:szCs w:val="18"/>
              </w:rPr>
            </w:pPr>
          </w:p>
        </w:tc>
      </w:tr>
      <w:tr w:rsidR="009558F3" w:rsidRPr="00655CB2" w:rsidTr="001C356B">
        <w:trPr>
          <w:jc w:val="center"/>
        </w:trPr>
        <w:tc>
          <w:tcPr>
            <w:tcW w:w="878" w:type="pct"/>
            <w:vAlign w:val="center"/>
            <w:hideMark/>
          </w:tcPr>
          <w:p w:rsidR="009558F3" w:rsidRPr="00655CB2" w:rsidRDefault="009558F3" w:rsidP="00655CB2">
            <w:pPr>
              <w:bidi w:val="0"/>
              <w:snapToGrid w:val="0"/>
              <w:jc w:val="both"/>
              <w:rPr>
                <w:sz w:val="18"/>
                <w:szCs w:val="18"/>
              </w:rPr>
            </w:pPr>
            <w:r w:rsidRPr="00655CB2">
              <w:rPr>
                <w:sz w:val="18"/>
                <w:szCs w:val="18"/>
              </w:rPr>
              <w:t>Non</w:t>
            </w:r>
          </w:p>
        </w:tc>
        <w:tc>
          <w:tcPr>
            <w:tcW w:w="856" w:type="pct"/>
            <w:vAlign w:val="center"/>
            <w:hideMark/>
          </w:tcPr>
          <w:p w:rsidR="009558F3" w:rsidRPr="00655CB2" w:rsidRDefault="009558F3" w:rsidP="00655CB2">
            <w:pPr>
              <w:bidi w:val="0"/>
              <w:snapToGrid w:val="0"/>
              <w:jc w:val="both"/>
              <w:rPr>
                <w:sz w:val="18"/>
                <w:szCs w:val="18"/>
              </w:rPr>
            </w:pPr>
            <w:r w:rsidRPr="00655CB2">
              <w:rPr>
                <w:sz w:val="18"/>
                <w:szCs w:val="18"/>
              </w:rPr>
              <w:t>206(62.6%)</w:t>
            </w:r>
          </w:p>
        </w:tc>
        <w:tc>
          <w:tcPr>
            <w:tcW w:w="979" w:type="pct"/>
            <w:vAlign w:val="center"/>
            <w:hideMark/>
          </w:tcPr>
          <w:p w:rsidR="009558F3" w:rsidRPr="00655CB2" w:rsidRDefault="009558F3" w:rsidP="00655CB2">
            <w:pPr>
              <w:bidi w:val="0"/>
              <w:snapToGrid w:val="0"/>
              <w:jc w:val="both"/>
              <w:rPr>
                <w:sz w:val="18"/>
                <w:szCs w:val="18"/>
              </w:rPr>
            </w:pPr>
            <w:r w:rsidRPr="00655CB2">
              <w:rPr>
                <w:sz w:val="18"/>
                <w:szCs w:val="18"/>
              </w:rPr>
              <w:t>142(68.9%)</w:t>
            </w:r>
          </w:p>
        </w:tc>
        <w:tc>
          <w:tcPr>
            <w:tcW w:w="1690" w:type="pct"/>
            <w:vAlign w:val="center"/>
            <w:hideMark/>
          </w:tcPr>
          <w:p w:rsidR="009558F3" w:rsidRPr="00655CB2" w:rsidRDefault="009558F3" w:rsidP="00655CB2">
            <w:pPr>
              <w:bidi w:val="0"/>
              <w:snapToGrid w:val="0"/>
              <w:jc w:val="both"/>
              <w:rPr>
                <w:sz w:val="18"/>
                <w:szCs w:val="18"/>
              </w:rPr>
            </w:pPr>
            <w:r w:rsidRPr="00655CB2">
              <w:rPr>
                <w:sz w:val="18"/>
                <w:szCs w:val="18"/>
              </w:rPr>
              <w:t>64(31.1%)</w:t>
            </w:r>
          </w:p>
        </w:tc>
        <w:tc>
          <w:tcPr>
            <w:tcW w:w="597" w:type="pct"/>
            <w:vMerge w:val="restart"/>
            <w:vAlign w:val="center"/>
            <w:hideMark/>
          </w:tcPr>
          <w:p w:rsidR="009558F3" w:rsidRPr="00655CB2" w:rsidRDefault="009558F3" w:rsidP="00655CB2">
            <w:pPr>
              <w:bidi w:val="0"/>
              <w:snapToGrid w:val="0"/>
              <w:jc w:val="both"/>
              <w:rPr>
                <w:sz w:val="18"/>
                <w:szCs w:val="18"/>
              </w:rPr>
            </w:pPr>
            <w:r w:rsidRPr="00655CB2">
              <w:rPr>
                <w:sz w:val="18"/>
                <w:szCs w:val="18"/>
              </w:rPr>
              <w:t>&lt;0.001</w:t>
            </w:r>
            <w:r w:rsidRPr="00655CB2">
              <w:rPr>
                <w:sz w:val="18"/>
                <w:szCs w:val="18"/>
                <w:vertAlign w:val="superscript"/>
              </w:rPr>
              <w:t>*</w:t>
            </w:r>
          </w:p>
        </w:tc>
      </w:tr>
      <w:tr w:rsidR="009558F3" w:rsidRPr="00655CB2" w:rsidTr="001C356B">
        <w:trPr>
          <w:jc w:val="center"/>
        </w:trPr>
        <w:tc>
          <w:tcPr>
            <w:tcW w:w="878" w:type="pct"/>
            <w:vAlign w:val="center"/>
            <w:hideMark/>
          </w:tcPr>
          <w:p w:rsidR="009558F3" w:rsidRPr="00655CB2" w:rsidRDefault="009558F3" w:rsidP="00655CB2">
            <w:pPr>
              <w:bidi w:val="0"/>
              <w:snapToGrid w:val="0"/>
              <w:jc w:val="both"/>
              <w:rPr>
                <w:sz w:val="18"/>
                <w:szCs w:val="18"/>
              </w:rPr>
            </w:pPr>
            <w:r w:rsidRPr="00655CB2">
              <w:rPr>
                <w:sz w:val="18"/>
                <w:szCs w:val="18"/>
              </w:rPr>
              <w:t>Yes</w:t>
            </w:r>
          </w:p>
        </w:tc>
        <w:tc>
          <w:tcPr>
            <w:tcW w:w="856" w:type="pct"/>
            <w:vAlign w:val="center"/>
            <w:hideMark/>
          </w:tcPr>
          <w:p w:rsidR="009558F3" w:rsidRPr="00655CB2" w:rsidRDefault="009558F3" w:rsidP="00655CB2">
            <w:pPr>
              <w:bidi w:val="0"/>
              <w:snapToGrid w:val="0"/>
              <w:jc w:val="both"/>
              <w:rPr>
                <w:sz w:val="18"/>
                <w:szCs w:val="18"/>
              </w:rPr>
            </w:pPr>
            <w:r w:rsidRPr="00655CB2">
              <w:rPr>
                <w:sz w:val="18"/>
                <w:szCs w:val="18"/>
              </w:rPr>
              <w:t>123(37.4%)</w:t>
            </w:r>
          </w:p>
        </w:tc>
        <w:tc>
          <w:tcPr>
            <w:tcW w:w="979" w:type="pct"/>
            <w:vAlign w:val="center"/>
            <w:hideMark/>
          </w:tcPr>
          <w:p w:rsidR="009558F3" w:rsidRPr="00655CB2" w:rsidRDefault="009558F3" w:rsidP="00655CB2">
            <w:pPr>
              <w:bidi w:val="0"/>
              <w:snapToGrid w:val="0"/>
              <w:jc w:val="both"/>
              <w:rPr>
                <w:sz w:val="18"/>
                <w:szCs w:val="18"/>
              </w:rPr>
            </w:pPr>
            <w:r w:rsidRPr="00655CB2">
              <w:rPr>
                <w:sz w:val="18"/>
                <w:szCs w:val="18"/>
              </w:rPr>
              <w:t>21(17.1%)</w:t>
            </w:r>
          </w:p>
        </w:tc>
        <w:tc>
          <w:tcPr>
            <w:tcW w:w="1690" w:type="pct"/>
            <w:vAlign w:val="center"/>
            <w:hideMark/>
          </w:tcPr>
          <w:p w:rsidR="009558F3" w:rsidRPr="00655CB2" w:rsidRDefault="009558F3" w:rsidP="00655CB2">
            <w:pPr>
              <w:bidi w:val="0"/>
              <w:snapToGrid w:val="0"/>
              <w:jc w:val="both"/>
              <w:rPr>
                <w:sz w:val="18"/>
                <w:szCs w:val="18"/>
              </w:rPr>
            </w:pPr>
            <w:r w:rsidRPr="00655CB2">
              <w:rPr>
                <w:sz w:val="18"/>
                <w:szCs w:val="18"/>
              </w:rPr>
              <w:t>102(82.9%)</w:t>
            </w:r>
          </w:p>
        </w:tc>
        <w:tc>
          <w:tcPr>
            <w:tcW w:w="597" w:type="pct"/>
            <w:vMerge/>
            <w:vAlign w:val="center"/>
            <w:hideMark/>
          </w:tcPr>
          <w:p w:rsidR="009558F3" w:rsidRPr="00655CB2" w:rsidRDefault="009558F3" w:rsidP="00655CB2">
            <w:pPr>
              <w:bidi w:val="0"/>
              <w:snapToGrid w:val="0"/>
              <w:jc w:val="both"/>
              <w:rPr>
                <w:sz w:val="18"/>
                <w:szCs w:val="18"/>
              </w:rPr>
            </w:pPr>
          </w:p>
        </w:tc>
      </w:tr>
      <w:tr w:rsidR="009558F3" w:rsidRPr="00655CB2" w:rsidTr="001C356B">
        <w:trPr>
          <w:jc w:val="center"/>
        </w:trPr>
        <w:tc>
          <w:tcPr>
            <w:tcW w:w="878" w:type="pct"/>
            <w:vAlign w:val="center"/>
            <w:hideMark/>
          </w:tcPr>
          <w:p w:rsidR="009558F3" w:rsidRPr="00655CB2" w:rsidRDefault="009558F3" w:rsidP="00655CB2">
            <w:pPr>
              <w:bidi w:val="0"/>
              <w:snapToGrid w:val="0"/>
              <w:jc w:val="both"/>
              <w:rPr>
                <w:sz w:val="18"/>
                <w:szCs w:val="18"/>
              </w:rPr>
            </w:pPr>
            <w:r w:rsidRPr="00655CB2">
              <w:rPr>
                <w:b/>
                <w:bCs/>
                <w:sz w:val="18"/>
                <w:szCs w:val="18"/>
              </w:rPr>
              <w:t>Ki67</w:t>
            </w:r>
          </w:p>
        </w:tc>
        <w:tc>
          <w:tcPr>
            <w:tcW w:w="856" w:type="pct"/>
            <w:vAlign w:val="center"/>
          </w:tcPr>
          <w:p w:rsidR="009558F3" w:rsidRPr="00655CB2" w:rsidRDefault="009558F3" w:rsidP="00655CB2">
            <w:pPr>
              <w:bidi w:val="0"/>
              <w:snapToGrid w:val="0"/>
              <w:jc w:val="both"/>
              <w:rPr>
                <w:sz w:val="18"/>
                <w:szCs w:val="18"/>
              </w:rPr>
            </w:pPr>
          </w:p>
        </w:tc>
        <w:tc>
          <w:tcPr>
            <w:tcW w:w="979" w:type="pct"/>
            <w:vAlign w:val="center"/>
          </w:tcPr>
          <w:p w:rsidR="009558F3" w:rsidRPr="00655CB2" w:rsidRDefault="009558F3" w:rsidP="00655CB2">
            <w:pPr>
              <w:bidi w:val="0"/>
              <w:snapToGrid w:val="0"/>
              <w:jc w:val="both"/>
              <w:rPr>
                <w:sz w:val="18"/>
                <w:szCs w:val="18"/>
              </w:rPr>
            </w:pPr>
          </w:p>
        </w:tc>
        <w:tc>
          <w:tcPr>
            <w:tcW w:w="1690" w:type="pct"/>
            <w:vAlign w:val="center"/>
          </w:tcPr>
          <w:p w:rsidR="009558F3" w:rsidRPr="00655CB2" w:rsidRDefault="009558F3" w:rsidP="00655CB2">
            <w:pPr>
              <w:bidi w:val="0"/>
              <w:snapToGrid w:val="0"/>
              <w:jc w:val="both"/>
              <w:rPr>
                <w:sz w:val="18"/>
                <w:szCs w:val="18"/>
              </w:rPr>
            </w:pPr>
          </w:p>
        </w:tc>
        <w:tc>
          <w:tcPr>
            <w:tcW w:w="597" w:type="pct"/>
            <w:vAlign w:val="center"/>
          </w:tcPr>
          <w:p w:rsidR="009558F3" w:rsidRPr="00655CB2" w:rsidRDefault="009558F3" w:rsidP="00655CB2">
            <w:pPr>
              <w:bidi w:val="0"/>
              <w:snapToGrid w:val="0"/>
              <w:jc w:val="both"/>
              <w:rPr>
                <w:sz w:val="18"/>
                <w:szCs w:val="18"/>
              </w:rPr>
            </w:pPr>
          </w:p>
        </w:tc>
      </w:tr>
      <w:tr w:rsidR="009558F3" w:rsidRPr="00655CB2" w:rsidTr="001C356B">
        <w:trPr>
          <w:jc w:val="center"/>
        </w:trPr>
        <w:tc>
          <w:tcPr>
            <w:tcW w:w="878" w:type="pct"/>
            <w:vAlign w:val="center"/>
            <w:hideMark/>
          </w:tcPr>
          <w:p w:rsidR="009558F3" w:rsidRPr="00655CB2" w:rsidRDefault="009558F3" w:rsidP="00655CB2">
            <w:pPr>
              <w:bidi w:val="0"/>
              <w:snapToGrid w:val="0"/>
              <w:jc w:val="both"/>
              <w:rPr>
                <w:sz w:val="18"/>
                <w:szCs w:val="18"/>
              </w:rPr>
            </w:pPr>
            <w:r w:rsidRPr="00655CB2">
              <w:rPr>
                <w:sz w:val="18"/>
                <w:szCs w:val="18"/>
              </w:rPr>
              <w:t>Low</w:t>
            </w:r>
          </w:p>
        </w:tc>
        <w:tc>
          <w:tcPr>
            <w:tcW w:w="856" w:type="pct"/>
            <w:vAlign w:val="center"/>
            <w:hideMark/>
          </w:tcPr>
          <w:p w:rsidR="009558F3" w:rsidRPr="00655CB2" w:rsidRDefault="009558F3" w:rsidP="00655CB2">
            <w:pPr>
              <w:bidi w:val="0"/>
              <w:snapToGrid w:val="0"/>
              <w:jc w:val="both"/>
              <w:rPr>
                <w:sz w:val="18"/>
                <w:szCs w:val="18"/>
              </w:rPr>
            </w:pPr>
            <w:r w:rsidRPr="00655CB2">
              <w:rPr>
                <w:sz w:val="18"/>
                <w:szCs w:val="18"/>
              </w:rPr>
              <w:t>103(31.3%)</w:t>
            </w:r>
          </w:p>
        </w:tc>
        <w:tc>
          <w:tcPr>
            <w:tcW w:w="979" w:type="pct"/>
            <w:vAlign w:val="center"/>
            <w:hideMark/>
          </w:tcPr>
          <w:p w:rsidR="009558F3" w:rsidRPr="00655CB2" w:rsidRDefault="009558F3" w:rsidP="00655CB2">
            <w:pPr>
              <w:bidi w:val="0"/>
              <w:snapToGrid w:val="0"/>
              <w:jc w:val="both"/>
              <w:rPr>
                <w:sz w:val="18"/>
                <w:szCs w:val="18"/>
              </w:rPr>
            </w:pPr>
            <w:r w:rsidRPr="00655CB2">
              <w:rPr>
                <w:sz w:val="18"/>
                <w:szCs w:val="18"/>
              </w:rPr>
              <w:t>92(89.3%)</w:t>
            </w:r>
          </w:p>
        </w:tc>
        <w:tc>
          <w:tcPr>
            <w:tcW w:w="1690" w:type="pct"/>
            <w:vAlign w:val="center"/>
            <w:hideMark/>
          </w:tcPr>
          <w:p w:rsidR="009558F3" w:rsidRPr="00655CB2" w:rsidRDefault="009558F3" w:rsidP="00655CB2">
            <w:pPr>
              <w:bidi w:val="0"/>
              <w:snapToGrid w:val="0"/>
              <w:jc w:val="both"/>
              <w:rPr>
                <w:sz w:val="18"/>
                <w:szCs w:val="18"/>
              </w:rPr>
            </w:pPr>
            <w:r w:rsidRPr="00655CB2">
              <w:rPr>
                <w:sz w:val="18"/>
                <w:szCs w:val="18"/>
              </w:rPr>
              <w:t>11(10.7%)</w:t>
            </w:r>
          </w:p>
        </w:tc>
        <w:tc>
          <w:tcPr>
            <w:tcW w:w="597" w:type="pct"/>
            <w:vMerge w:val="restart"/>
            <w:vAlign w:val="center"/>
            <w:hideMark/>
          </w:tcPr>
          <w:p w:rsidR="009558F3" w:rsidRPr="00655CB2" w:rsidRDefault="009558F3" w:rsidP="00655CB2">
            <w:pPr>
              <w:bidi w:val="0"/>
              <w:snapToGrid w:val="0"/>
              <w:jc w:val="both"/>
              <w:rPr>
                <w:sz w:val="18"/>
                <w:szCs w:val="18"/>
              </w:rPr>
            </w:pPr>
            <w:r w:rsidRPr="00655CB2">
              <w:rPr>
                <w:sz w:val="18"/>
                <w:szCs w:val="18"/>
              </w:rPr>
              <w:t>&lt;0.001</w:t>
            </w:r>
            <w:r w:rsidRPr="00655CB2">
              <w:rPr>
                <w:sz w:val="18"/>
                <w:szCs w:val="18"/>
                <w:vertAlign w:val="superscript"/>
              </w:rPr>
              <w:t>*</w:t>
            </w:r>
          </w:p>
        </w:tc>
      </w:tr>
      <w:tr w:rsidR="009558F3" w:rsidRPr="00655CB2" w:rsidTr="001C356B">
        <w:trPr>
          <w:jc w:val="center"/>
        </w:trPr>
        <w:tc>
          <w:tcPr>
            <w:tcW w:w="878" w:type="pct"/>
            <w:vAlign w:val="center"/>
            <w:hideMark/>
          </w:tcPr>
          <w:p w:rsidR="009558F3" w:rsidRPr="00655CB2" w:rsidRDefault="009558F3" w:rsidP="00655CB2">
            <w:pPr>
              <w:bidi w:val="0"/>
              <w:snapToGrid w:val="0"/>
              <w:jc w:val="both"/>
              <w:rPr>
                <w:sz w:val="18"/>
                <w:szCs w:val="18"/>
              </w:rPr>
            </w:pPr>
            <w:r w:rsidRPr="00655CB2">
              <w:rPr>
                <w:sz w:val="18"/>
                <w:szCs w:val="18"/>
              </w:rPr>
              <w:t>High</w:t>
            </w:r>
          </w:p>
        </w:tc>
        <w:tc>
          <w:tcPr>
            <w:tcW w:w="856" w:type="pct"/>
            <w:vAlign w:val="center"/>
            <w:hideMark/>
          </w:tcPr>
          <w:p w:rsidR="009558F3" w:rsidRPr="00655CB2" w:rsidRDefault="009558F3" w:rsidP="00655CB2">
            <w:pPr>
              <w:bidi w:val="0"/>
              <w:snapToGrid w:val="0"/>
              <w:jc w:val="both"/>
              <w:rPr>
                <w:sz w:val="18"/>
                <w:szCs w:val="18"/>
              </w:rPr>
            </w:pPr>
            <w:r w:rsidRPr="00655CB2">
              <w:rPr>
                <w:sz w:val="18"/>
                <w:szCs w:val="18"/>
              </w:rPr>
              <w:t>226(68.7%)</w:t>
            </w:r>
          </w:p>
        </w:tc>
        <w:tc>
          <w:tcPr>
            <w:tcW w:w="979" w:type="pct"/>
            <w:vAlign w:val="center"/>
            <w:hideMark/>
          </w:tcPr>
          <w:p w:rsidR="009558F3" w:rsidRPr="00655CB2" w:rsidRDefault="009558F3" w:rsidP="00655CB2">
            <w:pPr>
              <w:bidi w:val="0"/>
              <w:snapToGrid w:val="0"/>
              <w:jc w:val="both"/>
              <w:rPr>
                <w:sz w:val="18"/>
                <w:szCs w:val="18"/>
              </w:rPr>
            </w:pPr>
            <w:r w:rsidRPr="00655CB2">
              <w:rPr>
                <w:sz w:val="18"/>
                <w:szCs w:val="18"/>
              </w:rPr>
              <w:t>71(31.4%)</w:t>
            </w:r>
          </w:p>
        </w:tc>
        <w:tc>
          <w:tcPr>
            <w:tcW w:w="1690" w:type="pct"/>
            <w:vAlign w:val="center"/>
            <w:hideMark/>
          </w:tcPr>
          <w:p w:rsidR="009558F3" w:rsidRPr="00655CB2" w:rsidRDefault="009558F3" w:rsidP="00655CB2">
            <w:pPr>
              <w:bidi w:val="0"/>
              <w:snapToGrid w:val="0"/>
              <w:jc w:val="both"/>
              <w:rPr>
                <w:sz w:val="18"/>
                <w:szCs w:val="18"/>
              </w:rPr>
            </w:pPr>
            <w:r w:rsidRPr="00655CB2">
              <w:rPr>
                <w:sz w:val="18"/>
                <w:szCs w:val="18"/>
              </w:rPr>
              <w:t>155(68.6%)</w:t>
            </w:r>
          </w:p>
        </w:tc>
        <w:tc>
          <w:tcPr>
            <w:tcW w:w="597" w:type="pct"/>
            <w:vMerge/>
            <w:vAlign w:val="center"/>
            <w:hideMark/>
          </w:tcPr>
          <w:p w:rsidR="009558F3" w:rsidRPr="00655CB2" w:rsidRDefault="009558F3" w:rsidP="00655CB2">
            <w:pPr>
              <w:bidi w:val="0"/>
              <w:snapToGrid w:val="0"/>
              <w:jc w:val="both"/>
              <w:rPr>
                <w:sz w:val="18"/>
                <w:szCs w:val="18"/>
              </w:rPr>
            </w:pPr>
          </w:p>
        </w:tc>
      </w:tr>
    </w:tbl>
    <w:p w:rsidR="00655CB2" w:rsidRPr="00655CB2" w:rsidRDefault="00655CB2" w:rsidP="00655CB2">
      <w:pPr>
        <w:bidi w:val="0"/>
        <w:snapToGrid w:val="0"/>
        <w:spacing w:after="0" w:line="240" w:lineRule="auto"/>
        <w:jc w:val="both"/>
        <w:rPr>
          <w:rFonts w:ascii="Times New Roman" w:hAnsi="Times New Roman" w:cs="Times New Roman"/>
          <w:b/>
          <w:bCs/>
          <w:sz w:val="18"/>
          <w:szCs w:val="18"/>
          <w:lang w:eastAsia="zh-CN" w:bidi="ar-EG"/>
        </w:rPr>
      </w:pPr>
    </w:p>
    <w:p w:rsidR="00DB1FA6" w:rsidRPr="00655CB2" w:rsidRDefault="00DB1FA6" w:rsidP="00655CB2">
      <w:pPr>
        <w:bidi w:val="0"/>
        <w:snapToGrid w:val="0"/>
        <w:spacing w:after="0" w:line="240" w:lineRule="auto"/>
        <w:jc w:val="center"/>
        <w:rPr>
          <w:rFonts w:ascii="Times New Roman" w:hAnsi="Times New Roman" w:cs="Times New Roman"/>
          <w:b/>
          <w:bCs/>
          <w:sz w:val="18"/>
          <w:szCs w:val="18"/>
          <w:lang w:bidi="ar-EG"/>
        </w:rPr>
      </w:pPr>
      <w:r w:rsidRPr="00655CB2">
        <w:rPr>
          <w:rFonts w:ascii="Times New Roman" w:hAnsi="Times New Roman" w:cs="Times New Roman"/>
          <w:b/>
          <w:bCs/>
          <w:sz w:val="18"/>
          <w:szCs w:val="18"/>
          <w:lang w:bidi="ar-EG"/>
        </w:rPr>
        <w:lastRenderedPageBreak/>
        <w:t>Table (3): Univariate analysis logistic regression for factor</w:t>
      </w:r>
      <w:r w:rsidR="005B5B0B" w:rsidRPr="00655CB2">
        <w:rPr>
          <w:rFonts w:ascii="Times New Roman" w:hAnsi="Times New Roman" w:cs="Times New Roman"/>
          <w:b/>
          <w:bCs/>
          <w:sz w:val="18"/>
          <w:szCs w:val="18"/>
          <w:lang w:bidi="ar-EG"/>
        </w:rPr>
        <w:t xml:space="preserve"> affecting</w:t>
      </w:r>
      <w:r w:rsidRPr="00655CB2">
        <w:rPr>
          <w:rFonts w:ascii="Times New Roman" w:hAnsi="Times New Roman" w:cs="Times New Roman"/>
          <w:b/>
          <w:bCs/>
          <w:sz w:val="18"/>
          <w:szCs w:val="18"/>
          <w:lang w:bidi="ar-EG"/>
        </w:rPr>
        <w:t xml:space="preserve"> stage</w:t>
      </w:r>
      <w:r w:rsidR="001C356B" w:rsidRPr="00655CB2">
        <w:rPr>
          <w:rFonts w:ascii="Times New Roman" w:hAnsi="Times New Roman" w:cs="Times New Roman"/>
          <w:b/>
          <w:bCs/>
          <w:sz w:val="18"/>
          <w:szCs w:val="18"/>
          <w:lang w:bidi="ar-EG"/>
        </w:rPr>
        <w:t>.</w:t>
      </w:r>
    </w:p>
    <w:tbl>
      <w:tblPr>
        <w:tblW w:w="48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tblPr>
      <w:tblGrid>
        <w:gridCol w:w="1735"/>
        <w:gridCol w:w="983"/>
        <w:gridCol w:w="1281"/>
        <w:gridCol w:w="2661"/>
        <w:gridCol w:w="2611"/>
      </w:tblGrid>
      <w:tr w:rsidR="00655CB2" w:rsidRPr="00655CB2" w:rsidTr="00655CB2">
        <w:trPr>
          <w:cantSplit/>
          <w:jc w:val="center"/>
        </w:trPr>
        <w:tc>
          <w:tcPr>
            <w:tcW w:w="936" w:type="pct"/>
            <w:vMerge w:val="restart"/>
            <w:shd w:val="clear" w:color="auto" w:fill="FFFFFF"/>
            <w:vAlign w:val="center"/>
          </w:tcPr>
          <w:p w:rsidR="00655CB2" w:rsidRPr="00655CB2" w:rsidRDefault="00655CB2" w:rsidP="00655CB2">
            <w:pPr>
              <w:autoSpaceDE w:val="0"/>
              <w:autoSpaceDN w:val="0"/>
              <w:bidi w:val="0"/>
              <w:adjustRightInd w:val="0"/>
              <w:snapToGrid w:val="0"/>
              <w:spacing w:after="0" w:line="240" w:lineRule="auto"/>
              <w:jc w:val="both"/>
              <w:rPr>
                <w:rFonts w:ascii="Times New Roman" w:hAnsi="Times New Roman" w:cs="Times New Roman"/>
                <w:color w:val="000000"/>
                <w:sz w:val="18"/>
                <w:szCs w:val="18"/>
              </w:rPr>
            </w:pPr>
          </w:p>
        </w:tc>
        <w:tc>
          <w:tcPr>
            <w:tcW w:w="530" w:type="pct"/>
            <w:vMerge w:val="restart"/>
            <w:shd w:val="clear" w:color="auto" w:fill="FFFFFF"/>
            <w:vAlign w:val="center"/>
          </w:tcPr>
          <w:p w:rsidR="00655CB2" w:rsidRPr="00655CB2" w:rsidRDefault="00655CB2" w:rsidP="00655CB2">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655CB2">
              <w:rPr>
                <w:rFonts w:ascii="Times New Roman" w:hAnsi="Times New Roman" w:cs="Times New Roman"/>
                <w:color w:val="000000"/>
                <w:sz w:val="18"/>
                <w:szCs w:val="18"/>
              </w:rPr>
              <w:t>Sig.</w:t>
            </w:r>
          </w:p>
        </w:tc>
        <w:tc>
          <w:tcPr>
            <w:tcW w:w="691" w:type="pct"/>
            <w:vMerge w:val="restart"/>
            <w:shd w:val="clear" w:color="auto" w:fill="FFFFFF"/>
            <w:vAlign w:val="center"/>
          </w:tcPr>
          <w:p w:rsidR="00655CB2" w:rsidRPr="00655CB2" w:rsidRDefault="00655CB2" w:rsidP="00655CB2">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655CB2">
              <w:rPr>
                <w:rFonts w:ascii="Times New Roman" w:hAnsi="Times New Roman" w:cs="Times New Roman"/>
                <w:color w:val="000000"/>
                <w:sz w:val="18"/>
                <w:szCs w:val="18"/>
              </w:rPr>
              <w:t>Exp (B)</w:t>
            </w:r>
          </w:p>
        </w:tc>
        <w:tc>
          <w:tcPr>
            <w:tcW w:w="2844" w:type="pct"/>
            <w:gridSpan w:val="2"/>
            <w:shd w:val="clear" w:color="auto" w:fill="FFFFFF"/>
            <w:vAlign w:val="center"/>
          </w:tcPr>
          <w:p w:rsidR="00655CB2" w:rsidRPr="00655CB2" w:rsidRDefault="00655CB2" w:rsidP="00655CB2">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655CB2">
              <w:rPr>
                <w:rFonts w:ascii="Times New Roman" w:hAnsi="Times New Roman" w:cs="Times New Roman"/>
                <w:color w:val="000000"/>
                <w:sz w:val="18"/>
                <w:szCs w:val="18"/>
              </w:rPr>
              <w:t>95% Confidence Interval for Exp (B)</w:t>
            </w:r>
          </w:p>
        </w:tc>
      </w:tr>
      <w:tr w:rsidR="00655CB2" w:rsidRPr="00655CB2" w:rsidTr="00655CB2">
        <w:trPr>
          <w:cantSplit/>
          <w:jc w:val="center"/>
        </w:trPr>
        <w:tc>
          <w:tcPr>
            <w:tcW w:w="936" w:type="pct"/>
            <w:vMerge/>
            <w:shd w:val="clear" w:color="auto" w:fill="FFFFFF"/>
            <w:vAlign w:val="center"/>
          </w:tcPr>
          <w:p w:rsidR="00655CB2" w:rsidRPr="00655CB2" w:rsidRDefault="00655CB2" w:rsidP="00655CB2">
            <w:pPr>
              <w:autoSpaceDE w:val="0"/>
              <w:autoSpaceDN w:val="0"/>
              <w:bidi w:val="0"/>
              <w:adjustRightInd w:val="0"/>
              <w:snapToGrid w:val="0"/>
              <w:spacing w:after="0" w:line="240" w:lineRule="auto"/>
              <w:jc w:val="both"/>
              <w:rPr>
                <w:rFonts w:ascii="Times New Roman" w:hAnsi="Times New Roman" w:cs="Times New Roman"/>
                <w:color w:val="000000"/>
                <w:sz w:val="18"/>
                <w:szCs w:val="18"/>
              </w:rPr>
            </w:pPr>
          </w:p>
        </w:tc>
        <w:tc>
          <w:tcPr>
            <w:tcW w:w="530" w:type="pct"/>
            <w:vMerge/>
            <w:shd w:val="clear" w:color="auto" w:fill="FFFFFF"/>
            <w:vAlign w:val="center"/>
          </w:tcPr>
          <w:p w:rsidR="00655CB2" w:rsidRPr="00655CB2" w:rsidRDefault="00655CB2" w:rsidP="00655CB2">
            <w:pPr>
              <w:autoSpaceDE w:val="0"/>
              <w:autoSpaceDN w:val="0"/>
              <w:bidi w:val="0"/>
              <w:adjustRightInd w:val="0"/>
              <w:snapToGrid w:val="0"/>
              <w:spacing w:after="0" w:line="240" w:lineRule="auto"/>
              <w:jc w:val="both"/>
              <w:rPr>
                <w:rFonts w:ascii="Times New Roman" w:hAnsi="Times New Roman" w:cs="Times New Roman"/>
                <w:color w:val="000000"/>
                <w:sz w:val="18"/>
                <w:szCs w:val="18"/>
              </w:rPr>
            </w:pPr>
          </w:p>
        </w:tc>
        <w:tc>
          <w:tcPr>
            <w:tcW w:w="691" w:type="pct"/>
            <w:vMerge/>
            <w:shd w:val="clear" w:color="auto" w:fill="FFFFFF"/>
            <w:vAlign w:val="center"/>
          </w:tcPr>
          <w:p w:rsidR="00655CB2" w:rsidRPr="00655CB2" w:rsidRDefault="00655CB2" w:rsidP="00655CB2">
            <w:pPr>
              <w:autoSpaceDE w:val="0"/>
              <w:autoSpaceDN w:val="0"/>
              <w:bidi w:val="0"/>
              <w:adjustRightInd w:val="0"/>
              <w:snapToGrid w:val="0"/>
              <w:spacing w:after="0" w:line="240" w:lineRule="auto"/>
              <w:jc w:val="both"/>
              <w:rPr>
                <w:rFonts w:ascii="Times New Roman" w:hAnsi="Times New Roman" w:cs="Times New Roman"/>
                <w:color w:val="000000"/>
                <w:sz w:val="18"/>
                <w:szCs w:val="18"/>
              </w:rPr>
            </w:pPr>
          </w:p>
        </w:tc>
        <w:tc>
          <w:tcPr>
            <w:tcW w:w="1435" w:type="pct"/>
            <w:shd w:val="clear" w:color="auto" w:fill="FFFFFF"/>
            <w:vAlign w:val="center"/>
          </w:tcPr>
          <w:p w:rsidR="00655CB2" w:rsidRPr="00655CB2" w:rsidRDefault="00655CB2" w:rsidP="00655CB2">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655CB2">
              <w:rPr>
                <w:rFonts w:ascii="Times New Roman" w:hAnsi="Times New Roman" w:cs="Times New Roman"/>
                <w:color w:val="000000"/>
                <w:sz w:val="18"/>
                <w:szCs w:val="18"/>
              </w:rPr>
              <w:t>Lower Bound</w:t>
            </w:r>
          </w:p>
        </w:tc>
        <w:tc>
          <w:tcPr>
            <w:tcW w:w="1409" w:type="pct"/>
            <w:shd w:val="clear" w:color="auto" w:fill="FFFFFF"/>
            <w:vAlign w:val="center"/>
          </w:tcPr>
          <w:p w:rsidR="00655CB2" w:rsidRPr="00655CB2" w:rsidRDefault="00655CB2" w:rsidP="00655CB2">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655CB2">
              <w:rPr>
                <w:rFonts w:ascii="Times New Roman" w:hAnsi="Times New Roman" w:cs="Times New Roman"/>
                <w:color w:val="000000"/>
                <w:sz w:val="18"/>
                <w:szCs w:val="18"/>
              </w:rPr>
              <w:t>Upper Bound</w:t>
            </w:r>
          </w:p>
        </w:tc>
      </w:tr>
      <w:tr w:rsidR="00655CB2" w:rsidRPr="00655CB2" w:rsidTr="00655CB2">
        <w:trPr>
          <w:cantSplit/>
          <w:jc w:val="center"/>
        </w:trPr>
        <w:tc>
          <w:tcPr>
            <w:tcW w:w="936" w:type="pct"/>
            <w:shd w:val="clear" w:color="auto" w:fill="FFFFFF"/>
            <w:vAlign w:val="center"/>
          </w:tcPr>
          <w:p w:rsidR="00655CB2" w:rsidRPr="00655CB2" w:rsidRDefault="00655CB2" w:rsidP="00655CB2">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655CB2">
              <w:rPr>
                <w:rFonts w:ascii="Times New Roman" w:hAnsi="Times New Roman" w:cs="Times New Roman"/>
                <w:color w:val="000000"/>
                <w:sz w:val="18"/>
                <w:szCs w:val="18"/>
              </w:rPr>
              <w:t>age</w:t>
            </w:r>
          </w:p>
        </w:tc>
        <w:tc>
          <w:tcPr>
            <w:tcW w:w="530" w:type="pct"/>
            <w:shd w:val="clear" w:color="auto" w:fill="FFFFFF"/>
            <w:vAlign w:val="center"/>
          </w:tcPr>
          <w:p w:rsidR="00655CB2" w:rsidRPr="00655CB2" w:rsidRDefault="00655CB2" w:rsidP="00655CB2">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655CB2">
              <w:rPr>
                <w:rFonts w:ascii="Times New Roman" w:hAnsi="Times New Roman" w:cs="Times New Roman"/>
                <w:color w:val="000000"/>
                <w:sz w:val="18"/>
                <w:szCs w:val="18"/>
              </w:rPr>
              <w:t>.642</w:t>
            </w:r>
          </w:p>
        </w:tc>
        <w:tc>
          <w:tcPr>
            <w:tcW w:w="691" w:type="pct"/>
            <w:shd w:val="clear" w:color="auto" w:fill="FFFFFF"/>
            <w:vAlign w:val="center"/>
          </w:tcPr>
          <w:p w:rsidR="00655CB2" w:rsidRPr="00655CB2" w:rsidRDefault="00655CB2" w:rsidP="00655CB2">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655CB2">
              <w:rPr>
                <w:rFonts w:ascii="Times New Roman" w:hAnsi="Times New Roman" w:cs="Times New Roman"/>
                <w:color w:val="000000"/>
                <w:sz w:val="18"/>
                <w:szCs w:val="18"/>
              </w:rPr>
              <w:t>1.176</w:t>
            </w:r>
          </w:p>
        </w:tc>
        <w:tc>
          <w:tcPr>
            <w:tcW w:w="1435" w:type="pct"/>
            <w:shd w:val="clear" w:color="auto" w:fill="FFFFFF"/>
            <w:vAlign w:val="center"/>
          </w:tcPr>
          <w:p w:rsidR="00655CB2" w:rsidRPr="00655CB2" w:rsidRDefault="00655CB2" w:rsidP="00655CB2">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655CB2">
              <w:rPr>
                <w:rFonts w:ascii="Times New Roman" w:hAnsi="Times New Roman" w:cs="Times New Roman"/>
                <w:color w:val="000000"/>
                <w:sz w:val="18"/>
                <w:szCs w:val="18"/>
              </w:rPr>
              <w:t>.593</w:t>
            </w:r>
          </w:p>
        </w:tc>
        <w:tc>
          <w:tcPr>
            <w:tcW w:w="1409" w:type="pct"/>
            <w:shd w:val="clear" w:color="auto" w:fill="FFFFFF"/>
            <w:vAlign w:val="center"/>
          </w:tcPr>
          <w:p w:rsidR="00655CB2" w:rsidRPr="00655CB2" w:rsidRDefault="00655CB2" w:rsidP="00655CB2">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655CB2">
              <w:rPr>
                <w:rFonts w:ascii="Times New Roman" w:hAnsi="Times New Roman" w:cs="Times New Roman"/>
                <w:color w:val="000000"/>
                <w:sz w:val="18"/>
                <w:szCs w:val="18"/>
              </w:rPr>
              <w:t>2.331</w:t>
            </w:r>
          </w:p>
        </w:tc>
      </w:tr>
      <w:tr w:rsidR="00655CB2" w:rsidRPr="00655CB2" w:rsidTr="00655CB2">
        <w:trPr>
          <w:cantSplit/>
          <w:jc w:val="center"/>
        </w:trPr>
        <w:tc>
          <w:tcPr>
            <w:tcW w:w="936" w:type="pct"/>
            <w:shd w:val="clear" w:color="auto" w:fill="FFFFFF"/>
            <w:vAlign w:val="center"/>
          </w:tcPr>
          <w:p w:rsidR="00655CB2" w:rsidRPr="00655CB2" w:rsidRDefault="00CA46B3" w:rsidP="00655CB2">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meno</w:t>
            </w:r>
            <w:r w:rsidRPr="00655CB2">
              <w:rPr>
                <w:rFonts w:ascii="Times New Roman" w:hAnsi="Times New Roman" w:cs="Times New Roman"/>
                <w:color w:val="000000"/>
                <w:sz w:val="18"/>
                <w:szCs w:val="18"/>
              </w:rPr>
              <w:t>pause</w:t>
            </w:r>
          </w:p>
        </w:tc>
        <w:tc>
          <w:tcPr>
            <w:tcW w:w="530" w:type="pct"/>
            <w:shd w:val="clear" w:color="auto" w:fill="FFFFFF"/>
            <w:vAlign w:val="center"/>
          </w:tcPr>
          <w:p w:rsidR="00655CB2" w:rsidRPr="00655CB2" w:rsidRDefault="00655CB2" w:rsidP="00655CB2">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655CB2">
              <w:rPr>
                <w:rFonts w:ascii="Times New Roman" w:hAnsi="Times New Roman" w:cs="Times New Roman"/>
                <w:color w:val="000000"/>
                <w:sz w:val="18"/>
                <w:szCs w:val="18"/>
              </w:rPr>
              <w:t>.268</w:t>
            </w:r>
          </w:p>
        </w:tc>
        <w:tc>
          <w:tcPr>
            <w:tcW w:w="691" w:type="pct"/>
            <w:shd w:val="clear" w:color="auto" w:fill="FFFFFF"/>
            <w:vAlign w:val="center"/>
          </w:tcPr>
          <w:p w:rsidR="00655CB2" w:rsidRPr="00655CB2" w:rsidRDefault="00655CB2" w:rsidP="00655CB2">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655CB2">
              <w:rPr>
                <w:rFonts w:ascii="Times New Roman" w:hAnsi="Times New Roman" w:cs="Times New Roman"/>
                <w:color w:val="000000"/>
                <w:sz w:val="18"/>
                <w:szCs w:val="18"/>
              </w:rPr>
              <w:t>1.473</w:t>
            </w:r>
          </w:p>
        </w:tc>
        <w:tc>
          <w:tcPr>
            <w:tcW w:w="1435" w:type="pct"/>
            <w:shd w:val="clear" w:color="auto" w:fill="FFFFFF"/>
            <w:vAlign w:val="center"/>
          </w:tcPr>
          <w:p w:rsidR="00655CB2" w:rsidRPr="00655CB2" w:rsidRDefault="00655CB2" w:rsidP="00655CB2">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655CB2">
              <w:rPr>
                <w:rFonts w:ascii="Times New Roman" w:hAnsi="Times New Roman" w:cs="Times New Roman"/>
                <w:color w:val="000000"/>
                <w:sz w:val="18"/>
                <w:szCs w:val="18"/>
              </w:rPr>
              <w:t>.742</w:t>
            </w:r>
          </w:p>
        </w:tc>
        <w:tc>
          <w:tcPr>
            <w:tcW w:w="1409" w:type="pct"/>
            <w:shd w:val="clear" w:color="auto" w:fill="FFFFFF"/>
            <w:vAlign w:val="center"/>
          </w:tcPr>
          <w:p w:rsidR="00655CB2" w:rsidRPr="00655CB2" w:rsidRDefault="00655CB2" w:rsidP="00655CB2">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655CB2">
              <w:rPr>
                <w:rFonts w:ascii="Times New Roman" w:hAnsi="Times New Roman" w:cs="Times New Roman"/>
                <w:color w:val="000000"/>
                <w:sz w:val="18"/>
                <w:szCs w:val="18"/>
              </w:rPr>
              <w:t>2.925</w:t>
            </w:r>
          </w:p>
        </w:tc>
      </w:tr>
      <w:tr w:rsidR="00655CB2" w:rsidRPr="00655CB2" w:rsidTr="00655CB2">
        <w:trPr>
          <w:cantSplit/>
          <w:jc w:val="center"/>
        </w:trPr>
        <w:tc>
          <w:tcPr>
            <w:tcW w:w="936" w:type="pct"/>
            <w:shd w:val="clear" w:color="auto" w:fill="FFFFFF"/>
            <w:vAlign w:val="center"/>
          </w:tcPr>
          <w:p w:rsidR="00655CB2" w:rsidRPr="00655CB2" w:rsidRDefault="00655CB2" w:rsidP="00655CB2">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655CB2">
              <w:rPr>
                <w:rFonts w:ascii="Times New Roman" w:hAnsi="Times New Roman" w:cs="Times New Roman"/>
                <w:color w:val="000000"/>
                <w:sz w:val="18"/>
                <w:szCs w:val="18"/>
              </w:rPr>
              <w:t>Tumor size</w:t>
            </w:r>
          </w:p>
        </w:tc>
        <w:tc>
          <w:tcPr>
            <w:tcW w:w="530" w:type="pct"/>
            <w:shd w:val="clear" w:color="auto" w:fill="FFFFFF"/>
            <w:vAlign w:val="center"/>
          </w:tcPr>
          <w:p w:rsidR="00655CB2" w:rsidRPr="00655CB2" w:rsidRDefault="00655CB2" w:rsidP="00655CB2">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655CB2">
              <w:rPr>
                <w:rFonts w:ascii="Times New Roman" w:hAnsi="Times New Roman" w:cs="Times New Roman"/>
                <w:color w:val="000000"/>
                <w:sz w:val="18"/>
                <w:szCs w:val="18"/>
              </w:rPr>
              <w:t>.027</w:t>
            </w:r>
          </w:p>
        </w:tc>
        <w:tc>
          <w:tcPr>
            <w:tcW w:w="691" w:type="pct"/>
            <w:shd w:val="clear" w:color="auto" w:fill="FFFFFF"/>
            <w:vAlign w:val="center"/>
          </w:tcPr>
          <w:p w:rsidR="00655CB2" w:rsidRPr="00655CB2" w:rsidRDefault="00655CB2" w:rsidP="00655CB2">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655CB2">
              <w:rPr>
                <w:rFonts w:ascii="Times New Roman" w:hAnsi="Times New Roman" w:cs="Times New Roman"/>
                <w:color w:val="000000"/>
                <w:sz w:val="18"/>
                <w:szCs w:val="18"/>
              </w:rPr>
              <w:t>.534</w:t>
            </w:r>
          </w:p>
        </w:tc>
        <w:tc>
          <w:tcPr>
            <w:tcW w:w="1435" w:type="pct"/>
            <w:shd w:val="clear" w:color="auto" w:fill="FFFFFF"/>
            <w:vAlign w:val="center"/>
          </w:tcPr>
          <w:p w:rsidR="00655CB2" w:rsidRPr="00655CB2" w:rsidRDefault="00655CB2" w:rsidP="00655CB2">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655CB2">
              <w:rPr>
                <w:rFonts w:ascii="Times New Roman" w:hAnsi="Times New Roman" w:cs="Times New Roman"/>
                <w:color w:val="000000"/>
                <w:sz w:val="18"/>
                <w:szCs w:val="18"/>
              </w:rPr>
              <w:t>.305</w:t>
            </w:r>
          </w:p>
        </w:tc>
        <w:tc>
          <w:tcPr>
            <w:tcW w:w="1409" w:type="pct"/>
            <w:shd w:val="clear" w:color="auto" w:fill="FFFFFF"/>
            <w:vAlign w:val="center"/>
          </w:tcPr>
          <w:p w:rsidR="00655CB2" w:rsidRPr="00655CB2" w:rsidRDefault="00655CB2" w:rsidP="00655CB2">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655CB2">
              <w:rPr>
                <w:rFonts w:ascii="Times New Roman" w:hAnsi="Times New Roman" w:cs="Times New Roman"/>
                <w:color w:val="000000"/>
                <w:sz w:val="18"/>
                <w:szCs w:val="18"/>
              </w:rPr>
              <w:t>.932</w:t>
            </w:r>
          </w:p>
        </w:tc>
      </w:tr>
      <w:tr w:rsidR="00655CB2" w:rsidRPr="00655CB2" w:rsidTr="00655CB2">
        <w:trPr>
          <w:cantSplit/>
          <w:jc w:val="center"/>
        </w:trPr>
        <w:tc>
          <w:tcPr>
            <w:tcW w:w="936" w:type="pct"/>
            <w:shd w:val="clear" w:color="auto" w:fill="FFFFFF"/>
            <w:vAlign w:val="center"/>
          </w:tcPr>
          <w:p w:rsidR="00655CB2" w:rsidRPr="00655CB2" w:rsidRDefault="00655CB2" w:rsidP="00655CB2">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655CB2">
              <w:rPr>
                <w:rFonts w:ascii="Times New Roman" w:hAnsi="Times New Roman" w:cs="Times New Roman"/>
                <w:color w:val="000000"/>
                <w:sz w:val="18"/>
                <w:szCs w:val="18"/>
              </w:rPr>
              <w:t>LVI</w:t>
            </w:r>
          </w:p>
        </w:tc>
        <w:tc>
          <w:tcPr>
            <w:tcW w:w="530" w:type="pct"/>
            <w:shd w:val="clear" w:color="auto" w:fill="FFFFFF"/>
            <w:vAlign w:val="center"/>
          </w:tcPr>
          <w:p w:rsidR="00655CB2" w:rsidRPr="00655CB2" w:rsidRDefault="00655CB2" w:rsidP="00655CB2">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655CB2">
              <w:rPr>
                <w:rFonts w:ascii="Times New Roman" w:hAnsi="Times New Roman" w:cs="Times New Roman"/>
                <w:color w:val="000000"/>
                <w:sz w:val="18"/>
                <w:szCs w:val="18"/>
              </w:rPr>
              <w:t>&lt;.001</w:t>
            </w:r>
          </w:p>
        </w:tc>
        <w:tc>
          <w:tcPr>
            <w:tcW w:w="691" w:type="pct"/>
            <w:shd w:val="clear" w:color="auto" w:fill="FFFFFF"/>
            <w:vAlign w:val="center"/>
          </w:tcPr>
          <w:p w:rsidR="00655CB2" w:rsidRPr="00655CB2" w:rsidRDefault="00655CB2" w:rsidP="00655CB2">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655CB2">
              <w:rPr>
                <w:rFonts w:ascii="Times New Roman" w:hAnsi="Times New Roman" w:cs="Times New Roman"/>
                <w:color w:val="000000"/>
                <w:sz w:val="18"/>
                <w:szCs w:val="18"/>
              </w:rPr>
              <w:t>.140</w:t>
            </w:r>
          </w:p>
        </w:tc>
        <w:tc>
          <w:tcPr>
            <w:tcW w:w="1435" w:type="pct"/>
            <w:shd w:val="clear" w:color="auto" w:fill="FFFFFF"/>
            <w:vAlign w:val="center"/>
          </w:tcPr>
          <w:p w:rsidR="00655CB2" w:rsidRPr="00655CB2" w:rsidRDefault="00655CB2" w:rsidP="00655CB2">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655CB2">
              <w:rPr>
                <w:rFonts w:ascii="Times New Roman" w:hAnsi="Times New Roman" w:cs="Times New Roman"/>
                <w:color w:val="000000"/>
                <w:sz w:val="18"/>
                <w:szCs w:val="18"/>
              </w:rPr>
              <w:t>.061</w:t>
            </w:r>
          </w:p>
        </w:tc>
        <w:tc>
          <w:tcPr>
            <w:tcW w:w="1409" w:type="pct"/>
            <w:shd w:val="clear" w:color="auto" w:fill="FFFFFF"/>
            <w:vAlign w:val="center"/>
          </w:tcPr>
          <w:p w:rsidR="00655CB2" w:rsidRPr="00655CB2" w:rsidRDefault="00655CB2" w:rsidP="00655CB2">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655CB2">
              <w:rPr>
                <w:rFonts w:ascii="Times New Roman" w:hAnsi="Times New Roman" w:cs="Times New Roman"/>
                <w:color w:val="000000"/>
                <w:sz w:val="18"/>
                <w:szCs w:val="18"/>
              </w:rPr>
              <w:t>.322</w:t>
            </w:r>
          </w:p>
        </w:tc>
      </w:tr>
      <w:tr w:rsidR="00655CB2" w:rsidRPr="00655CB2" w:rsidTr="00655CB2">
        <w:trPr>
          <w:cantSplit/>
          <w:jc w:val="center"/>
        </w:trPr>
        <w:tc>
          <w:tcPr>
            <w:tcW w:w="936" w:type="pct"/>
            <w:shd w:val="clear" w:color="auto" w:fill="FFFFFF"/>
            <w:vAlign w:val="center"/>
          </w:tcPr>
          <w:p w:rsidR="00655CB2" w:rsidRPr="00655CB2" w:rsidRDefault="00655CB2" w:rsidP="00655CB2">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655CB2">
              <w:rPr>
                <w:rFonts w:ascii="Times New Roman" w:hAnsi="Times New Roman" w:cs="Times New Roman"/>
                <w:color w:val="000000"/>
                <w:sz w:val="18"/>
                <w:szCs w:val="18"/>
              </w:rPr>
              <w:t>ki67</w:t>
            </w:r>
          </w:p>
        </w:tc>
        <w:tc>
          <w:tcPr>
            <w:tcW w:w="530" w:type="pct"/>
            <w:shd w:val="clear" w:color="auto" w:fill="FFFFFF"/>
            <w:vAlign w:val="center"/>
          </w:tcPr>
          <w:p w:rsidR="00655CB2" w:rsidRPr="00655CB2" w:rsidRDefault="00655CB2" w:rsidP="00655CB2">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655CB2">
              <w:rPr>
                <w:rFonts w:ascii="Times New Roman" w:hAnsi="Times New Roman" w:cs="Times New Roman"/>
                <w:color w:val="000000"/>
                <w:sz w:val="18"/>
                <w:szCs w:val="18"/>
              </w:rPr>
              <w:t>.067</w:t>
            </w:r>
          </w:p>
        </w:tc>
        <w:tc>
          <w:tcPr>
            <w:tcW w:w="691" w:type="pct"/>
            <w:shd w:val="clear" w:color="auto" w:fill="FFFFFF"/>
            <w:vAlign w:val="center"/>
          </w:tcPr>
          <w:p w:rsidR="00655CB2" w:rsidRPr="00655CB2" w:rsidRDefault="00655CB2" w:rsidP="00655CB2">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655CB2">
              <w:rPr>
                <w:rFonts w:ascii="Times New Roman" w:hAnsi="Times New Roman" w:cs="Times New Roman"/>
                <w:color w:val="000000"/>
                <w:sz w:val="18"/>
                <w:szCs w:val="18"/>
              </w:rPr>
              <w:t>.155</w:t>
            </w:r>
          </w:p>
        </w:tc>
        <w:tc>
          <w:tcPr>
            <w:tcW w:w="1435" w:type="pct"/>
            <w:shd w:val="clear" w:color="auto" w:fill="FFFFFF"/>
            <w:vAlign w:val="center"/>
          </w:tcPr>
          <w:p w:rsidR="00655CB2" w:rsidRPr="00655CB2" w:rsidRDefault="00655CB2" w:rsidP="00655CB2">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655CB2">
              <w:rPr>
                <w:rFonts w:ascii="Times New Roman" w:hAnsi="Times New Roman" w:cs="Times New Roman"/>
                <w:color w:val="000000"/>
                <w:sz w:val="18"/>
                <w:szCs w:val="18"/>
              </w:rPr>
              <w:t>.018</w:t>
            </w:r>
          </w:p>
        </w:tc>
        <w:tc>
          <w:tcPr>
            <w:tcW w:w="1409" w:type="pct"/>
            <w:shd w:val="clear" w:color="auto" w:fill="FFFFFF"/>
            <w:vAlign w:val="center"/>
          </w:tcPr>
          <w:p w:rsidR="00655CB2" w:rsidRPr="00655CB2" w:rsidRDefault="00655CB2" w:rsidP="00655CB2">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655CB2">
              <w:rPr>
                <w:rFonts w:ascii="Times New Roman" w:hAnsi="Times New Roman" w:cs="Times New Roman"/>
                <w:color w:val="000000"/>
                <w:sz w:val="18"/>
                <w:szCs w:val="18"/>
              </w:rPr>
              <w:t>1.312</w:t>
            </w:r>
          </w:p>
        </w:tc>
      </w:tr>
      <w:tr w:rsidR="00655CB2" w:rsidRPr="00655CB2" w:rsidTr="00655CB2">
        <w:trPr>
          <w:cantSplit/>
          <w:jc w:val="center"/>
        </w:trPr>
        <w:tc>
          <w:tcPr>
            <w:tcW w:w="936" w:type="pct"/>
            <w:shd w:val="clear" w:color="auto" w:fill="FFFFFF"/>
            <w:vAlign w:val="center"/>
          </w:tcPr>
          <w:p w:rsidR="00655CB2" w:rsidRPr="00655CB2" w:rsidRDefault="00655CB2" w:rsidP="00655CB2">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655CB2">
              <w:rPr>
                <w:rFonts w:ascii="Times New Roman" w:hAnsi="Times New Roman" w:cs="Times New Roman"/>
                <w:color w:val="000000"/>
                <w:sz w:val="18"/>
                <w:szCs w:val="18"/>
              </w:rPr>
              <w:t>pathology</w:t>
            </w:r>
          </w:p>
        </w:tc>
        <w:tc>
          <w:tcPr>
            <w:tcW w:w="530" w:type="pct"/>
            <w:shd w:val="clear" w:color="auto" w:fill="FFFFFF"/>
            <w:vAlign w:val="center"/>
          </w:tcPr>
          <w:p w:rsidR="00655CB2" w:rsidRPr="00655CB2" w:rsidRDefault="00655CB2" w:rsidP="00655CB2">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655CB2">
              <w:rPr>
                <w:rFonts w:ascii="Times New Roman" w:hAnsi="Times New Roman" w:cs="Times New Roman"/>
                <w:color w:val="000000"/>
                <w:sz w:val="18"/>
                <w:szCs w:val="18"/>
              </w:rPr>
              <w:t>.457</w:t>
            </w:r>
          </w:p>
        </w:tc>
        <w:tc>
          <w:tcPr>
            <w:tcW w:w="691" w:type="pct"/>
            <w:shd w:val="clear" w:color="auto" w:fill="FFFFFF"/>
            <w:vAlign w:val="center"/>
          </w:tcPr>
          <w:p w:rsidR="00655CB2" w:rsidRPr="00655CB2" w:rsidRDefault="00655CB2" w:rsidP="00655CB2">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655CB2">
              <w:rPr>
                <w:rFonts w:ascii="Times New Roman" w:hAnsi="Times New Roman" w:cs="Times New Roman"/>
                <w:color w:val="000000"/>
                <w:sz w:val="18"/>
                <w:szCs w:val="18"/>
              </w:rPr>
              <w:t>.713</w:t>
            </w:r>
          </w:p>
        </w:tc>
        <w:tc>
          <w:tcPr>
            <w:tcW w:w="1435" w:type="pct"/>
            <w:shd w:val="clear" w:color="auto" w:fill="FFFFFF"/>
            <w:vAlign w:val="center"/>
          </w:tcPr>
          <w:p w:rsidR="00655CB2" w:rsidRPr="00655CB2" w:rsidRDefault="00655CB2" w:rsidP="00655CB2">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655CB2">
              <w:rPr>
                <w:rFonts w:ascii="Times New Roman" w:hAnsi="Times New Roman" w:cs="Times New Roman"/>
                <w:color w:val="000000"/>
                <w:sz w:val="18"/>
                <w:szCs w:val="18"/>
              </w:rPr>
              <w:t>.293</w:t>
            </w:r>
          </w:p>
        </w:tc>
        <w:tc>
          <w:tcPr>
            <w:tcW w:w="1409" w:type="pct"/>
            <w:shd w:val="clear" w:color="auto" w:fill="FFFFFF"/>
            <w:vAlign w:val="center"/>
          </w:tcPr>
          <w:p w:rsidR="00655CB2" w:rsidRPr="00655CB2" w:rsidRDefault="00655CB2" w:rsidP="00655CB2">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655CB2">
              <w:rPr>
                <w:rFonts w:ascii="Times New Roman" w:hAnsi="Times New Roman" w:cs="Times New Roman"/>
                <w:color w:val="000000"/>
                <w:sz w:val="18"/>
                <w:szCs w:val="18"/>
              </w:rPr>
              <w:t>1.737</w:t>
            </w:r>
          </w:p>
        </w:tc>
      </w:tr>
      <w:tr w:rsidR="00655CB2" w:rsidRPr="00655CB2" w:rsidTr="00655CB2">
        <w:trPr>
          <w:cantSplit/>
          <w:jc w:val="center"/>
        </w:trPr>
        <w:tc>
          <w:tcPr>
            <w:tcW w:w="936" w:type="pct"/>
            <w:shd w:val="clear" w:color="auto" w:fill="FFFFFF"/>
            <w:vAlign w:val="center"/>
          </w:tcPr>
          <w:p w:rsidR="00655CB2" w:rsidRPr="00655CB2" w:rsidRDefault="00655CB2" w:rsidP="00655CB2">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655CB2">
              <w:rPr>
                <w:rFonts w:ascii="Times New Roman" w:hAnsi="Times New Roman" w:cs="Times New Roman"/>
                <w:color w:val="000000"/>
                <w:sz w:val="18"/>
                <w:szCs w:val="18"/>
              </w:rPr>
              <w:t>grade</w:t>
            </w:r>
          </w:p>
        </w:tc>
        <w:tc>
          <w:tcPr>
            <w:tcW w:w="530" w:type="pct"/>
            <w:shd w:val="clear" w:color="auto" w:fill="FFFFFF"/>
            <w:vAlign w:val="center"/>
          </w:tcPr>
          <w:p w:rsidR="00655CB2" w:rsidRPr="00655CB2" w:rsidRDefault="00655CB2" w:rsidP="00655CB2">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655CB2">
              <w:rPr>
                <w:rFonts w:ascii="Times New Roman" w:hAnsi="Times New Roman" w:cs="Times New Roman"/>
                <w:color w:val="000000"/>
                <w:sz w:val="18"/>
                <w:szCs w:val="18"/>
              </w:rPr>
              <w:t>.389</w:t>
            </w:r>
          </w:p>
        </w:tc>
        <w:tc>
          <w:tcPr>
            <w:tcW w:w="691" w:type="pct"/>
            <w:shd w:val="clear" w:color="auto" w:fill="FFFFFF"/>
            <w:vAlign w:val="center"/>
          </w:tcPr>
          <w:p w:rsidR="00655CB2" w:rsidRPr="00655CB2" w:rsidRDefault="00655CB2" w:rsidP="00655CB2">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655CB2">
              <w:rPr>
                <w:rFonts w:ascii="Times New Roman" w:hAnsi="Times New Roman" w:cs="Times New Roman"/>
                <w:color w:val="000000"/>
                <w:sz w:val="18"/>
                <w:szCs w:val="18"/>
              </w:rPr>
              <w:t>.718</w:t>
            </w:r>
          </w:p>
        </w:tc>
        <w:tc>
          <w:tcPr>
            <w:tcW w:w="1435" w:type="pct"/>
            <w:shd w:val="clear" w:color="auto" w:fill="FFFFFF"/>
            <w:vAlign w:val="center"/>
          </w:tcPr>
          <w:p w:rsidR="00655CB2" w:rsidRPr="00655CB2" w:rsidRDefault="00655CB2" w:rsidP="00655CB2">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655CB2">
              <w:rPr>
                <w:rFonts w:ascii="Times New Roman" w:hAnsi="Times New Roman" w:cs="Times New Roman"/>
                <w:color w:val="000000"/>
                <w:sz w:val="18"/>
                <w:szCs w:val="18"/>
              </w:rPr>
              <w:t>.338</w:t>
            </w:r>
          </w:p>
        </w:tc>
        <w:tc>
          <w:tcPr>
            <w:tcW w:w="1409" w:type="pct"/>
            <w:shd w:val="clear" w:color="auto" w:fill="FFFFFF"/>
            <w:vAlign w:val="center"/>
          </w:tcPr>
          <w:p w:rsidR="00655CB2" w:rsidRPr="00655CB2" w:rsidRDefault="00655CB2" w:rsidP="00655CB2">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655CB2">
              <w:rPr>
                <w:rFonts w:ascii="Times New Roman" w:hAnsi="Times New Roman" w:cs="Times New Roman"/>
                <w:color w:val="000000"/>
                <w:sz w:val="18"/>
                <w:szCs w:val="18"/>
              </w:rPr>
              <w:t>1.525</w:t>
            </w:r>
          </w:p>
        </w:tc>
      </w:tr>
      <w:tr w:rsidR="00655CB2" w:rsidRPr="00655CB2" w:rsidTr="00655CB2">
        <w:trPr>
          <w:cantSplit/>
          <w:jc w:val="center"/>
        </w:trPr>
        <w:tc>
          <w:tcPr>
            <w:tcW w:w="936" w:type="pct"/>
            <w:shd w:val="clear" w:color="auto" w:fill="FFFFFF"/>
            <w:vAlign w:val="center"/>
          </w:tcPr>
          <w:p w:rsidR="00655CB2" w:rsidRPr="00655CB2" w:rsidRDefault="00655CB2" w:rsidP="00655CB2">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655CB2">
              <w:rPr>
                <w:rFonts w:ascii="Times New Roman" w:hAnsi="Times New Roman" w:cs="Times New Roman"/>
                <w:color w:val="000000"/>
                <w:sz w:val="18"/>
                <w:szCs w:val="18"/>
              </w:rPr>
              <w:t>Luminal A</w:t>
            </w:r>
          </w:p>
        </w:tc>
        <w:tc>
          <w:tcPr>
            <w:tcW w:w="530" w:type="pct"/>
            <w:shd w:val="clear" w:color="auto" w:fill="FFFFFF"/>
            <w:vAlign w:val="center"/>
          </w:tcPr>
          <w:p w:rsidR="00655CB2" w:rsidRPr="00655CB2" w:rsidRDefault="00655CB2" w:rsidP="00655CB2">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655CB2">
              <w:rPr>
                <w:rFonts w:ascii="Times New Roman" w:hAnsi="Times New Roman" w:cs="Times New Roman"/>
                <w:color w:val="000000"/>
                <w:sz w:val="18"/>
                <w:szCs w:val="18"/>
              </w:rPr>
              <w:t>.957</w:t>
            </w:r>
          </w:p>
        </w:tc>
        <w:tc>
          <w:tcPr>
            <w:tcW w:w="691" w:type="pct"/>
            <w:shd w:val="clear" w:color="auto" w:fill="FFFFFF"/>
            <w:vAlign w:val="center"/>
          </w:tcPr>
          <w:p w:rsidR="00655CB2" w:rsidRPr="00655CB2" w:rsidRDefault="00655CB2" w:rsidP="00655CB2">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655CB2">
              <w:rPr>
                <w:rFonts w:ascii="Times New Roman" w:hAnsi="Times New Roman" w:cs="Times New Roman"/>
                <w:color w:val="000000"/>
                <w:sz w:val="18"/>
                <w:szCs w:val="18"/>
              </w:rPr>
              <w:t>.939</w:t>
            </w:r>
          </w:p>
        </w:tc>
        <w:tc>
          <w:tcPr>
            <w:tcW w:w="1435" w:type="pct"/>
            <w:shd w:val="clear" w:color="auto" w:fill="FFFFFF"/>
            <w:vAlign w:val="center"/>
          </w:tcPr>
          <w:p w:rsidR="00655CB2" w:rsidRPr="00655CB2" w:rsidRDefault="00655CB2" w:rsidP="00655CB2">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655CB2">
              <w:rPr>
                <w:rFonts w:ascii="Times New Roman" w:hAnsi="Times New Roman" w:cs="Times New Roman"/>
                <w:color w:val="000000"/>
                <w:sz w:val="18"/>
                <w:szCs w:val="18"/>
              </w:rPr>
              <w:t>.098</w:t>
            </w:r>
          </w:p>
        </w:tc>
        <w:tc>
          <w:tcPr>
            <w:tcW w:w="1409" w:type="pct"/>
            <w:shd w:val="clear" w:color="auto" w:fill="FFFFFF"/>
            <w:vAlign w:val="center"/>
          </w:tcPr>
          <w:p w:rsidR="00655CB2" w:rsidRPr="00655CB2" w:rsidRDefault="00655CB2" w:rsidP="00655CB2">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655CB2">
              <w:rPr>
                <w:rFonts w:ascii="Times New Roman" w:hAnsi="Times New Roman" w:cs="Times New Roman"/>
                <w:color w:val="000000"/>
                <w:sz w:val="18"/>
                <w:szCs w:val="18"/>
              </w:rPr>
              <w:t>8.977</w:t>
            </w:r>
          </w:p>
        </w:tc>
      </w:tr>
      <w:tr w:rsidR="00655CB2" w:rsidRPr="00655CB2" w:rsidTr="00655CB2">
        <w:trPr>
          <w:cantSplit/>
          <w:jc w:val="center"/>
        </w:trPr>
        <w:tc>
          <w:tcPr>
            <w:tcW w:w="936" w:type="pct"/>
            <w:shd w:val="clear" w:color="auto" w:fill="FFFFFF"/>
            <w:vAlign w:val="center"/>
          </w:tcPr>
          <w:p w:rsidR="00655CB2" w:rsidRPr="00655CB2" w:rsidRDefault="00655CB2" w:rsidP="00655CB2">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655CB2">
              <w:rPr>
                <w:rFonts w:ascii="Times New Roman" w:hAnsi="Times New Roman" w:cs="Times New Roman"/>
                <w:color w:val="000000"/>
                <w:sz w:val="18"/>
                <w:szCs w:val="18"/>
              </w:rPr>
              <w:t>Luminal B</w:t>
            </w:r>
          </w:p>
        </w:tc>
        <w:tc>
          <w:tcPr>
            <w:tcW w:w="530" w:type="pct"/>
            <w:shd w:val="clear" w:color="auto" w:fill="FFFFFF"/>
            <w:vAlign w:val="center"/>
          </w:tcPr>
          <w:p w:rsidR="00655CB2" w:rsidRPr="00655CB2" w:rsidRDefault="00655CB2" w:rsidP="00655CB2">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655CB2">
              <w:rPr>
                <w:rFonts w:ascii="Times New Roman" w:hAnsi="Times New Roman" w:cs="Times New Roman"/>
                <w:color w:val="000000"/>
                <w:sz w:val="18"/>
                <w:szCs w:val="18"/>
              </w:rPr>
              <w:t>.032</w:t>
            </w:r>
          </w:p>
        </w:tc>
        <w:tc>
          <w:tcPr>
            <w:tcW w:w="691" w:type="pct"/>
            <w:shd w:val="clear" w:color="auto" w:fill="FFFFFF"/>
            <w:vAlign w:val="center"/>
          </w:tcPr>
          <w:p w:rsidR="00655CB2" w:rsidRPr="00655CB2" w:rsidRDefault="00655CB2" w:rsidP="00655CB2">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655CB2">
              <w:rPr>
                <w:rFonts w:ascii="Times New Roman" w:hAnsi="Times New Roman" w:cs="Times New Roman"/>
                <w:color w:val="000000"/>
                <w:sz w:val="18"/>
                <w:szCs w:val="18"/>
              </w:rPr>
              <w:t>.376</w:t>
            </w:r>
          </w:p>
        </w:tc>
        <w:tc>
          <w:tcPr>
            <w:tcW w:w="1435" w:type="pct"/>
            <w:shd w:val="clear" w:color="auto" w:fill="FFFFFF"/>
            <w:vAlign w:val="center"/>
          </w:tcPr>
          <w:p w:rsidR="00655CB2" w:rsidRPr="00655CB2" w:rsidRDefault="00655CB2" w:rsidP="00655CB2">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655CB2">
              <w:rPr>
                <w:rFonts w:ascii="Times New Roman" w:hAnsi="Times New Roman" w:cs="Times New Roman"/>
                <w:color w:val="000000"/>
                <w:sz w:val="18"/>
                <w:szCs w:val="18"/>
              </w:rPr>
              <w:t>.154</w:t>
            </w:r>
          </w:p>
        </w:tc>
        <w:tc>
          <w:tcPr>
            <w:tcW w:w="1409" w:type="pct"/>
            <w:shd w:val="clear" w:color="auto" w:fill="FFFFFF"/>
            <w:vAlign w:val="center"/>
          </w:tcPr>
          <w:p w:rsidR="00655CB2" w:rsidRPr="00655CB2" w:rsidRDefault="00655CB2" w:rsidP="00655CB2">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655CB2">
              <w:rPr>
                <w:rFonts w:ascii="Times New Roman" w:hAnsi="Times New Roman" w:cs="Times New Roman"/>
                <w:color w:val="000000"/>
                <w:sz w:val="18"/>
                <w:szCs w:val="18"/>
              </w:rPr>
              <w:t>.918</w:t>
            </w:r>
          </w:p>
        </w:tc>
      </w:tr>
      <w:tr w:rsidR="00655CB2" w:rsidRPr="00655CB2" w:rsidTr="00655CB2">
        <w:trPr>
          <w:cantSplit/>
          <w:jc w:val="center"/>
        </w:trPr>
        <w:tc>
          <w:tcPr>
            <w:tcW w:w="936" w:type="pct"/>
            <w:shd w:val="clear" w:color="auto" w:fill="FFFFFF"/>
            <w:vAlign w:val="center"/>
          </w:tcPr>
          <w:p w:rsidR="00655CB2" w:rsidRPr="00655CB2" w:rsidRDefault="00655CB2" w:rsidP="00655CB2">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655CB2">
              <w:rPr>
                <w:rFonts w:ascii="Times New Roman" w:hAnsi="Times New Roman" w:cs="Times New Roman"/>
                <w:color w:val="000000"/>
                <w:sz w:val="18"/>
                <w:szCs w:val="18"/>
              </w:rPr>
              <w:t>HER-2</w:t>
            </w:r>
          </w:p>
        </w:tc>
        <w:tc>
          <w:tcPr>
            <w:tcW w:w="530" w:type="pct"/>
            <w:shd w:val="clear" w:color="auto" w:fill="FFFFFF"/>
            <w:vAlign w:val="center"/>
          </w:tcPr>
          <w:p w:rsidR="00655CB2" w:rsidRPr="00655CB2" w:rsidRDefault="00655CB2" w:rsidP="00655CB2">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655CB2">
              <w:rPr>
                <w:rFonts w:ascii="Times New Roman" w:hAnsi="Times New Roman" w:cs="Times New Roman"/>
                <w:color w:val="000000"/>
                <w:sz w:val="18"/>
                <w:szCs w:val="18"/>
              </w:rPr>
              <w:t>.038</w:t>
            </w:r>
          </w:p>
        </w:tc>
        <w:tc>
          <w:tcPr>
            <w:tcW w:w="691" w:type="pct"/>
            <w:shd w:val="clear" w:color="auto" w:fill="FFFFFF"/>
            <w:vAlign w:val="center"/>
          </w:tcPr>
          <w:p w:rsidR="00655CB2" w:rsidRPr="00655CB2" w:rsidRDefault="00655CB2" w:rsidP="00655CB2">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655CB2">
              <w:rPr>
                <w:rFonts w:ascii="Times New Roman" w:hAnsi="Times New Roman" w:cs="Times New Roman"/>
                <w:color w:val="000000"/>
                <w:sz w:val="18"/>
                <w:szCs w:val="18"/>
              </w:rPr>
              <w:t>5.304</w:t>
            </w:r>
          </w:p>
        </w:tc>
        <w:tc>
          <w:tcPr>
            <w:tcW w:w="1435" w:type="pct"/>
            <w:shd w:val="clear" w:color="auto" w:fill="FFFFFF"/>
            <w:vAlign w:val="center"/>
          </w:tcPr>
          <w:p w:rsidR="00655CB2" w:rsidRPr="00655CB2" w:rsidRDefault="00655CB2" w:rsidP="00655CB2">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655CB2">
              <w:rPr>
                <w:rFonts w:ascii="Times New Roman" w:hAnsi="Times New Roman" w:cs="Times New Roman"/>
                <w:color w:val="000000"/>
                <w:sz w:val="18"/>
                <w:szCs w:val="18"/>
              </w:rPr>
              <w:t>1.202</w:t>
            </w:r>
          </w:p>
        </w:tc>
        <w:tc>
          <w:tcPr>
            <w:tcW w:w="1409" w:type="pct"/>
            <w:shd w:val="clear" w:color="auto" w:fill="FFFFFF"/>
            <w:vAlign w:val="center"/>
          </w:tcPr>
          <w:p w:rsidR="00655CB2" w:rsidRPr="00655CB2" w:rsidRDefault="00655CB2" w:rsidP="00655CB2">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655CB2">
              <w:rPr>
                <w:rFonts w:ascii="Times New Roman" w:hAnsi="Times New Roman" w:cs="Times New Roman"/>
                <w:color w:val="000000"/>
                <w:sz w:val="18"/>
                <w:szCs w:val="18"/>
              </w:rPr>
              <w:t>23.406</w:t>
            </w:r>
          </w:p>
        </w:tc>
      </w:tr>
      <w:tr w:rsidR="00655CB2" w:rsidRPr="00655CB2" w:rsidTr="00655CB2">
        <w:trPr>
          <w:cantSplit/>
          <w:jc w:val="center"/>
        </w:trPr>
        <w:tc>
          <w:tcPr>
            <w:tcW w:w="936" w:type="pct"/>
            <w:shd w:val="clear" w:color="auto" w:fill="FFFFFF"/>
            <w:vAlign w:val="center"/>
          </w:tcPr>
          <w:p w:rsidR="00655CB2" w:rsidRPr="00655CB2" w:rsidRDefault="00655CB2" w:rsidP="00655CB2">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655CB2">
              <w:rPr>
                <w:rFonts w:ascii="Times New Roman" w:hAnsi="Times New Roman" w:cs="Times New Roman"/>
                <w:color w:val="000000"/>
                <w:sz w:val="18"/>
                <w:szCs w:val="18"/>
              </w:rPr>
              <w:t>Triple -ve</w:t>
            </w:r>
          </w:p>
        </w:tc>
        <w:tc>
          <w:tcPr>
            <w:tcW w:w="530" w:type="pct"/>
            <w:shd w:val="clear" w:color="auto" w:fill="FFFFFF"/>
            <w:vAlign w:val="center"/>
          </w:tcPr>
          <w:p w:rsidR="00655CB2" w:rsidRPr="00655CB2" w:rsidRDefault="00655CB2" w:rsidP="00655CB2">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655CB2">
              <w:rPr>
                <w:rFonts w:ascii="Times New Roman" w:hAnsi="Times New Roman" w:cs="Times New Roman"/>
                <w:color w:val="000000"/>
                <w:sz w:val="18"/>
                <w:szCs w:val="18"/>
              </w:rPr>
              <w:t>.157</w:t>
            </w:r>
          </w:p>
        </w:tc>
        <w:tc>
          <w:tcPr>
            <w:tcW w:w="691" w:type="pct"/>
            <w:shd w:val="clear" w:color="auto" w:fill="FFFFFF"/>
            <w:vAlign w:val="center"/>
          </w:tcPr>
          <w:p w:rsidR="00655CB2" w:rsidRPr="00655CB2" w:rsidRDefault="00655CB2" w:rsidP="00655CB2">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655CB2">
              <w:rPr>
                <w:rFonts w:ascii="Times New Roman" w:hAnsi="Times New Roman" w:cs="Times New Roman"/>
                <w:color w:val="000000"/>
                <w:sz w:val="18"/>
                <w:szCs w:val="18"/>
              </w:rPr>
              <w:t>.326</w:t>
            </w:r>
          </w:p>
        </w:tc>
        <w:tc>
          <w:tcPr>
            <w:tcW w:w="1435" w:type="pct"/>
            <w:shd w:val="clear" w:color="auto" w:fill="FFFFFF"/>
            <w:vAlign w:val="center"/>
          </w:tcPr>
          <w:p w:rsidR="00655CB2" w:rsidRPr="00655CB2" w:rsidRDefault="00655CB2" w:rsidP="00655CB2">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655CB2">
              <w:rPr>
                <w:rFonts w:ascii="Times New Roman" w:hAnsi="Times New Roman" w:cs="Times New Roman"/>
                <w:color w:val="000000"/>
                <w:sz w:val="18"/>
                <w:szCs w:val="18"/>
              </w:rPr>
              <w:t>.069</w:t>
            </w:r>
          </w:p>
        </w:tc>
        <w:tc>
          <w:tcPr>
            <w:tcW w:w="1409" w:type="pct"/>
            <w:shd w:val="clear" w:color="auto" w:fill="FFFFFF"/>
            <w:vAlign w:val="center"/>
          </w:tcPr>
          <w:p w:rsidR="00655CB2" w:rsidRPr="00655CB2" w:rsidRDefault="00655CB2" w:rsidP="00655CB2">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655CB2">
              <w:rPr>
                <w:rFonts w:ascii="Times New Roman" w:hAnsi="Times New Roman" w:cs="Times New Roman"/>
                <w:color w:val="000000"/>
                <w:sz w:val="18"/>
                <w:szCs w:val="18"/>
              </w:rPr>
              <w:t>1.539</w:t>
            </w:r>
          </w:p>
        </w:tc>
      </w:tr>
    </w:tbl>
    <w:p w:rsidR="00DB1FA6" w:rsidRPr="00655CB2" w:rsidRDefault="00DB1FA6" w:rsidP="00655CB2">
      <w:pPr>
        <w:bidi w:val="0"/>
        <w:snapToGrid w:val="0"/>
        <w:spacing w:after="0" w:line="240" w:lineRule="auto"/>
        <w:jc w:val="center"/>
        <w:rPr>
          <w:rFonts w:ascii="Times New Roman" w:hAnsi="Times New Roman" w:cs="Times New Roman"/>
          <w:color w:val="000000"/>
          <w:sz w:val="18"/>
          <w:szCs w:val="18"/>
        </w:rPr>
      </w:pPr>
    </w:p>
    <w:p w:rsidR="00DB1FA6" w:rsidRPr="00655CB2" w:rsidRDefault="00DB1FA6" w:rsidP="00655CB2">
      <w:pPr>
        <w:bidi w:val="0"/>
        <w:snapToGrid w:val="0"/>
        <w:spacing w:after="0" w:line="240" w:lineRule="auto"/>
        <w:jc w:val="center"/>
        <w:rPr>
          <w:rFonts w:ascii="Times New Roman" w:hAnsi="Times New Roman" w:cs="Times New Roman"/>
          <w:b/>
          <w:bCs/>
          <w:sz w:val="18"/>
          <w:szCs w:val="18"/>
          <w:lang w:bidi="ar-EG"/>
        </w:rPr>
      </w:pPr>
      <w:r w:rsidRPr="00655CB2">
        <w:rPr>
          <w:rFonts w:ascii="Times New Roman" w:hAnsi="Times New Roman" w:cs="Times New Roman"/>
          <w:b/>
          <w:bCs/>
          <w:sz w:val="18"/>
          <w:szCs w:val="18"/>
          <w:lang w:bidi="ar-EG"/>
        </w:rPr>
        <w:t>Table (4): Multivariate analysis logistic regression for factor</w:t>
      </w:r>
      <w:r w:rsidR="00FC4315" w:rsidRPr="00655CB2">
        <w:rPr>
          <w:rFonts w:ascii="Times New Roman" w:hAnsi="Times New Roman" w:cs="Times New Roman"/>
          <w:b/>
          <w:bCs/>
          <w:sz w:val="18"/>
          <w:szCs w:val="18"/>
          <w:lang w:bidi="ar-EG"/>
        </w:rPr>
        <w:t xml:space="preserve">s </w:t>
      </w:r>
      <w:r w:rsidR="005B5B0B" w:rsidRPr="00655CB2">
        <w:rPr>
          <w:rFonts w:ascii="Times New Roman" w:hAnsi="Times New Roman" w:cs="Times New Roman"/>
          <w:b/>
          <w:bCs/>
          <w:sz w:val="18"/>
          <w:szCs w:val="18"/>
          <w:lang w:bidi="ar-EG"/>
        </w:rPr>
        <w:t>affecting</w:t>
      </w:r>
      <w:r w:rsidRPr="00655CB2">
        <w:rPr>
          <w:rFonts w:ascii="Times New Roman" w:hAnsi="Times New Roman" w:cs="Times New Roman"/>
          <w:b/>
          <w:bCs/>
          <w:sz w:val="18"/>
          <w:szCs w:val="18"/>
          <w:lang w:bidi="ar-EG"/>
        </w:rPr>
        <w:t xml:space="preserve"> stage.</w:t>
      </w:r>
    </w:p>
    <w:tbl>
      <w:tblPr>
        <w:tblW w:w="486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tblPr>
      <w:tblGrid>
        <w:gridCol w:w="2327"/>
        <w:gridCol w:w="1316"/>
        <w:gridCol w:w="1301"/>
        <w:gridCol w:w="2073"/>
        <w:gridCol w:w="2189"/>
        <w:gridCol w:w="22"/>
      </w:tblGrid>
      <w:tr w:rsidR="00655CB2" w:rsidRPr="00655CB2" w:rsidTr="00655CB2">
        <w:trPr>
          <w:cantSplit/>
          <w:jc w:val="center"/>
        </w:trPr>
        <w:tc>
          <w:tcPr>
            <w:tcW w:w="1261" w:type="pct"/>
            <w:vMerge w:val="restart"/>
            <w:shd w:val="clear" w:color="auto" w:fill="FFFFFF"/>
            <w:vAlign w:val="center"/>
          </w:tcPr>
          <w:p w:rsidR="00655CB2" w:rsidRPr="00655CB2" w:rsidRDefault="00655CB2" w:rsidP="00655CB2">
            <w:pPr>
              <w:autoSpaceDE w:val="0"/>
              <w:autoSpaceDN w:val="0"/>
              <w:bidi w:val="0"/>
              <w:adjustRightInd w:val="0"/>
              <w:snapToGrid w:val="0"/>
              <w:spacing w:after="0" w:line="240" w:lineRule="auto"/>
              <w:jc w:val="both"/>
              <w:rPr>
                <w:rFonts w:ascii="Times New Roman" w:hAnsi="Times New Roman" w:cs="Times New Roman"/>
                <w:sz w:val="18"/>
                <w:szCs w:val="18"/>
              </w:rPr>
            </w:pPr>
          </w:p>
        </w:tc>
        <w:tc>
          <w:tcPr>
            <w:tcW w:w="713" w:type="pct"/>
            <w:vMerge w:val="restart"/>
            <w:shd w:val="clear" w:color="auto" w:fill="FFFFFF"/>
            <w:vAlign w:val="center"/>
          </w:tcPr>
          <w:p w:rsidR="00655CB2" w:rsidRPr="00655CB2" w:rsidRDefault="00655CB2" w:rsidP="00655CB2">
            <w:pPr>
              <w:autoSpaceDE w:val="0"/>
              <w:autoSpaceDN w:val="0"/>
              <w:bidi w:val="0"/>
              <w:adjustRightInd w:val="0"/>
              <w:snapToGrid w:val="0"/>
              <w:spacing w:after="0" w:line="240" w:lineRule="auto"/>
              <w:jc w:val="both"/>
              <w:rPr>
                <w:rFonts w:ascii="Times New Roman" w:hAnsi="Times New Roman" w:cs="Times New Roman"/>
                <w:color w:val="000000"/>
                <w:sz w:val="18"/>
                <w:szCs w:val="18"/>
              </w:rPr>
            </w:pPr>
          </w:p>
          <w:p w:rsidR="00655CB2" w:rsidRPr="00655CB2" w:rsidRDefault="00655CB2" w:rsidP="00655CB2">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655CB2">
              <w:rPr>
                <w:rFonts w:ascii="Times New Roman" w:hAnsi="Times New Roman" w:cs="Times New Roman"/>
                <w:color w:val="000000"/>
                <w:sz w:val="18"/>
                <w:szCs w:val="18"/>
              </w:rPr>
              <w:t>Sig.</w:t>
            </w:r>
          </w:p>
        </w:tc>
        <w:tc>
          <w:tcPr>
            <w:tcW w:w="705" w:type="pct"/>
            <w:vMerge w:val="restart"/>
            <w:shd w:val="clear" w:color="auto" w:fill="FFFFFF"/>
            <w:vAlign w:val="center"/>
          </w:tcPr>
          <w:p w:rsidR="00655CB2" w:rsidRPr="00655CB2" w:rsidRDefault="00655CB2" w:rsidP="00655CB2">
            <w:pPr>
              <w:autoSpaceDE w:val="0"/>
              <w:autoSpaceDN w:val="0"/>
              <w:bidi w:val="0"/>
              <w:adjustRightInd w:val="0"/>
              <w:snapToGrid w:val="0"/>
              <w:spacing w:after="0" w:line="240" w:lineRule="auto"/>
              <w:jc w:val="both"/>
              <w:rPr>
                <w:rFonts w:ascii="Times New Roman" w:hAnsi="Times New Roman" w:cs="Times New Roman"/>
                <w:color w:val="000000"/>
                <w:sz w:val="18"/>
                <w:szCs w:val="18"/>
              </w:rPr>
            </w:pPr>
          </w:p>
          <w:p w:rsidR="00655CB2" w:rsidRPr="00655CB2" w:rsidRDefault="00655CB2" w:rsidP="00655CB2">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655CB2">
              <w:rPr>
                <w:rFonts w:ascii="Times New Roman" w:hAnsi="Times New Roman" w:cs="Times New Roman"/>
                <w:color w:val="000000"/>
                <w:sz w:val="18"/>
                <w:szCs w:val="18"/>
              </w:rPr>
              <w:t>HR</w:t>
            </w:r>
          </w:p>
        </w:tc>
        <w:tc>
          <w:tcPr>
            <w:tcW w:w="2321" w:type="pct"/>
            <w:gridSpan w:val="3"/>
            <w:shd w:val="clear" w:color="auto" w:fill="FFFFFF"/>
            <w:vAlign w:val="center"/>
          </w:tcPr>
          <w:p w:rsidR="00655CB2" w:rsidRPr="00655CB2" w:rsidRDefault="00655CB2" w:rsidP="00655CB2">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655CB2">
              <w:rPr>
                <w:rFonts w:ascii="Times New Roman" w:hAnsi="Times New Roman" w:cs="Times New Roman"/>
                <w:color w:val="000000"/>
                <w:sz w:val="18"/>
                <w:szCs w:val="18"/>
              </w:rPr>
              <w:t>95% C.I. for EXP (B)</w:t>
            </w:r>
          </w:p>
        </w:tc>
      </w:tr>
      <w:tr w:rsidR="00655CB2" w:rsidRPr="00655CB2" w:rsidTr="00655CB2">
        <w:trPr>
          <w:cantSplit/>
          <w:jc w:val="center"/>
        </w:trPr>
        <w:tc>
          <w:tcPr>
            <w:tcW w:w="1261" w:type="pct"/>
            <w:vMerge/>
            <w:shd w:val="clear" w:color="auto" w:fill="FFFFFF"/>
            <w:vAlign w:val="center"/>
          </w:tcPr>
          <w:p w:rsidR="00655CB2" w:rsidRPr="00655CB2" w:rsidRDefault="00655CB2" w:rsidP="00655CB2">
            <w:pPr>
              <w:autoSpaceDE w:val="0"/>
              <w:autoSpaceDN w:val="0"/>
              <w:bidi w:val="0"/>
              <w:adjustRightInd w:val="0"/>
              <w:snapToGrid w:val="0"/>
              <w:spacing w:after="0" w:line="240" w:lineRule="auto"/>
              <w:jc w:val="both"/>
              <w:rPr>
                <w:rFonts w:ascii="Times New Roman" w:hAnsi="Times New Roman" w:cs="Times New Roman"/>
                <w:color w:val="000000"/>
                <w:sz w:val="18"/>
                <w:szCs w:val="18"/>
              </w:rPr>
            </w:pPr>
          </w:p>
        </w:tc>
        <w:tc>
          <w:tcPr>
            <w:tcW w:w="713" w:type="pct"/>
            <w:vMerge/>
            <w:shd w:val="clear" w:color="auto" w:fill="FFFFFF"/>
            <w:vAlign w:val="center"/>
          </w:tcPr>
          <w:p w:rsidR="00655CB2" w:rsidRPr="00655CB2" w:rsidRDefault="00655CB2" w:rsidP="00655CB2">
            <w:pPr>
              <w:autoSpaceDE w:val="0"/>
              <w:autoSpaceDN w:val="0"/>
              <w:bidi w:val="0"/>
              <w:adjustRightInd w:val="0"/>
              <w:snapToGrid w:val="0"/>
              <w:spacing w:after="0" w:line="240" w:lineRule="auto"/>
              <w:jc w:val="both"/>
              <w:rPr>
                <w:rFonts w:ascii="Times New Roman" w:hAnsi="Times New Roman" w:cs="Times New Roman"/>
                <w:color w:val="000000"/>
                <w:sz w:val="18"/>
                <w:szCs w:val="18"/>
              </w:rPr>
            </w:pPr>
          </w:p>
        </w:tc>
        <w:tc>
          <w:tcPr>
            <w:tcW w:w="705" w:type="pct"/>
            <w:vMerge/>
            <w:shd w:val="clear" w:color="auto" w:fill="FFFFFF"/>
            <w:vAlign w:val="center"/>
          </w:tcPr>
          <w:p w:rsidR="00655CB2" w:rsidRPr="00655CB2" w:rsidRDefault="00655CB2" w:rsidP="00655CB2">
            <w:pPr>
              <w:autoSpaceDE w:val="0"/>
              <w:autoSpaceDN w:val="0"/>
              <w:bidi w:val="0"/>
              <w:adjustRightInd w:val="0"/>
              <w:snapToGrid w:val="0"/>
              <w:spacing w:after="0" w:line="240" w:lineRule="auto"/>
              <w:jc w:val="both"/>
              <w:rPr>
                <w:rFonts w:ascii="Times New Roman" w:hAnsi="Times New Roman" w:cs="Times New Roman"/>
                <w:color w:val="000000"/>
                <w:sz w:val="18"/>
                <w:szCs w:val="18"/>
              </w:rPr>
            </w:pPr>
          </w:p>
        </w:tc>
        <w:tc>
          <w:tcPr>
            <w:tcW w:w="1123" w:type="pct"/>
            <w:shd w:val="clear" w:color="auto" w:fill="FFFFFF"/>
            <w:vAlign w:val="center"/>
          </w:tcPr>
          <w:p w:rsidR="00655CB2" w:rsidRPr="00655CB2" w:rsidRDefault="00655CB2" w:rsidP="00655CB2">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655CB2">
              <w:rPr>
                <w:rFonts w:ascii="Times New Roman" w:hAnsi="Times New Roman" w:cs="Times New Roman"/>
                <w:color w:val="000000"/>
                <w:sz w:val="18"/>
                <w:szCs w:val="18"/>
              </w:rPr>
              <w:t>Lower</w:t>
            </w:r>
          </w:p>
        </w:tc>
        <w:tc>
          <w:tcPr>
            <w:tcW w:w="1199" w:type="pct"/>
            <w:gridSpan w:val="2"/>
            <w:shd w:val="clear" w:color="auto" w:fill="FFFFFF"/>
            <w:vAlign w:val="center"/>
          </w:tcPr>
          <w:p w:rsidR="00655CB2" w:rsidRPr="00655CB2" w:rsidRDefault="00655CB2" w:rsidP="00655CB2">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655CB2">
              <w:rPr>
                <w:rFonts w:ascii="Times New Roman" w:hAnsi="Times New Roman" w:cs="Times New Roman"/>
                <w:color w:val="000000"/>
                <w:sz w:val="18"/>
                <w:szCs w:val="18"/>
              </w:rPr>
              <w:t>Upper</w:t>
            </w:r>
          </w:p>
        </w:tc>
      </w:tr>
      <w:tr w:rsidR="00655CB2" w:rsidRPr="00655CB2" w:rsidTr="00655CB2">
        <w:trPr>
          <w:gridAfter w:val="1"/>
          <w:wAfter w:w="13" w:type="pct"/>
          <w:cantSplit/>
          <w:jc w:val="center"/>
        </w:trPr>
        <w:tc>
          <w:tcPr>
            <w:tcW w:w="1261" w:type="pct"/>
            <w:shd w:val="clear" w:color="auto" w:fill="FFFFFF"/>
            <w:vAlign w:val="center"/>
          </w:tcPr>
          <w:p w:rsidR="00655CB2" w:rsidRPr="00655CB2" w:rsidRDefault="00CA46B3" w:rsidP="00655CB2">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655CB2">
              <w:rPr>
                <w:rFonts w:ascii="Times New Roman" w:hAnsi="Times New Roman" w:cs="Times New Roman"/>
                <w:color w:val="000000"/>
                <w:sz w:val="18"/>
                <w:szCs w:val="18"/>
              </w:rPr>
              <w:t>subtype</w:t>
            </w:r>
            <w:r w:rsidR="00655CB2" w:rsidRPr="00655CB2">
              <w:rPr>
                <w:rFonts w:ascii="Times New Roman" w:hAnsi="Times New Roman" w:cs="Times New Roman"/>
                <w:color w:val="000000"/>
                <w:sz w:val="18"/>
                <w:szCs w:val="18"/>
              </w:rPr>
              <w:t xml:space="preserve"> (1)</w:t>
            </w:r>
          </w:p>
        </w:tc>
        <w:tc>
          <w:tcPr>
            <w:tcW w:w="713" w:type="pct"/>
            <w:shd w:val="clear" w:color="auto" w:fill="FFFFFF"/>
            <w:vAlign w:val="center"/>
          </w:tcPr>
          <w:p w:rsidR="00655CB2" w:rsidRPr="00655CB2" w:rsidRDefault="00655CB2" w:rsidP="00655CB2">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655CB2">
              <w:rPr>
                <w:rFonts w:ascii="Times New Roman" w:hAnsi="Times New Roman" w:cs="Times New Roman"/>
                <w:color w:val="000000"/>
                <w:sz w:val="18"/>
                <w:szCs w:val="18"/>
              </w:rPr>
              <w:t>.905</w:t>
            </w:r>
          </w:p>
        </w:tc>
        <w:tc>
          <w:tcPr>
            <w:tcW w:w="705" w:type="pct"/>
            <w:shd w:val="clear" w:color="auto" w:fill="FFFFFF"/>
            <w:vAlign w:val="center"/>
          </w:tcPr>
          <w:p w:rsidR="00655CB2" w:rsidRPr="00655CB2" w:rsidRDefault="00655CB2" w:rsidP="00655CB2">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655CB2">
              <w:rPr>
                <w:rFonts w:ascii="Times New Roman" w:hAnsi="Times New Roman" w:cs="Times New Roman"/>
                <w:color w:val="000000"/>
                <w:sz w:val="18"/>
                <w:szCs w:val="18"/>
              </w:rPr>
              <w:t>1.146</w:t>
            </w:r>
          </w:p>
        </w:tc>
        <w:tc>
          <w:tcPr>
            <w:tcW w:w="1123" w:type="pct"/>
            <w:shd w:val="clear" w:color="auto" w:fill="FFFFFF"/>
            <w:vAlign w:val="center"/>
          </w:tcPr>
          <w:p w:rsidR="00655CB2" w:rsidRPr="00655CB2" w:rsidRDefault="00655CB2" w:rsidP="00655CB2">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655CB2">
              <w:rPr>
                <w:rFonts w:ascii="Times New Roman" w:hAnsi="Times New Roman" w:cs="Times New Roman"/>
                <w:color w:val="000000"/>
                <w:sz w:val="18"/>
                <w:szCs w:val="18"/>
              </w:rPr>
              <w:t>.122</w:t>
            </w:r>
          </w:p>
        </w:tc>
        <w:tc>
          <w:tcPr>
            <w:tcW w:w="1186" w:type="pct"/>
            <w:shd w:val="clear" w:color="auto" w:fill="FFFFFF"/>
            <w:vAlign w:val="center"/>
          </w:tcPr>
          <w:p w:rsidR="00655CB2" w:rsidRPr="00655CB2" w:rsidRDefault="00655CB2" w:rsidP="00655CB2">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655CB2">
              <w:rPr>
                <w:rFonts w:ascii="Times New Roman" w:hAnsi="Times New Roman" w:cs="Times New Roman"/>
                <w:color w:val="000000"/>
                <w:sz w:val="18"/>
                <w:szCs w:val="18"/>
              </w:rPr>
              <w:t>10.814</w:t>
            </w:r>
          </w:p>
        </w:tc>
      </w:tr>
      <w:tr w:rsidR="00655CB2" w:rsidRPr="00655CB2" w:rsidTr="00655CB2">
        <w:trPr>
          <w:gridAfter w:val="1"/>
          <w:wAfter w:w="13" w:type="pct"/>
          <w:cantSplit/>
          <w:jc w:val="center"/>
        </w:trPr>
        <w:tc>
          <w:tcPr>
            <w:tcW w:w="1261" w:type="pct"/>
            <w:shd w:val="clear" w:color="auto" w:fill="FFFFFF"/>
            <w:vAlign w:val="center"/>
          </w:tcPr>
          <w:p w:rsidR="00655CB2" w:rsidRPr="00655CB2" w:rsidRDefault="00CA46B3" w:rsidP="00655CB2">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655CB2">
              <w:rPr>
                <w:rFonts w:ascii="Times New Roman" w:hAnsi="Times New Roman" w:cs="Times New Roman"/>
                <w:color w:val="000000"/>
                <w:sz w:val="18"/>
                <w:szCs w:val="18"/>
              </w:rPr>
              <w:t>subtype</w:t>
            </w:r>
            <w:r w:rsidR="00655CB2" w:rsidRPr="00655CB2">
              <w:rPr>
                <w:rFonts w:ascii="Times New Roman" w:hAnsi="Times New Roman" w:cs="Times New Roman"/>
                <w:color w:val="000000"/>
                <w:sz w:val="18"/>
                <w:szCs w:val="18"/>
              </w:rPr>
              <w:t xml:space="preserve"> (2)</w:t>
            </w:r>
          </w:p>
        </w:tc>
        <w:tc>
          <w:tcPr>
            <w:tcW w:w="713" w:type="pct"/>
            <w:shd w:val="clear" w:color="auto" w:fill="FFFFFF"/>
            <w:vAlign w:val="center"/>
          </w:tcPr>
          <w:p w:rsidR="00655CB2" w:rsidRPr="00655CB2" w:rsidRDefault="00655CB2" w:rsidP="00655CB2">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655CB2">
              <w:rPr>
                <w:rFonts w:ascii="Times New Roman" w:hAnsi="Times New Roman" w:cs="Times New Roman"/>
                <w:color w:val="000000"/>
                <w:sz w:val="18"/>
                <w:szCs w:val="18"/>
              </w:rPr>
              <w:t>.030</w:t>
            </w:r>
          </w:p>
        </w:tc>
        <w:tc>
          <w:tcPr>
            <w:tcW w:w="705" w:type="pct"/>
            <w:shd w:val="clear" w:color="auto" w:fill="FFFFFF"/>
            <w:vAlign w:val="center"/>
          </w:tcPr>
          <w:p w:rsidR="00655CB2" w:rsidRPr="00655CB2" w:rsidRDefault="00655CB2" w:rsidP="00655CB2">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655CB2">
              <w:rPr>
                <w:rFonts w:ascii="Times New Roman" w:hAnsi="Times New Roman" w:cs="Times New Roman"/>
                <w:color w:val="000000"/>
                <w:sz w:val="18"/>
                <w:szCs w:val="18"/>
              </w:rPr>
              <w:t>2.690</w:t>
            </w:r>
          </w:p>
        </w:tc>
        <w:tc>
          <w:tcPr>
            <w:tcW w:w="1123" w:type="pct"/>
            <w:shd w:val="clear" w:color="auto" w:fill="FFFFFF"/>
            <w:vAlign w:val="center"/>
          </w:tcPr>
          <w:p w:rsidR="00655CB2" w:rsidRPr="00655CB2" w:rsidRDefault="00655CB2" w:rsidP="00655CB2">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655CB2">
              <w:rPr>
                <w:rFonts w:ascii="Times New Roman" w:hAnsi="Times New Roman" w:cs="Times New Roman"/>
                <w:color w:val="000000"/>
                <w:sz w:val="18"/>
                <w:szCs w:val="18"/>
              </w:rPr>
              <w:t>1.103</w:t>
            </w:r>
          </w:p>
        </w:tc>
        <w:tc>
          <w:tcPr>
            <w:tcW w:w="1186" w:type="pct"/>
            <w:shd w:val="clear" w:color="auto" w:fill="FFFFFF"/>
            <w:vAlign w:val="center"/>
          </w:tcPr>
          <w:p w:rsidR="00655CB2" w:rsidRPr="00655CB2" w:rsidRDefault="00655CB2" w:rsidP="00655CB2">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655CB2">
              <w:rPr>
                <w:rFonts w:ascii="Times New Roman" w:hAnsi="Times New Roman" w:cs="Times New Roman"/>
                <w:color w:val="000000"/>
                <w:sz w:val="18"/>
                <w:szCs w:val="18"/>
              </w:rPr>
              <w:t>6.561</w:t>
            </w:r>
          </w:p>
        </w:tc>
      </w:tr>
      <w:tr w:rsidR="00655CB2" w:rsidRPr="00655CB2" w:rsidTr="00655CB2">
        <w:trPr>
          <w:gridAfter w:val="1"/>
          <w:wAfter w:w="13" w:type="pct"/>
          <w:cantSplit/>
          <w:jc w:val="center"/>
        </w:trPr>
        <w:tc>
          <w:tcPr>
            <w:tcW w:w="1261" w:type="pct"/>
            <w:shd w:val="clear" w:color="auto" w:fill="FFFFFF"/>
            <w:vAlign w:val="center"/>
          </w:tcPr>
          <w:p w:rsidR="00655CB2" w:rsidRPr="00655CB2" w:rsidRDefault="00CA46B3" w:rsidP="00655CB2">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655CB2">
              <w:rPr>
                <w:rFonts w:ascii="Times New Roman" w:hAnsi="Times New Roman" w:cs="Times New Roman"/>
                <w:color w:val="000000"/>
                <w:sz w:val="18"/>
                <w:szCs w:val="18"/>
              </w:rPr>
              <w:t>subtype</w:t>
            </w:r>
            <w:r w:rsidR="00655CB2" w:rsidRPr="00655CB2">
              <w:rPr>
                <w:rFonts w:ascii="Times New Roman" w:hAnsi="Times New Roman" w:cs="Times New Roman"/>
                <w:color w:val="000000"/>
                <w:sz w:val="18"/>
                <w:szCs w:val="18"/>
              </w:rPr>
              <w:t xml:space="preserve"> (3)</w:t>
            </w:r>
          </w:p>
        </w:tc>
        <w:tc>
          <w:tcPr>
            <w:tcW w:w="713" w:type="pct"/>
            <w:shd w:val="clear" w:color="auto" w:fill="FFFFFF"/>
            <w:vAlign w:val="center"/>
          </w:tcPr>
          <w:p w:rsidR="00655CB2" w:rsidRPr="00655CB2" w:rsidRDefault="00655CB2" w:rsidP="00655CB2">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655CB2">
              <w:rPr>
                <w:rFonts w:ascii="Times New Roman" w:hAnsi="Times New Roman" w:cs="Times New Roman"/>
                <w:color w:val="000000"/>
                <w:sz w:val="18"/>
                <w:szCs w:val="18"/>
              </w:rPr>
              <w:t>.015</w:t>
            </w:r>
          </w:p>
        </w:tc>
        <w:tc>
          <w:tcPr>
            <w:tcW w:w="705" w:type="pct"/>
            <w:shd w:val="clear" w:color="auto" w:fill="FFFFFF"/>
            <w:vAlign w:val="center"/>
          </w:tcPr>
          <w:p w:rsidR="00655CB2" w:rsidRPr="00655CB2" w:rsidRDefault="00655CB2" w:rsidP="00655CB2">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655CB2">
              <w:rPr>
                <w:rFonts w:ascii="Times New Roman" w:hAnsi="Times New Roman" w:cs="Times New Roman"/>
                <w:color w:val="000000"/>
                <w:sz w:val="18"/>
                <w:szCs w:val="18"/>
              </w:rPr>
              <w:t>2.081</w:t>
            </w:r>
          </w:p>
        </w:tc>
        <w:tc>
          <w:tcPr>
            <w:tcW w:w="1123" w:type="pct"/>
            <w:shd w:val="clear" w:color="auto" w:fill="FFFFFF"/>
            <w:vAlign w:val="center"/>
          </w:tcPr>
          <w:p w:rsidR="00655CB2" w:rsidRPr="00655CB2" w:rsidRDefault="00655CB2" w:rsidP="00655CB2">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655CB2">
              <w:rPr>
                <w:rFonts w:ascii="Times New Roman" w:hAnsi="Times New Roman" w:cs="Times New Roman"/>
                <w:color w:val="000000"/>
                <w:sz w:val="18"/>
                <w:szCs w:val="18"/>
              </w:rPr>
              <w:t>1.245</w:t>
            </w:r>
          </w:p>
        </w:tc>
        <w:tc>
          <w:tcPr>
            <w:tcW w:w="1186" w:type="pct"/>
            <w:shd w:val="clear" w:color="auto" w:fill="FFFFFF"/>
            <w:vAlign w:val="center"/>
          </w:tcPr>
          <w:p w:rsidR="00655CB2" w:rsidRPr="00655CB2" w:rsidRDefault="00655CB2" w:rsidP="00655CB2">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655CB2">
              <w:rPr>
                <w:rFonts w:ascii="Times New Roman" w:hAnsi="Times New Roman" w:cs="Times New Roman"/>
                <w:color w:val="000000"/>
                <w:sz w:val="18"/>
                <w:szCs w:val="18"/>
              </w:rPr>
              <w:t>3.479</w:t>
            </w:r>
          </w:p>
        </w:tc>
      </w:tr>
      <w:tr w:rsidR="00655CB2" w:rsidRPr="00655CB2" w:rsidTr="00655CB2">
        <w:trPr>
          <w:gridAfter w:val="1"/>
          <w:wAfter w:w="13" w:type="pct"/>
          <w:cantSplit/>
          <w:jc w:val="center"/>
        </w:trPr>
        <w:tc>
          <w:tcPr>
            <w:tcW w:w="1261" w:type="pct"/>
            <w:shd w:val="clear" w:color="auto" w:fill="FFFFFF"/>
            <w:vAlign w:val="center"/>
          </w:tcPr>
          <w:p w:rsidR="00655CB2" w:rsidRPr="00655CB2" w:rsidRDefault="00CA46B3" w:rsidP="00655CB2">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655CB2">
              <w:rPr>
                <w:rFonts w:ascii="Times New Roman" w:hAnsi="Times New Roman" w:cs="Times New Roman"/>
                <w:color w:val="000000"/>
                <w:sz w:val="18"/>
                <w:szCs w:val="18"/>
              </w:rPr>
              <w:t>subtype</w:t>
            </w:r>
            <w:r w:rsidR="00655CB2" w:rsidRPr="00655CB2">
              <w:rPr>
                <w:rFonts w:ascii="Times New Roman" w:hAnsi="Times New Roman" w:cs="Times New Roman"/>
                <w:color w:val="000000"/>
                <w:sz w:val="18"/>
                <w:szCs w:val="18"/>
              </w:rPr>
              <w:t xml:space="preserve"> (4)</w:t>
            </w:r>
          </w:p>
        </w:tc>
        <w:tc>
          <w:tcPr>
            <w:tcW w:w="713" w:type="pct"/>
            <w:shd w:val="clear" w:color="auto" w:fill="FFFFFF"/>
            <w:vAlign w:val="center"/>
          </w:tcPr>
          <w:p w:rsidR="00655CB2" w:rsidRPr="00655CB2" w:rsidRDefault="00655CB2" w:rsidP="00655CB2">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655CB2">
              <w:rPr>
                <w:rFonts w:ascii="Times New Roman" w:hAnsi="Times New Roman" w:cs="Times New Roman"/>
                <w:color w:val="000000"/>
                <w:sz w:val="18"/>
                <w:szCs w:val="18"/>
              </w:rPr>
              <w:t>.144</w:t>
            </w:r>
          </w:p>
        </w:tc>
        <w:tc>
          <w:tcPr>
            <w:tcW w:w="705" w:type="pct"/>
            <w:shd w:val="clear" w:color="auto" w:fill="FFFFFF"/>
            <w:vAlign w:val="center"/>
          </w:tcPr>
          <w:p w:rsidR="00655CB2" w:rsidRPr="00655CB2" w:rsidRDefault="00655CB2" w:rsidP="00655CB2">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655CB2">
              <w:rPr>
                <w:rFonts w:ascii="Times New Roman" w:hAnsi="Times New Roman" w:cs="Times New Roman"/>
                <w:color w:val="000000"/>
                <w:sz w:val="18"/>
                <w:szCs w:val="18"/>
              </w:rPr>
              <w:t>3.154</w:t>
            </w:r>
          </w:p>
        </w:tc>
        <w:tc>
          <w:tcPr>
            <w:tcW w:w="1123" w:type="pct"/>
            <w:shd w:val="clear" w:color="auto" w:fill="FFFFFF"/>
            <w:vAlign w:val="center"/>
          </w:tcPr>
          <w:p w:rsidR="00655CB2" w:rsidRPr="00655CB2" w:rsidRDefault="00655CB2" w:rsidP="00655CB2">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655CB2">
              <w:rPr>
                <w:rFonts w:ascii="Times New Roman" w:hAnsi="Times New Roman" w:cs="Times New Roman"/>
                <w:color w:val="000000"/>
                <w:sz w:val="18"/>
                <w:szCs w:val="18"/>
              </w:rPr>
              <w:t>.676</w:t>
            </w:r>
          </w:p>
        </w:tc>
        <w:tc>
          <w:tcPr>
            <w:tcW w:w="1186" w:type="pct"/>
            <w:shd w:val="clear" w:color="auto" w:fill="FFFFFF"/>
            <w:vAlign w:val="center"/>
          </w:tcPr>
          <w:p w:rsidR="00655CB2" w:rsidRPr="00655CB2" w:rsidRDefault="00655CB2" w:rsidP="00655CB2">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655CB2">
              <w:rPr>
                <w:rFonts w:ascii="Times New Roman" w:hAnsi="Times New Roman" w:cs="Times New Roman"/>
                <w:color w:val="000000"/>
                <w:sz w:val="18"/>
                <w:szCs w:val="18"/>
              </w:rPr>
              <w:t>14.708</w:t>
            </w:r>
          </w:p>
        </w:tc>
      </w:tr>
      <w:tr w:rsidR="00655CB2" w:rsidRPr="00655CB2" w:rsidTr="00655CB2">
        <w:trPr>
          <w:gridAfter w:val="1"/>
          <w:wAfter w:w="13" w:type="pct"/>
          <w:cantSplit/>
          <w:jc w:val="center"/>
        </w:trPr>
        <w:tc>
          <w:tcPr>
            <w:tcW w:w="1261" w:type="pct"/>
            <w:shd w:val="clear" w:color="auto" w:fill="FFFFFF"/>
            <w:vAlign w:val="center"/>
          </w:tcPr>
          <w:p w:rsidR="00655CB2" w:rsidRPr="00655CB2" w:rsidRDefault="00655CB2" w:rsidP="00655CB2">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655CB2">
              <w:rPr>
                <w:rFonts w:ascii="Times New Roman" w:hAnsi="Times New Roman" w:cs="Times New Roman"/>
                <w:color w:val="000000"/>
                <w:sz w:val="18"/>
                <w:szCs w:val="18"/>
              </w:rPr>
              <w:t>T</w:t>
            </w:r>
          </w:p>
        </w:tc>
        <w:tc>
          <w:tcPr>
            <w:tcW w:w="713" w:type="pct"/>
            <w:shd w:val="clear" w:color="auto" w:fill="FFFFFF"/>
            <w:vAlign w:val="center"/>
          </w:tcPr>
          <w:p w:rsidR="00655CB2" w:rsidRPr="00655CB2" w:rsidRDefault="00655CB2" w:rsidP="00655CB2">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655CB2">
              <w:rPr>
                <w:rFonts w:ascii="Times New Roman" w:hAnsi="Times New Roman" w:cs="Times New Roman"/>
                <w:color w:val="000000"/>
                <w:sz w:val="18"/>
                <w:szCs w:val="18"/>
              </w:rPr>
              <w:t>.033</w:t>
            </w:r>
          </w:p>
        </w:tc>
        <w:tc>
          <w:tcPr>
            <w:tcW w:w="705" w:type="pct"/>
            <w:shd w:val="clear" w:color="auto" w:fill="FFFFFF"/>
            <w:vAlign w:val="center"/>
          </w:tcPr>
          <w:p w:rsidR="00655CB2" w:rsidRPr="00655CB2" w:rsidRDefault="00655CB2" w:rsidP="00655CB2">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655CB2">
              <w:rPr>
                <w:rFonts w:ascii="Times New Roman" w:hAnsi="Times New Roman" w:cs="Times New Roman"/>
                <w:color w:val="000000"/>
                <w:sz w:val="18"/>
                <w:szCs w:val="18"/>
              </w:rPr>
              <w:t>1.824</w:t>
            </w:r>
          </w:p>
        </w:tc>
        <w:tc>
          <w:tcPr>
            <w:tcW w:w="1123" w:type="pct"/>
            <w:shd w:val="clear" w:color="auto" w:fill="FFFFFF"/>
            <w:vAlign w:val="center"/>
          </w:tcPr>
          <w:p w:rsidR="00655CB2" w:rsidRPr="00655CB2" w:rsidRDefault="00655CB2" w:rsidP="00655CB2">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655CB2">
              <w:rPr>
                <w:rFonts w:ascii="Times New Roman" w:hAnsi="Times New Roman" w:cs="Times New Roman"/>
                <w:color w:val="000000"/>
                <w:sz w:val="18"/>
                <w:szCs w:val="18"/>
              </w:rPr>
              <w:t>1.051</w:t>
            </w:r>
          </w:p>
        </w:tc>
        <w:tc>
          <w:tcPr>
            <w:tcW w:w="1186" w:type="pct"/>
            <w:shd w:val="clear" w:color="auto" w:fill="FFFFFF"/>
            <w:vAlign w:val="center"/>
          </w:tcPr>
          <w:p w:rsidR="00655CB2" w:rsidRPr="00655CB2" w:rsidRDefault="00655CB2" w:rsidP="00655CB2">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655CB2">
              <w:rPr>
                <w:rFonts w:ascii="Times New Roman" w:hAnsi="Times New Roman" w:cs="Times New Roman"/>
                <w:color w:val="000000"/>
                <w:sz w:val="18"/>
                <w:szCs w:val="18"/>
              </w:rPr>
              <w:t>3.167</w:t>
            </w:r>
          </w:p>
        </w:tc>
      </w:tr>
      <w:tr w:rsidR="00655CB2" w:rsidRPr="00655CB2" w:rsidTr="00655CB2">
        <w:trPr>
          <w:gridAfter w:val="1"/>
          <w:wAfter w:w="13" w:type="pct"/>
          <w:cantSplit/>
          <w:jc w:val="center"/>
        </w:trPr>
        <w:tc>
          <w:tcPr>
            <w:tcW w:w="1261" w:type="pct"/>
            <w:shd w:val="clear" w:color="auto" w:fill="FFFFFF"/>
            <w:vAlign w:val="center"/>
          </w:tcPr>
          <w:p w:rsidR="00655CB2" w:rsidRPr="00655CB2" w:rsidRDefault="00655CB2" w:rsidP="00655CB2">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655CB2">
              <w:rPr>
                <w:rFonts w:ascii="Times New Roman" w:hAnsi="Times New Roman" w:cs="Times New Roman"/>
                <w:color w:val="000000"/>
                <w:sz w:val="18"/>
                <w:szCs w:val="18"/>
              </w:rPr>
              <w:t>LVI</w:t>
            </w:r>
          </w:p>
        </w:tc>
        <w:tc>
          <w:tcPr>
            <w:tcW w:w="713" w:type="pct"/>
            <w:shd w:val="clear" w:color="auto" w:fill="FFFFFF"/>
            <w:vAlign w:val="center"/>
          </w:tcPr>
          <w:p w:rsidR="00655CB2" w:rsidRPr="00655CB2" w:rsidRDefault="00655CB2" w:rsidP="00655CB2">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655CB2">
              <w:rPr>
                <w:rFonts w:ascii="Times New Roman" w:hAnsi="Times New Roman" w:cs="Times New Roman"/>
                <w:color w:val="000000"/>
                <w:sz w:val="18"/>
                <w:szCs w:val="18"/>
              </w:rPr>
              <w:t>&lt;.001</w:t>
            </w:r>
          </w:p>
        </w:tc>
        <w:tc>
          <w:tcPr>
            <w:tcW w:w="705" w:type="pct"/>
            <w:shd w:val="clear" w:color="auto" w:fill="FFFFFF"/>
            <w:vAlign w:val="center"/>
          </w:tcPr>
          <w:p w:rsidR="00655CB2" w:rsidRPr="00655CB2" w:rsidRDefault="00655CB2" w:rsidP="00655CB2">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655CB2">
              <w:rPr>
                <w:rFonts w:ascii="Times New Roman" w:hAnsi="Times New Roman" w:cs="Times New Roman"/>
                <w:color w:val="000000"/>
                <w:sz w:val="18"/>
                <w:szCs w:val="18"/>
              </w:rPr>
              <w:t>6.998</w:t>
            </w:r>
          </w:p>
        </w:tc>
        <w:tc>
          <w:tcPr>
            <w:tcW w:w="1123" w:type="pct"/>
            <w:shd w:val="clear" w:color="auto" w:fill="FFFFFF"/>
            <w:vAlign w:val="center"/>
          </w:tcPr>
          <w:p w:rsidR="00655CB2" w:rsidRPr="00655CB2" w:rsidRDefault="00655CB2" w:rsidP="00655CB2">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655CB2">
              <w:rPr>
                <w:rFonts w:ascii="Times New Roman" w:hAnsi="Times New Roman" w:cs="Times New Roman"/>
                <w:color w:val="000000"/>
                <w:sz w:val="18"/>
                <w:szCs w:val="18"/>
              </w:rPr>
              <w:t>3.050</w:t>
            </w:r>
          </w:p>
        </w:tc>
        <w:tc>
          <w:tcPr>
            <w:tcW w:w="1186" w:type="pct"/>
            <w:shd w:val="clear" w:color="auto" w:fill="FFFFFF"/>
            <w:vAlign w:val="center"/>
          </w:tcPr>
          <w:p w:rsidR="00655CB2" w:rsidRPr="00655CB2" w:rsidRDefault="00655CB2" w:rsidP="00655CB2">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655CB2">
              <w:rPr>
                <w:rFonts w:ascii="Times New Roman" w:hAnsi="Times New Roman" w:cs="Times New Roman"/>
                <w:color w:val="000000"/>
                <w:sz w:val="18"/>
                <w:szCs w:val="18"/>
              </w:rPr>
              <w:t>16.052</w:t>
            </w:r>
          </w:p>
        </w:tc>
      </w:tr>
    </w:tbl>
    <w:p w:rsidR="001C356B" w:rsidRPr="00655CB2" w:rsidRDefault="001C356B" w:rsidP="00655CB2">
      <w:pPr>
        <w:bidi w:val="0"/>
        <w:snapToGrid w:val="0"/>
        <w:spacing w:after="0" w:line="240" w:lineRule="auto"/>
        <w:ind w:firstLine="425"/>
        <w:jc w:val="both"/>
        <w:rPr>
          <w:rFonts w:ascii="Times New Roman" w:eastAsia="MS Mincho" w:hAnsi="Times New Roman" w:cs="Times New Roman"/>
          <w:sz w:val="18"/>
          <w:szCs w:val="18"/>
        </w:rPr>
      </w:pPr>
    </w:p>
    <w:p w:rsidR="00655CB2" w:rsidRPr="00655CB2" w:rsidRDefault="00655CB2" w:rsidP="00655CB2">
      <w:pPr>
        <w:bidi w:val="0"/>
        <w:snapToGrid w:val="0"/>
        <w:spacing w:after="0" w:line="240" w:lineRule="auto"/>
        <w:ind w:firstLine="425"/>
        <w:jc w:val="both"/>
        <w:rPr>
          <w:rFonts w:ascii="Times New Roman" w:eastAsia="MS Mincho" w:hAnsi="Times New Roman" w:cs="Times New Roman"/>
          <w:sz w:val="18"/>
          <w:szCs w:val="18"/>
        </w:rPr>
        <w:sectPr w:rsidR="00655CB2" w:rsidRPr="00655CB2" w:rsidSect="001C356B">
          <w:type w:val="continuous"/>
          <w:pgSz w:w="12242" w:h="15842" w:code="1"/>
          <w:pgMar w:top="1440" w:right="1440" w:bottom="1440" w:left="1440" w:header="720" w:footer="720" w:gutter="0"/>
          <w:cols w:space="720"/>
          <w:docGrid w:linePitch="360"/>
        </w:sectPr>
      </w:pPr>
    </w:p>
    <w:p w:rsidR="005408E9" w:rsidRPr="001C356B" w:rsidRDefault="00200531" w:rsidP="00655CB2">
      <w:pPr>
        <w:bidi w:val="0"/>
        <w:snapToGrid w:val="0"/>
        <w:spacing w:after="0" w:line="240" w:lineRule="auto"/>
        <w:ind w:firstLine="425"/>
        <w:jc w:val="both"/>
        <w:rPr>
          <w:rFonts w:ascii="Times New Roman" w:eastAsia="MS Mincho" w:hAnsi="Times New Roman" w:cs="Times New Roman"/>
          <w:sz w:val="20"/>
          <w:szCs w:val="20"/>
        </w:rPr>
      </w:pPr>
      <w:r w:rsidRPr="001C356B">
        <w:rPr>
          <w:rFonts w:ascii="Times New Roman" w:eastAsia="MS Mincho" w:hAnsi="Times New Roman" w:cs="Times New Roman"/>
          <w:sz w:val="20"/>
          <w:szCs w:val="20"/>
        </w:rPr>
        <w:lastRenderedPageBreak/>
        <w:t>Table</w:t>
      </w:r>
      <w:r w:rsidR="00912639" w:rsidRPr="001C356B">
        <w:rPr>
          <w:rFonts w:ascii="Times New Roman" w:eastAsia="MS Mincho" w:hAnsi="Times New Roman" w:cs="Times New Roman"/>
          <w:sz w:val="20"/>
          <w:szCs w:val="20"/>
        </w:rPr>
        <w:t xml:space="preserve"> 2</w:t>
      </w:r>
      <w:r w:rsidR="002B48C6" w:rsidRPr="001C356B">
        <w:rPr>
          <w:rFonts w:ascii="Times New Roman" w:eastAsia="MS Mincho" w:hAnsi="Times New Roman" w:cs="Times New Roman"/>
          <w:sz w:val="20"/>
          <w:szCs w:val="20"/>
        </w:rPr>
        <w:t xml:space="preserve"> showed </w:t>
      </w:r>
      <w:r w:rsidR="005B5B0B" w:rsidRPr="001C356B">
        <w:rPr>
          <w:rFonts w:ascii="Times New Roman" w:eastAsia="MS Mincho" w:hAnsi="Times New Roman" w:cs="Times New Roman"/>
          <w:sz w:val="20"/>
          <w:szCs w:val="20"/>
        </w:rPr>
        <w:t>that there</w:t>
      </w:r>
      <w:r w:rsidR="005408E9" w:rsidRPr="001C356B">
        <w:rPr>
          <w:rFonts w:ascii="Times New Roman" w:eastAsia="MS Mincho" w:hAnsi="Times New Roman" w:cs="Times New Roman"/>
          <w:sz w:val="20"/>
          <w:szCs w:val="20"/>
        </w:rPr>
        <w:t xml:space="preserve"> are differences in LN positi</w:t>
      </w:r>
      <w:r w:rsidR="003A07C7" w:rsidRPr="001C356B">
        <w:rPr>
          <w:rFonts w:ascii="Times New Roman" w:eastAsia="MS Mincho" w:hAnsi="Times New Roman" w:cs="Times New Roman"/>
          <w:sz w:val="20"/>
          <w:szCs w:val="20"/>
        </w:rPr>
        <w:t>vity by molecular subtypes, (11.5</w:t>
      </w:r>
      <w:r w:rsidR="005408E9" w:rsidRPr="001C356B">
        <w:rPr>
          <w:rFonts w:ascii="Times New Roman" w:eastAsia="MS Mincho" w:hAnsi="Times New Roman" w:cs="Times New Roman"/>
          <w:sz w:val="20"/>
          <w:szCs w:val="20"/>
        </w:rPr>
        <w:t>%</w:t>
      </w:r>
      <w:r w:rsidR="00655CB2" w:rsidRPr="001C356B">
        <w:rPr>
          <w:rFonts w:ascii="Times New Roman" w:eastAsia="MS Mincho" w:hAnsi="Times New Roman" w:cs="Times New Roman"/>
          <w:sz w:val="20"/>
          <w:szCs w:val="20"/>
        </w:rPr>
        <w:t>)o</w:t>
      </w:r>
      <w:r w:rsidR="005408E9" w:rsidRPr="001C356B">
        <w:rPr>
          <w:rFonts w:ascii="Times New Roman" w:eastAsia="MS Mincho" w:hAnsi="Times New Roman" w:cs="Times New Roman"/>
          <w:sz w:val="20"/>
          <w:szCs w:val="20"/>
        </w:rPr>
        <w:t>f luminal A patien</w:t>
      </w:r>
      <w:r w:rsidR="003A07C7" w:rsidRPr="001C356B">
        <w:rPr>
          <w:rFonts w:ascii="Times New Roman" w:eastAsia="MS Mincho" w:hAnsi="Times New Roman" w:cs="Times New Roman"/>
          <w:sz w:val="20"/>
          <w:szCs w:val="20"/>
        </w:rPr>
        <w:t>ts had N positive disease, (66.9</w:t>
      </w:r>
      <w:r w:rsidR="005408E9" w:rsidRPr="001C356B">
        <w:rPr>
          <w:rFonts w:ascii="Times New Roman" w:eastAsia="MS Mincho" w:hAnsi="Times New Roman" w:cs="Times New Roman"/>
          <w:sz w:val="20"/>
          <w:szCs w:val="20"/>
        </w:rPr>
        <w:t>%) of luminal B</w:t>
      </w:r>
      <w:r w:rsidR="002B48C6" w:rsidRPr="001C356B">
        <w:rPr>
          <w:rFonts w:ascii="Times New Roman" w:eastAsia="MS Mincho" w:hAnsi="Times New Roman" w:cs="Times New Roman"/>
          <w:sz w:val="20"/>
          <w:szCs w:val="20"/>
        </w:rPr>
        <w:t xml:space="preserve">patients, HER2+ </w:t>
      </w:r>
      <w:r w:rsidR="003A07C7" w:rsidRPr="001C356B">
        <w:rPr>
          <w:rFonts w:ascii="Times New Roman" w:eastAsia="MS Mincho" w:hAnsi="Times New Roman" w:cs="Times New Roman"/>
          <w:sz w:val="20"/>
          <w:szCs w:val="20"/>
        </w:rPr>
        <w:t>(91.4</w:t>
      </w:r>
      <w:r w:rsidR="002B48C6" w:rsidRPr="001C356B">
        <w:rPr>
          <w:rFonts w:ascii="Times New Roman" w:eastAsia="MS Mincho" w:hAnsi="Times New Roman" w:cs="Times New Roman"/>
          <w:sz w:val="20"/>
          <w:szCs w:val="20"/>
        </w:rPr>
        <w:t xml:space="preserve">%) and TNBC </w:t>
      </w:r>
      <w:r w:rsidR="003A07C7" w:rsidRPr="001C356B">
        <w:rPr>
          <w:rFonts w:ascii="Times New Roman" w:eastAsia="MS Mincho" w:hAnsi="Times New Roman" w:cs="Times New Roman"/>
          <w:sz w:val="20"/>
          <w:szCs w:val="20"/>
        </w:rPr>
        <w:t>(34.1</w:t>
      </w:r>
      <w:r w:rsidR="005408E9" w:rsidRPr="001C356B">
        <w:rPr>
          <w:rFonts w:ascii="Times New Roman" w:eastAsia="MS Mincho" w:hAnsi="Times New Roman" w:cs="Times New Roman"/>
          <w:sz w:val="20"/>
          <w:szCs w:val="20"/>
        </w:rPr>
        <w:t>%). There were significant correlation between molecular subtypes and nodal status (p=0.03 for lumin</w:t>
      </w:r>
      <w:r w:rsidR="003A07C7" w:rsidRPr="001C356B">
        <w:rPr>
          <w:rFonts w:ascii="Times New Roman" w:eastAsia="MS Mincho" w:hAnsi="Times New Roman" w:cs="Times New Roman"/>
          <w:sz w:val="20"/>
          <w:szCs w:val="20"/>
        </w:rPr>
        <w:t xml:space="preserve">al B and &lt;0.001 for </w:t>
      </w:r>
      <w:r w:rsidR="005408E9" w:rsidRPr="001C356B">
        <w:rPr>
          <w:rFonts w:ascii="Times New Roman" w:eastAsia="MS Mincho" w:hAnsi="Times New Roman" w:cs="Times New Roman"/>
          <w:sz w:val="20"/>
          <w:szCs w:val="20"/>
        </w:rPr>
        <w:t xml:space="preserve">HER 2 </w:t>
      </w:r>
      <w:r w:rsidR="003A07C7" w:rsidRPr="001C356B">
        <w:rPr>
          <w:rFonts w:ascii="Times New Roman" w:eastAsia="MS Mincho" w:hAnsi="Times New Roman" w:cs="Times New Roman"/>
          <w:sz w:val="20"/>
          <w:szCs w:val="20"/>
        </w:rPr>
        <w:t xml:space="preserve">in favors of node positivity </w:t>
      </w:r>
      <w:r w:rsidR="005408E9" w:rsidRPr="001C356B">
        <w:rPr>
          <w:rFonts w:ascii="Times New Roman" w:eastAsia="MS Mincho" w:hAnsi="Times New Roman" w:cs="Times New Roman"/>
          <w:sz w:val="20"/>
          <w:szCs w:val="20"/>
        </w:rPr>
        <w:t>and</w:t>
      </w:r>
      <w:r w:rsidR="003A07C7" w:rsidRPr="001C356B">
        <w:rPr>
          <w:rFonts w:ascii="Times New Roman" w:eastAsia="MS Mincho" w:hAnsi="Times New Roman" w:cs="Times New Roman"/>
          <w:sz w:val="20"/>
          <w:szCs w:val="20"/>
        </w:rPr>
        <w:t>&lt;0.001 for both luminal A and triple negative disease in favors of node negativity)</w:t>
      </w:r>
      <w:r w:rsidR="005408E9" w:rsidRPr="001C356B">
        <w:rPr>
          <w:rFonts w:ascii="Times New Roman" w:eastAsia="MS Mincho" w:hAnsi="Times New Roman" w:cs="Times New Roman"/>
          <w:sz w:val="20"/>
          <w:szCs w:val="20"/>
        </w:rPr>
        <w:t>.</w:t>
      </w:r>
    </w:p>
    <w:p w:rsidR="005408E9" w:rsidRPr="001C356B" w:rsidRDefault="005408E9" w:rsidP="00655CB2">
      <w:pPr>
        <w:bidi w:val="0"/>
        <w:snapToGrid w:val="0"/>
        <w:spacing w:after="0" w:line="240" w:lineRule="auto"/>
        <w:ind w:firstLine="425"/>
        <w:jc w:val="both"/>
        <w:rPr>
          <w:rFonts w:ascii="Times New Roman" w:eastAsia="MS Mincho" w:hAnsi="Times New Roman" w:cs="Times New Roman"/>
          <w:sz w:val="20"/>
          <w:szCs w:val="20"/>
        </w:rPr>
      </w:pPr>
      <w:r w:rsidRPr="001C356B">
        <w:rPr>
          <w:rFonts w:ascii="Times New Roman" w:eastAsia="MS Mincho" w:hAnsi="Times New Roman" w:cs="Times New Roman"/>
          <w:sz w:val="20"/>
          <w:szCs w:val="20"/>
        </w:rPr>
        <w:t>In the same context, higher tumor grade is significantly associated with</w:t>
      </w:r>
      <w:r w:rsidR="00FC4315" w:rsidRPr="001C356B">
        <w:rPr>
          <w:rFonts w:ascii="Times New Roman" w:eastAsia="MS Mincho" w:hAnsi="Times New Roman" w:cs="Times New Roman"/>
          <w:sz w:val="20"/>
          <w:szCs w:val="20"/>
        </w:rPr>
        <w:t xml:space="preserve"> ALN metastases, (p&lt;0.0</w:t>
      </w:r>
      <w:r w:rsidR="00040CAF" w:rsidRPr="001C356B">
        <w:rPr>
          <w:rFonts w:ascii="Times New Roman" w:eastAsia="MS Mincho" w:hAnsi="Times New Roman" w:cs="Times New Roman"/>
          <w:sz w:val="20"/>
          <w:szCs w:val="20"/>
        </w:rPr>
        <w:t>01), 34.9</w:t>
      </w:r>
      <w:r w:rsidRPr="001C356B">
        <w:rPr>
          <w:rFonts w:ascii="Times New Roman" w:eastAsia="MS Mincho" w:hAnsi="Times New Roman" w:cs="Times New Roman"/>
          <w:sz w:val="20"/>
          <w:szCs w:val="20"/>
        </w:rPr>
        <w:t>% of grade I</w:t>
      </w:r>
      <w:r w:rsidR="001C356B" w:rsidRPr="001C356B">
        <w:rPr>
          <w:rFonts w:ascii="Times New Roman" w:eastAsia="MS Mincho" w:hAnsi="Times New Roman" w:cs="Times New Roman"/>
          <w:sz w:val="20"/>
          <w:szCs w:val="20"/>
        </w:rPr>
        <w:t>&amp;</w:t>
      </w:r>
      <w:r w:rsidR="00040CAF" w:rsidRPr="001C356B">
        <w:rPr>
          <w:rFonts w:ascii="Times New Roman" w:eastAsia="MS Mincho" w:hAnsi="Times New Roman" w:cs="Times New Roman"/>
          <w:sz w:val="20"/>
          <w:szCs w:val="20"/>
        </w:rPr>
        <w:t>II</w:t>
      </w:r>
      <w:r w:rsidRPr="001C356B">
        <w:rPr>
          <w:rFonts w:ascii="Times New Roman" w:eastAsia="MS Mincho" w:hAnsi="Times New Roman" w:cs="Times New Roman"/>
          <w:sz w:val="20"/>
          <w:szCs w:val="20"/>
        </w:rPr>
        <w:t xml:space="preserve"> tumors had ALN deposits compar</w:t>
      </w:r>
      <w:r w:rsidR="00040CAF" w:rsidRPr="001C356B">
        <w:rPr>
          <w:rFonts w:ascii="Times New Roman" w:eastAsia="MS Mincho" w:hAnsi="Times New Roman" w:cs="Times New Roman"/>
          <w:sz w:val="20"/>
          <w:szCs w:val="20"/>
        </w:rPr>
        <w:t>ed to78.9</w:t>
      </w:r>
      <w:r w:rsidR="00DB1FA6" w:rsidRPr="001C356B">
        <w:rPr>
          <w:rFonts w:ascii="Times New Roman" w:eastAsia="MS Mincho" w:hAnsi="Times New Roman" w:cs="Times New Roman"/>
          <w:sz w:val="20"/>
          <w:szCs w:val="20"/>
        </w:rPr>
        <w:t xml:space="preserve">% of grade III tumors. </w:t>
      </w:r>
      <w:r w:rsidRPr="001C356B">
        <w:rPr>
          <w:rFonts w:ascii="Times New Roman" w:eastAsia="MS Mincho" w:hAnsi="Times New Roman" w:cs="Times New Roman"/>
          <w:sz w:val="20"/>
          <w:szCs w:val="20"/>
        </w:rPr>
        <w:t>There is a significant higher rate of ALN involvement among yo</w:t>
      </w:r>
      <w:r w:rsidR="00040CAF" w:rsidRPr="001C356B">
        <w:rPr>
          <w:rFonts w:ascii="Times New Roman" w:eastAsia="MS Mincho" w:hAnsi="Times New Roman" w:cs="Times New Roman"/>
          <w:sz w:val="20"/>
          <w:szCs w:val="20"/>
        </w:rPr>
        <w:t>ung age patients (p&lt;0.001</w:t>
      </w:r>
      <w:r w:rsidR="00DB1FA6" w:rsidRPr="001C356B">
        <w:rPr>
          <w:rFonts w:ascii="Times New Roman" w:eastAsia="MS Mincho" w:hAnsi="Times New Roman" w:cs="Times New Roman"/>
          <w:sz w:val="20"/>
          <w:szCs w:val="20"/>
        </w:rPr>
        <w:t>),</w:t>
      </w:r>
      <w:r w:rsidR="00040CAF" w:rsidRPr="001C356B">
        <w:rPr>
          <w:rFonts w:ascii="Times New Roman" w:eastAsia="MS Mincho" w:hAnsi="Times New Roman" w:cs="Times New Roman"/>
          <w:sz w:val="20"/>
          <w:szCs w:val="20"/>
        </w:rPr>
        <w:t xml:space="preserve"> (65.3</w:t>
      </w:r>
      <w:r w:rsidRPr="001C356B">
        <w:rPr>
          <w:rFonts w:ascii="Times New Roman" w:eastAsia="MS Mincho" w:hAnsi="Times New Roman" w:cs="Times New Roman"/>
          <w:sz w:val="20"/>
          <w:szCs w:val="20"/>
        </w:rPr>
        <w:t>%) o</w:t>
      </w:r>
      <w:r w:rsidR="00FC4315" w:rsidRPr="001C356B">
        <w:rPr>
          <w:rFonts w:ascii="Times New Roman" w:eastAsia="MS Mincho" w:hAnsi="Times New Roman" w:cs="Times New Roman"/>
          <w:sz w:val="20"/>
          <w:szCs w:val="20"/>
        </w:rPr>
        <w:t>f patients who had ALN metastase</w:t>
      </w:r>
      <w:r w:rsidRPr="001C356B">
        <w:rPr>
          <w:rFonts w:ascii="Times New Roman" w:eastAsia="MS Mincho" w:hAnsi="Times New Roman" w:cs="Times New Roman"/>
          <w:sz w:val="20"/>
          <w:szCs w:val="20"/>
        </w:rPr>
        <w:t>s were younger tha</w:t>
      </w:r>
      <w:r w:rsidR="00040CAF" w:rsidRPr="001C356B">
        <w:rPr>
          <w:rFonts w:ascii="Times New Roman" w:eastAsia="MS Mincho" w:hAnsi="Times New Roman" w:cs="Times New Roman"/>
          <w:sz w:val="20"/>
          <w:szCs w:val="20"/>
        </w:rPr>
        <w:t>n 50 years old compared with (38.9</w:t>
      </w:r>
      <w:r w:rsidRPr="001C356B">
        <w:rPr>
          <w:rFonts w:ascii="Times New Roman" w:eastAsia="MS Mincho" w:hAnsi="Times New Roman" w:cs="Times New Roman"/>
          <w:sz w:val="20"/>
          <w:szCs w:val="20"/>
        </w:rPr>
        <w:t>%) in patients older than 50 years old (Table 2).</w:t>
      </w:r>
    </w:p>
    <w:p w:rsidR="00DB1FA6" w:rsidRPr="001C356B" w:rsidRDefault="005408E9" w:rsidP="00655CB2">
      <w:pPr>
        <w:bidi w:val="0"/>
        <w:snapToGrid w:val="0"/>
        <w:spacing w:after="0" w:line="240" w:lineRule="auto"/>
        <w:ind w:firstLine="425"/>
        <w:jc w:val="both"/>
        <w:rPr>
          <w:rFonts w:ascii="Times New Roman" w:eastAsia="MS Mincho" w:hAnsi="Times New Roman" w:cs="Times New Roman"/>
          <w:sz w:val="20"/>
          <w:szCs w:val="20"/>
        </w:rPr>
      </w:pPr>
      <w:r w:rsidRPr="001C356B">
        <w:rPr>
          <w:rFonts w:ascii="Times New Roman" w:eastAsia="MS Mincho" w:hAnsi="Times New Roman" w:cs="Times New Roman"/>
          <w:sz w:val="20"/>
          <w:szCs w:val="20"/>
        </w:rPr>
        <w:t>Correlation between LVI and ALN involvement showed sig</w:t>
      </w:r>
      <w:r w:rsidR="00040CAF" w:rsidRPr="001C356B">
        <w:rPr>
          <w:rFonts w:ascii="Times New Roman" w:eastAsia="MS Mincho" w:hAnsi="Times New Roman" w:cs="Times New Roman"/>
          <w:sz w:val="20"/>
          <w:szCs w:val="20"/>
        </w:rPr>
        <w:t>nificant relation (p&lt;0.001), (82.9</w:t>
      </w:r>
      <w:r w:rsidRPr="001C356B">
        <w:rPr>
          <w:rFonts w:ascii="Times New Roman" w:eastAsia="MS Mincho" w:hAnsi="Times New Roman" w:cs="Times New Roman"/>
          <w:sz w:val="20"/>
          <w:szCs w:val="20"/>
        </w:rPr>
        <w:t xml:space="preserve">%) of patients with LVI </w:t>
      </w:r>
      <w:r w:rsidR="00040CAF" w:rsidRPr="001C356B">
        <w:rPr>
          <w:rFonts w:ascii="Times New Roman" w:eastAsia="MS Mincho" w:hAnsi="Times New Roman" w:cs="Times New Roman"/>
          <w:sz w:val="20"/>
          <w:szCs w:val="20"/>
        </w:rPr>
        <w:t xml:space="preserve">had ALN </w:t>
      </w:r>
      <w:r w:rsidR="005B5B0B" w:rsidRPr="001C356B">
        <w:rPr>
          <w:rFonts w:ascii="Times New Roman" w:eastAsia="MS Mincho" w:hAnsi="Times New Roman" w:cs="Times New Roman"/>
          <w:sz w:val="20"/>
          <w:szCs w:val="20"/>
        </w:rPr>
        <w:t>involvement compared</w:t>
      </w:r>
      <w:r w:rsidR="00040CAF" w:rsidRPr="001C356B">
        <w:rPr>
          <w:rFonts w:ascii="Times New Roman" w:eastAsia="MS Mincho" w:hAnsi="Times New Roman" w:cs="Times New Roman"/>
          <w:sz w:val="20"/>
          <w:szCs w:val="20"/>
        </w:rPr>
        <w:t xml:space="preserve"> to (31.1</w:t>
      </w:r>
      <w:r w:rsidRPr="001C356B">
        <w:rPr>
          <w:rFonts w:ascii="Times New Roman" w:eastAsia="MS Mincho" w:hAnsi="Times New Roman" w:cs="Times New Roman"/>
          <w:sz w:val="20"/>
          <w:szCs w:val="20"/>
        </w:rPr>
        <w:t>%) in</w:t>
      </w:r>
      <w:r w:rsidR="00791565" w:rsidRPr="001C356B">
        <w:rPr>
          <w:rFonts w:ascii="Times New Roman" w:eastAsia="MS Mincho" w:hAnsi="Times New Roman" w:cs="Times New Roman"/>
          <w:sz w:val="20"/>
          <w:szCs w:val="20"/>
        </w:rPr>
        <w:t xml:space="preserve"> patients without LVI. </w:t>
      </w:r>
      <w:r w:rsidRPr="001C356B">
        <w:rPr>
          <w:rFonts w:ascii="Times New Roman" w:eastAsia="MS Mincho" w:hAnsi="Times New Roman" w:cs="Times New Roman"/>
          <w:sz w:val="20"/>
          <w:szCs w:val="20"/>
        </w:rPr>
        <w:t>Also there is a significant higher rate of ALN involvement among pa</w:t>
      </w:r>
      <w:r w:rsidR="00040CAF" w:rsidRPr="001C356B">
        <w:rPr>
          <w:rFonts w:ascii="Times New Roman" w:eastAsia="MS Mincho" w:hAnsi="Times New Roman" w:cs="Times New Roman"/>
          <w:sz w:val="20"/>
          <w:szCs w:val="20"/>
        </w:rPr>
        <w:t>tients with high ki67 (p&lt;0.001), (68.6</w:t>
      </w:r>
      <w:r w:rsidRPr="001C356B">
        <w:rPr>
          <w:rFonts w:ascii="Times New Roman" w:eastAsia="MS Mincho" w:hAnsi="Times New Roman" w:cs="Times New Roman"/>
          <w:sz w:val="20"/>
          <w:szCs w:val="20"/>
        </w:rPr>
        <w:t>%) of patients with high ki6</w:t>
      </w:r>
      <w:r w:rsidR="00040CAF" w:rsidRPr="001C356B">
        <w:rPr>
          <w:rFonts w:ascii="Times New Roman" w:eastAsia="MS Mincho" w:hAnsi="Times New Roman" w:cs="Times New Roman"/>
          <w:sz w:val="20"/>
          <w:szCs w:val="20"/>
        </w:rPr>
        <w:t>7 expression</w:t>
      </w:r>
      <w:r w:rsidRPr="001C356B">
        <w:rPr>
          <w:rFonts w:ascii="Times New Roman" w:eastAsia="MS Mincho" w:hAnsi="Times New Roman" w:cs="Times New Roman"/>
          <w:sz w:val="20"/>
          <w:szCs w:val="20"/>
        </w:rPr>
        <w:t xml:space="preserve"> had ALN </w:t>
      </w:r>
      <w:r w:rsidR="00FC4315" w:rsidRPr="001C356B">
        <w:rPr>
          <w:rFonts w:ascii="Times New Roman" w:eastAsia="MS Mincho" w:hAnsi="Times New Roman" w:cs="Times New Roman"/>
          <w:sz w:val="20"/>
          <w:szCs w:val="20"/>
        </w:rPr>
        <w:t xml:space="preserve">metastases </w:t>
      </w:r>
      <w:r w:rsidRPr="001C356B">
        <w:rPr>
          <w:rFonts w:ascii="Times New Roman" w:eastAsia="MS Mincho" w:hAnsi="Times New Roman" w:cs="Times New Roman"/>
          <w:sz w:val="20"/>
          <w:szCs w:val="20"/>
        </w:rPr>
        <w:t>(Table 2). There was no assoc</w:t>
      </w:r>
      <w:r w:rsidR="00FC4315" w:rsidRPr="001C356B">
        <w:rPr>
          <w:rFonts w:ascii="Times New Roman" w:eastAsia="MS Mincho" w:hAnsi="Times New Roman" w:cs="Times New Roman"/>
          <w:sz w:val="20"/>
          <w:szCs w:val="20"/>
        </w:rPr>
        <w:t>iation between lymph node metastases</w:t>
      </w:r>
      <w:r w:rsidR="00CC76CE" w:rsidRPr="001C356B">
        <w:rPr>
          <w:rFonts w:ascii="Times New Roman" w:eastAsia="MS Mincho" w:hAnsi="Times New Roman" w:cs="Times New Roman"/>
          <w:sz w:val="20"/>
          <w:szCs w:val="20"/>
        </w:rPr>
        <w:t xml:space="preserve"> and</w:t>
      </w:r>
      <w:r w:rsidR="00791565" w:rsidRPr="001C356B">
        <w:rPr>
          <w:rFonts w:ascii="Times New Roman" w:eastAsia="MS Mincho" w:hAnsi="Times New Roman" w:cs="Times New Roman"/>
          <w:sz w:val="20"/>
          <w:szCs w:val="20"/>
        </w:rPr>
        <w:t xml:space="preserve"> tumor pathology.</w:t>
      </w:r>
    </w:p>
    <w:p w:rsidR="00DB1FA6" w:rsidRPr="001C356B" w:rsidRDefault="00DB1FA6" w:rsidP="00655CB2">
      <w:pPr>
        <w:bidi w:val="0"/>
        <w:snapToGrid w:val="0"/>
        <w:spacing w:after="0" w:line="240" w:lineRule="auto"/>
        <w:ind w:firstLine="425"/>
        <w:jc w:val="both"/>
        <w:rPr>
          <w:rFonts w:ascii="Times New Roman" w:hAnsi="Times New Roman" w:cs="Times New Roman"/>
          <w:color w:val="000000"/>
          <w:sz w:val="20"/>
          <w:szCs w:val="20"/>
        </w:rPr>
      </w:pPr>
      <w:r w:rsidRPr="001C356B">
        <w:rPr>
          <w:rFonts w:ascii="Times New Roman" w:hAnsi="Times New Roman" w:cs="Times New Roman"/>
          <w:color w:val="000000"/>
          <w:sz w:val="20"/>
          <w:szCs w:val="20"/>
        </w:rPr>
        <w:t>Table (3) showed univariate logistic regres</w:t>
      </w:r>
      <w:r w:rsidRPr="001C356B">
        <w:rPr>
          <w:rFonts w:ascii="Times New Roman" w:hAnsi="Times New Roman" w:cs="Times New Roman"/>
          <w:color w:val="000000"/>
          <w:sz w:val="20"/>
          <w:szCs w:val="20"/>
        </w:rPr>
        <w:softHyphen/>
        <w:t>sion models. Tumor size, molecular subtypes andLVI showed a significant correlation with the ALN status. In multivariate logistic regres</w:t>
      </w:r>
      <w:r w:rsidRPr="001C356B">
        <w:rPr>
          <w:rFonts w:ascii="Times New Roman" w:hAnsi="Times New Roman" w:cs="Times New Roman"/>
          <w:color w:val="000000"/>
          <w:sz w:val="20"/>
          <w:szCs w:val="20"/>
        </w:rPr>
        <w:softHyphen/>
        <w:t>sion analysis, tumor size (P=0.03), l</w:t>
      </w:r>
      <w:r w:rsidR="00CC76CE" w:rsidRPr="001C356B">
        <w:rPr>
          <w:rFonts w:ascii="Times New Roman" w:hAnsi="Times New Roman" w:cs="Times New Roman"/>
          <w:color w:val="000000"/>
          <w:sz w:val="20"/>
          <w:szCs w:val="20"/>
        </w:rPr>
        <w:t>uminal B subtype (P=0.03), HER-</w:t>
      </w:r>
      <w:r w:rsidR="00CC76CE" w:rsidRPr="001C356B">
        <w:rPr>
          <w:rFonts w:ascii="Times New Roman" w:hAnsi="Times New Roman" w:cs="Times New Roman"/>
          <w:color w:val="000000"/>
          <w:sz w:val="20"/>
          <w:szCs w:val="20"/>
        </w:rPr>
        <w:lastRenderedPageBreak/>
        <w:t>2+</w:t>
      </w:r>
      <w:r w:rsidRPr="001C356B">
        <w:rPr>
          <w:rFonts w:ascii="Times New Roman" w:hAnsi="Times New Roman" w:cs="Times New Roman"/>
          <w:color w:val="000000"/>
          <w:sz w:val="20"/>
          <w:szCs w:val="20"/>
        </w:rPr>
        <w:t>subtype (P=0.02) andLVI (P&lt;0.001) were independent</w:t>
      </w:r>
      <w:r w:rsidR="00B61CD9" w:rsidRPr="001C356B">
        <w:rPr>
          <w:rFonts w:ascii="Times New Roman" w:hAnsi="Times New Roman" w:cs="Times New Roman"/>
          <w:color w:val="000000"/>
          <w:sz w:val="20"/>
          <w:szCs w:val="20"/>
        </w:rPr>
        <w:t>factors in</w:t>
      </w:r>
      <w:r w:rsidRPr="001C356B">
        <w:rPr>
          <w:rFonts w:ascii="Times New Roman" w:hAnsi="Times New Roman" w:cs="Times New Roman"/>
          <w:color w:val="000000"/>
          <w:sz w:val="20"/>
          <w:szCs w:val="20"/>
        </w:rPr>
        <w:t xml:space="preserve"> correlation with the ALN status.Table (4)</w:t>
      </w:r>
    </w:p>
    <w:p w:rsidR="005408E9" w:rsidRPr="001C356B" w:rsidRDefault="005408E9" w:rsidP="00655CB2">
      <w:pPr>
        <w:bidi w:val="0"/>
        <w:snapToGrid w:val="0"/>
        <w:spacing w:after="0" w:line="240" w:lineRule="auto"/>
        <w:ind w:firstLine="425"/>
        <w:jc w:val="both"/>
        <w:rPr>
          <w:rFonts w:ascii="Times New Roman" w:eastAsia="MS Mincho" w:hAnsi="Times New Roman" w:cs="Times New Roman"/>
          <w:sz w:val="20"/>
          <w:szCs w:val="20"/>
        </w:rPr>
      </w:pPr>
    </w:p>
    <w:p w:rsidR="005408E9" w:rsidRPr="001C356B" w:rsidRDefault="00F11597" w:rsidP="00655CB2">
      <w:pPr>
        <w:bidi w:val="0"/>
        <w:snapToGrid w:val="0"/>
        <w:spacing w:after="0" w:line="240" w:lineRule="auto"/>
        <w:jc w:val="both"/>
        <w:rPr>
          <w:rFonts w:ascii="Times New Roman" w:hAnsi="Times New Roman" w:cs="Times New Roman"/>
          <w:b/>
          <w:bCs/>
          <w:color w:val="000000"/>
          <w:sz w:val="20"/>
          <w:szCs w:val="20"/>
        </w:rPr>
      </w:pPr>
      <w:r w:rsidRPr="001C356B">
        <w:rPr>
          <w:rFonts w:ascii="Times New Roman" w:hAnsi="Times New Roman" w:cs="Times New Roman"/>
          <w:b/>
          <w:bCs/>
          <w:color w:val="000000"/>
          <w:sz w:val="20"/>
          <w:szCs w:val="20"/>
        </w:rPr>
        <w:t xml:space="preserve">4. </w:t>
      </w:r>
      <w:r w:rsidR="005408E9" w:rsidRPr="001C356B">
        <w:rPr>
          <w:rFonts w:ascii="Times New Roman" w:hAnsi="Times New Roman" w:cs="Times New Roman"/>
          <w:b/>
          <w:bCs/>
          <w:color w:val="000000"/>
          <w:sz w:val="20"/>
          <w:szCs w:val="20"/>
        </w:rPr>
        <w:t>Discussion</w:t>
      </w:r>
    </w:p>
    <w:p w:rsidR="00E54560" w:rsidRPr="001C356B" w:rsidRDefault="00E54560" w:rsidP="00655CB2">
      <w:pPr>
        <w:bidi w:val="0"/>
        <w:snapToGrid w:val="0"/>
        <w:spacing w:after="0" w:line="240" w:lineRule="auto"/>
        <w:ind w:firstLine="425"/>
        <w:jc w:val="both"/>
        <w:rPr>
          <w:rFonts w:ascii="Times New Roman" w:hAnsi="Times New Roman" w:cs="Times New Roman"/>
          <w:sz w:val="20"/>
          <w:szCs w:val="20"/>
        </w:rPr>
      </w:pPr>
      <w:r w:rsidRPr="001C356B">
        <w:rPr>
          <w:rFonts w:ascii="Times New Roman" w:hAnsi="Times New Roman" w:cs="Times New Roman"/>
          <w:sz w:val="20"/>
          <w:szCs w:val="20"/>
        </w:rPr>
        <w:t>Breast cancer is acomplex, heterogeneous disease at the molecular level</w:t>
      </w:r>
      <w:r w:rsidRPr="001C356B">
        <w:rPr>
          <w:rFonts w:ascii="Times New Roman" w:hAnsi="Times New Roman" w:cs="Times New Roman"/>
          <w:b/>
          <w:bCs/>
          <w:sz w:val="20"/>
          <w:szCs w:val="20"/>
          <w:vertAlign w:val="superscript"/>
        </w:rPr>
        <w:t xml:space="preserve"> [17]</w:t>
      </w:r>
      <w:r w:rsidRPr="001C356B">
        <w:rPr>
          <w:rFonts w:ascii="Times New Roman" w:hAnsi="Times New Roman" w:cs="Times New Roman"/>
          <w:b/>
          <w:bCs/>
          <w:sz w:val="20"/>
          <w:szCs w:val="20"/>
        </w:rPr>
        <w:t xml:space="preserve">. </w:t>
      </w:r>
      <w:r w:rsidRPr="001C356B">
        <w:rPr>
          <w:rFonts w:ascii="Times New Roman" w:hAnsi="Times New Roman" w:cs="Times New Roman"/>
          <w:sz w:val="20"/>
          <w:szCs w:val="20"/>
        </w:rPr>
        <w:t xml:space="preserve">The immunohistochemistry (IHC) using gene expression microarrays: the strongest factors correlated to overall survival in breast cancer patients, and as such, it has been a major determinant in therapeutic decision making. </w:t>
      </w:r>
      <w:r w:rsidRPr="001C356B">
        <w:rPr>
          <w:rFonts w:ascii="Times New Roman" w:hAnsi="Times New Roman" w:cs="Times New Roman"/>
          <w:b/>
          <w:bCs/>
          <w:sz w:val="20"/>
          <w:szCs w:val="20"/>
          <w:vertAlign w:val="superscript"/>
        </w:rPr>
        <w:t>[</w:t>
      </w:r>
      <w:hyperlink r:id="rId14" w:anchor="R25" w:history="1">
        <w:r w:rsidRPr="001C356B">
          <w:rPr>
            <w:rFonts w:ascii="Times New Roman" w:hAnsi="Times New Roman" w:cs="Times New Roman"/>
            <w:b/>
            <w:bCs/>
            <w:sz w:val="20"/>
            <w:szCs w:val="20"/>
            <w:vertAlign w:val="superscript"/>
          </w:rPr>
          <w:t>20</w:t>
        </w:r>
      </w:hyperlink>
      <w:r w:rsidRPr="001C356B">
        <w:rPr>
          <w:rFonts w:ascii="Times New Roman" w:hAnsi="Times New Roman" w:cs="Times New Roman"/>
          <w:b/>
          <w:bCs/>
          <w:sz w:val="20"/>
          <w:szCs w:val="20"/>
          <w:vertAlign w:val="superscript"/>
        </w:rPr>
        <w:t>]</w:t>
      </w:r>
    </w:p>
    <w:p w:rsidR="00E54560" w:rsidRPr="001C356B" w:rsidRDefault="00E54560" w:rsidP="00655CB2">
      <w:pPr>
        <w:bidi w:val="0"/>
        <w:snapToGrid w:val="0"/>
        <w:spacing w:after="0" w:line="240" w:lineRule="auto"/>
        <w:ind w:firstLine="425"/>
        <w:jc w:val="both"/>
        <w:rPr>
          <w:rFonts w:ascii="Times New Roman" w:hAnsi="Times New Roman" w:cs="Times New Roman"/>
          <w:color w:val="000000" w:themeColor="text1"/>
          <w:sz w:val="20"/>
          <w:szCs w:val="20"/>
          <w:lang w:bidi="ar-EG"/>
        </w:rPr>
      </w:pPr>
      <w:r w:rsidRPr="001C356B">
        <w:rPr>
          <w:rFonts w:ascii="Times New Roman" w:hAnsi="Times New Roman" w:cs="Times New Roman"/>
          <w:sz w:val="20"/>
          <w:szCs w:val="20"/>
        </w:rPr>
        <w:t>This study evaluated 329 patients with invasive breast carcinoma, mean</w:t>
      </w:r>
      <w:r w:rsidRPr="001C356B">
        <w:rPr>
          <w:rFonts w:ascii="Times New Roman" w:hAnsi="Times New Roman" w:cs="Times New Roman"/>
          <w:color w:val="000000" w:themeColor="text1"/>
          <w:sz w:val="20"/>
          <w:szCs w:val="20"/>
        </w:rPr>
        <w:t>age (50.43) years old. The most histological type is invasive ductal carcinoma</w:t>
      </w:r>
      <w:r w:rsidRPr="001C356B">
        <w:rPr>
          <w:rFonts w:ascii="Times New Roman" w:hAnsi="Times New Roman" w:cs="Times New Roman"/>
          <w:color w:val="000000" w:themeColor="text1"/>
          <w:sz w:val="20"/>
          <w:szCs w:val="20"/>
          <w:lang w:bidi="ar-EG"/>
        </w:rPr>
        <w:t xml:space="preserve"> (86.9%)</w:t>
      </w:r>
      <w:r w:rsidRPr="001C356B">
        <w:rPr>
          <w:rFonts w:ascii="Times New Roman" w:hAnsi="Times New Roman" w:cs="Times New Roman"/>
          <w:color w:val="000000" w:themeColor="text1"/>
          <w:sz w:val="20"/>
          <w:szCs w:val="20"/>
        </w:rPr>
        <w:t xml:space="preserve">. Luminal </w:t>
      </w:r>
      <w:r w:rsidRPr="001C356B">
        <w:rPr>
          <w:rFonts w:ascii="Times New Roman" w:hAnsi="Times New Roman" w:cs="Times New Roman"/>
          <w:color w:val="000000" w:themeColor="text1"/>
          <w:sz w:val="20"/>
          <w:szCs w:val="20"/>
          <w:lang w:bidi="ar-EG"/>
        </w:rPr>
        <w:t>A</w:t>
      </w:r>
      <w:r w:rsidR="0078406C">
        <w:rPr>
          <w:rFonts w:ascii="Times New Roman" w:hAnsi="Times New Roman" w:cs="Times New Roman"/>
          <w:color w:val="000000" w:themeColor="text1"/>
          <w:sz w:val="20"/>
          <w:szCs w:val="20"/>
          <w:lang w:bidi="ar-EG"/>
        </w:rPr>
        <w:t xml:space="preserve"> was recorded</w:t>
      </w:r>
      <w:r w:rsidRPr="001C356B">
        <w:rPr>
          <w:rFonts w:ascii="Times New Roman" w:hAnsi="Times New Roman" w:cs="Times New Roman"/>
          <w:color w:val="000000" w:themeColor="text1"/>
          <w:sz w:val="20"/>
          <w:szCs w:val="20"/>
          <w:lang w:bidi="ar-EG"/>
        </w:rPr>
        <w:t xml:space="preserve"> in</w:t>
      </w:r>
      <w:r w:rsidRPr="001C356B">
        <w:rPr>
          <w:rFonts w:ascii="Times New Roman" w:hAnsi="Times New Roman" w:cs="Times New Roman"/>
          <w:color w:val="000000" w:themeColor="text1"/>
          <w:sz w:val="20"/>
          <w:szCs w:val="20"/>
        </w:rPr>
        <w:t>87 patients (26.4%), Luminal B in163 (49.5%), HER-2+ in35 (10.6%), and TNBC in 44 (13.4%) patients.</w:t>
      </w:r>
    </w:p>
    <w:p w:rsidR="00E54560" w:rsidRPr="001C356B" w:rsidRDefault="00E54560" w:rsidP="00655CB2">
      <w:pPr>
        <w:bidi w:val="0"/>
        <w:snapToGrid w:val="0"/>
        <w:spacing w:after="0" w:line="240" w:lineRule="auto"/>
        <w:ind w:firstLine="425"/>
        <w:jc w:val="both"/>
        <w:rPr>
          <w:rFonts w:ascii="Times New Roman" w:hAnsi="Times New Roman" w:cs="Times New Roman"/>
          <w:color w:val="000000" w:themeColor="text1"/>
          <w:sz w:val="20"/>
          <w:szCs w:val="20"/>
          <w:lang w:bidi="ar-EG"/>
        </w:rPr>
      </w:pPr>
      <w:r w:rsidRPr="001C356B">
        <w:rPr>
          <w:rFonts w:ascii="Times New Roman" w:hAnsi="Times New Roman" w:cs="Times New Roman"/>
          <w:sz w:val="20"/>
          <w:szCs w:val="20"/>
        </w:rPr>
        <w:t>This study showed that, 163 (49.5%) patients had node negative disease while 166 (50.5%) patients had node positive disease. Nodal stage N2 was the most frequent (106 patients) followed by N1 (34 patients) and 26 patients had N3 stage. The tumor size, grade, menopausal status, LVI, and Ki67 expression were significantly correlated the LN positivity. There are differences in LN positivity by molecular subtypes, 10/87 luminal A patients had N positive disease (11.5%), luminal B 109/163 patients (66.9%), HER2+ 32/35 (91.4%) and TNBC 15/44 (34.1%). There were significant correlation between molecular subtypes and nodal status (p=0.03 for luminal B and &lt;0.001 for luminal A, HER 2 and triple negative).</w:t>
      </w:r>
    </w:p>
    <w:p w:rsidR="00E54560" w:rsidRPr="001C356B" w:rsidRDefault="00B61CD9" w:rsidP="00655CB2">
      <w:pPr>
        <w:bidi w:val="0"/>
        <w:snapToGrid w:val="0"/>
        <w:spacing w:after="0" w:line="240" w:lineRule="auto"/>
        <w:ind w:firstLine="425"/>
        <w:jc w:val="both"/>
        <w:rPr>
          <w:rFonts w:ascii="Times New Roman" w:hAnsi="Times New Roman" w:cs="Times New Roman"/>
          <w:sz w:val="20"/>
          <w:szCs w:val="20"/>
        </w:rPr>
      </w:pPr>
      <w:r w:rsidRPr="001C356B">
        <w:rPr>
          <w:rFonts w:ascii="Times New Roman" w:hAnsi="Times New Roman" w:cs="Times New Roman"/>
          <w:sz w:val="20"/>
          <w:szCs w:val="20"/>
        </w:rPr>
        <w:lastRenderedPageBreak/>
        <w:t>In our</w:t>
      </w:r>
      <w:r w:rsidR="00E54560" w:rsidRPr="001C356B">
        <w:rPr>
          <w:rFonts w:ascii="Times New Roman" w:hAnsi="Times New Roman" w:cs="Times New Roman"/>
          <w:sz w:val="20"/>
          <w:szCs w:val="20"/>
        </w:rPr>
        <w:t xml:space="preserve"> study there was</w:t>
      </w:r>
      <w:r w:rsidRPr="001C356B">
        <w:rPr>
          <w:rFonts w:ascii="Times New Roman" w:hAnsi="Times New Roman" w:cs="Times New Roman"/>
          <w:sz w:val="20"/>
          <w:szCs w:val="20"/>
        </w:rPr>
        <w:t>a lower</w:t>
      </w:r>
      <w:r w:rsidR="00E54560" w:rsidRPr="001C356B">
        <w:rPr>
          <w:rFonts w:ascii="Times New Roman" w:hAnsi="Times New Roman" w:cs="Times New Roman"/>
          <w:sz w:val="20"/>
          <w:szCs w:val="20"/>
        </w:rPr>
        <w:t xml:space="preserve"> risk of axillary lymph nodal (ALN) involvement in luminal A breast and triple negative cancer patients and increased frequency of LN metastasis in luminal B and HER2+breast cancer patients. Dent et a</w:t>
      </w:r>
      <w:r w:rsidR="001C356B" w:rsidRPr="001C356B">
        <w:rPr>
          <w:rFonts w:ascii="Times New Roman" w:hAnsi="Times New Roman" w:cs="Times New Roman"/>
          <w:sz w:val="20"/>
          <w:szCs w:val="20"/>
        </w:rPr>
        <w:t xml:space="preserve">l </w:t>
      </w:r>
      <w:r w:rsidR="001C356B" w:rsidRPr="001C356B">
        <w:rPr>
          <w:rFonts w:ascii="Times New Roman" w:hAnsi="Times New Roman" w:cs="Times New Roman"/>
          <w:b/>
          <w:bCs/>
          <w:sz w:val="20"/>
          <w:szCs w:val="20"/>
          <w:vertAlign w:val="superscript"/>
        </w:rPr>
        <w:t>[</w:t>
      </w:r>
      <w:hyperlink r:id="rId15" w:anchor="R3" w:history="1">
        <w:r w:rsidR="00E54560" w:rsidRPr="001C356B">
          <w:rPr>
            <w:rFonts w:ascii="Times New Roman" w:hAnsi="Times New Roman" w:cs="Times New Roman"/>
            <w:b/>
            <w:bCs/>
            <w:sz w:val="20"/>
            <w:szCs w:val="20"/>
            <w:vertAlign w:val="superscript"/>
          </w:rPr>
          <w:t>20</w:t>
        </w:r>
      </w:hyperlink>
      <w:r w:rsidR="00E54560" w:rsidRPr="001C356B">
        <w:rPr>
          <w:rFonts w:ascii="Times New Roman" w:hAnsi="Times New Roman" w:cs="Times New Roman"/>
          <w:b/>
          <w:bCs/>
          <w:sz w:val="20"/>
          <w:szCs w:val="20"/>
          <w:vertAlign w:val="superscript"/>
        </w:rPr>
        <w:t>]</w:t>
      </w:r>
      <w:r w:rsidR="00E54560" w:rsidRPr="001C356B">
        <w:rPr>
          <w:rFonts w:ascii="Times New Roman" w:hAnsi="Times New Roman" w:cs="Times New Roman"/>
          <w:sz w:val="20"/>
          <w:szCs w:val="20"/>
        </w:rPr>
        <w:t xml:space="preserve"> showed that patients with Triple negative breast cancer has less lymph node metastasis but is more aggressively. It maybe due to hematogenous spread or lack of targetable treatment.</w:t>
      </w:r>
    </w:p>
    <w:p w:rsidR="00E54560" w:rsidRPr="001C356B" w:rsidRDefault="00E54560" w:rsidP="00655CB2">
      <w:pPr>
        <w:bidi w:val="0"/>
        <w:snapToGrid w:val="0"/>
        <w:spacing w:after="0" w:line="240" w:lineRule="auto"/>
        <w:ind w:firstLine="425"/>
        <w:jc w:val="both"/>
        <w:rPr>
          <w:rFonts w:ascii="Times New Roman" w:hAnsi="Times New Roman" w:cs="Times New Roman"/>
          <w:sz w:val="20"/>
          <w:szCs w:val="20"/>
        </w:rPr>
      </w:pPr>
      <w:r w:rsidRPr="001C356B">
        <w:rPr>
          <w:rFonts w:ascii="Times New Roman" w:hAnsi="Times New Roman" w:cs="Times New Roman"/>
          <w:sz w:val="20"/>
          <w:szCs w:val="20"/>
        </w:rPr>
        <w:t>Chengshuai Si et a</w:t>
      </w:r>
      <w:r w:rsidR="001C356B" w:rsidRPr="001C356B">
        <w:rPr>
          <w:rFonts w:ascii="Times New Roman" w:hAnsi="Times New Roman" w:cs="Times New Roman"/>
          <w:sz w:val="20"/>
          <w:szCs w:val="20"/>
        </w:rPr>
        <w:t xml:space="preserve">l </w:t>
      </w:r>
      <w:r w:rsidR="001C356B" w:rsidRPr="001C356B">
        <w:rPr>
          <w:rFonts w:ascii="Times New Roman" w:hAnsi="Times New Roman" w:cs="Times New Roman"/>
          <w:b/>
          <w:bCs/>
          <w:sz w:val="20"/>
          <w:szCs w:val="20"/>
          <w:vertAlign w:val="superscript"/>
        </w:rPr>
        <w:t>[</w:t>
      </w:r>
      <w:hyperlink r:id="rId16" w:anchor="R3" w:history="1">
        <w:r w:rsidRPr="001C356B">
          <w:rPr>
            <w:rFonts w:ascii="Times New Roman" w:hAnsi="Times New Roman" w:cs="Times New Roman"/>
            <w:b/>
            <w:bCs/>
            <w:sz w:val="20"/>
            <w:szCs w:val="20"/>
            <w:vertAlign w:val="superscript"/>
          </w:rPr>
          <w:t>21</w:t>
        </w:r>
      </w:hyperlink>
      <w:r w:rsidRPr="001C356B">
        <w:rPr>
          <w:rFonts w:ascii="Times New Roman" w:hAnsi="Times New Roman" w:cs="Times New Roman"/>
          <w:b/>
          <w:bCs/>
          <w:sz w:val="20"/>
          <w:szCs w:val="20"/>
          <w:vertAlign w:val="superscript"/>
        </w:rPr>
        <w:t>]</w:t>
      </w:r>
      <w:r w:rsidR="00AB35B5">
        <w:rPr>
          <w:rFonts w:ascii="Times New Roman" w:hAnsi="Times New Roman" w:cs="Times New Roman"/>
          <w:sz w:val="20"/>
          <w:szCs w:val="20"/>
        </w:rPr>
        <w:t xml:space="preserve"> </w:t>
      </w:r>
      <w:r w:rsidRPr="001C356B">
        <w:rPr>
          <w:rFonts w:ascii="Times New Roman" w:hAnsi="Times New Roman" w:cs="Times New Roman"/>
          <w:sz w:val="20"/>
          <w:szCs w:val="20"/>
        </w:rPr>
        <w:t>study showed that tumor size and tumor subtype show statistical significance with LN involvement. Luminal B type showed significant higher probability of LN involvement, Triple positive and triple negative breast cancer ac</w:t>
      </w:r>
      <w:r w:rsidRPr="001C356B">
        <w:rPr>
          <w:rFonts w:ascii="Times New Roman" w:hAnsi="Times New Roman" w:cs="Times New Roman"/>
          <w:sz w:val="20"/>
          <w:szCs w:val="20"/>
        </w:rPr>
        <w:softHyphen/>
        <w:t>counts the most and least possibility of LN involvement.</w:t>
      </w:r>
    </w:p>
    <w:p w:rsidR="00E54560" w:rsidRPr="001C356B" w:rsidRDefault="00E54560" w:rsidP="00655CB2">
      <w:pPr>
        <w:bidi w:val="0"/>
        <w:snapToGrid w:val="0"/>
        <w:spacing w:after="0" w:line="240" w:lineRule="auto"/>
        <w:ind w:firstLine="425"/>
        <w:jc w:val="both"/>
        <w:rPr>
          <w:rFonts w:ascii="Times New Roman" w:hAnsi="Times New Roman" w:cs="Times New Roman"/>
          <w:sz w:val="20"/>
          <w:szCs w:val="20"/>
        </w:rPr>
      </w:pPr>
      <w:r w:rsidRPr="001C356B">
        <w:rPr>
          <w:rFonts w:ascii="Times New Roman" w:hAnsi="Times New Roman" w:cs="Times New Roman"/>
          <w:sz w:val="20"/>
          <w:szCs w:val="20"/>
        </w:rPr>
        <w:t>Emi Yoshihara et a</w:t>
      </w:r>
      <w:r w:rsidR="001C356B" w:rsidRPr="001C356B">
        <w:rPr>
          <w:rFonts w:ascii="Times New Roman" w:hAnsi="Times New Roman" w:cs="Times New Roman"/>
          <w:sz w:val="20"/>
          <w:szCs w:val="20"/>
        </w:rPr>
        <w:t xml:space="preserve">l </w:t>
      </w:r>
      <w:r w:rsidR="001C356B" w:rsidRPr="001C356B">
        <w:rPr>
          <w:rFonts w:ascii="Times New Roman" w:hAnsi="Times New Roman" w:cs="Times New Roman"/>
          <w:b/>
          <w:bCs/>
          <w:sz w:val="20"/>
          <w:szCs w:val="20"/>
          <w:vertAlign w:val="superscript"/>
        </w:rPr>
        <w:t>[</w:t>
      </w:r>
      <w:hyperlink r:id="rId17" w:anchor="R3" w:history="1">
        <w:r w:rsidRPr="001C356B">
          <w:rPr>
            <w:rFonts w:ascii="Times New Roman" w:hAnsi="Times New Roman" w:cs="Times New Roman"/>
            <w:b/>
            <w:bCs/>
            <w:sz w:val="20"/>
            <w:szCs w:val="20"/>
            <w:vertAlign w:val="superscript"/>
          </w:rPr>
          <w:t>22</w:t>
        </w:r>
      </w:hyperlink>
      <w:r w:rsidRPr="001C356B">
        <w:rPr>
          <w:rFonts w:ascii="Times New Roman" w:hAnsi="Times New Roman" w:cs="Times New Roman"/>
          <w:b/>
          <w:bCs/>
          <w:sz w:val="20"/>
          <w:szCs w:val="20"/>
          <w:vertAlign w:val="superscript"/>
        </w:rPr>
        <w:t>]</w:t>
      </w:r>
      <w:r w:rsidRPr="001C356B">
        <w:rPr>
          <w:rFonts w:ascii="Times New Roman" w:hAnsi="Times New Roman" w:cs="Times New Roman"/>
          <w:sz w:val="20"/>
          <w:szCs w:val="20"/>
        </w:rPr>
        <w:t xml:space="preserve"> study the incidence of ALNM with the presence of LVI (P&lt;0.001), larger tum0ur size (P &lt; 0.001), higher hist0lgic grade (P &lt; 0.0001) and no0effect of age. Elsayed M Ali1 et a</w:t>
      </w:r>
      <w:r w:rsidR="001C356B" w:rsidRPr="001C356B">
        <w:rPr>
          <w:rFonts w:ascii="Times New Roman" w:hAnsi="Times New Roman" w:cs="Times New Roman"/>
          <w:sz w:val="20"/>
          <w:szCs w:val="20"/>
        </w:rPr>
        <w:t xml:space="preserve">l </w:t>
      </w:r>
      <w:r w:rsidR="001C356B" w:rsidRPr="001C356B">
        <w:rPr>
          <w:rFonts w:ascii="Times New Roman" w:hAnsi="Times New Roman" w:cs="Times New Roman"/>
          <w:b/>
          <w:bCs/>
          <w:sz w:val="20"/>
          <w:szCs w:val="20"/>
          <w:vertAlign w:val="superscript"/>
        </w:rPr>
        <w:t>[</w:t>
      </w:r>
      <w:hyperlink r:id="rId18" w:anchor="R3" w:history="1">
        <w:r w:rsidRPr="001C356B">
          <w:rPr>
            <w:rFonts w:ascii="Times New Roman" w:hAnsi="Times New Roman" w:cs="Times New Roman"/>
            <w:b/>
            <w:bCs/>
            <w:sz w:val="20"/>
            <w:szCs w:val="20"/>
            <w:vertAlign w:val="superscript"/>
          </w:rPr>
          <w:t>23</w:t>
        </w:r>
      </w:hyperlink>
      <w:r w:rsidRPr="001C356B">
        <w:rPr>
          <w:rFonts w:ascii="Times New Roman" w:hAnsi="Times New Roman" w:cs="Times New Roman"/>
          <w:b/>
          <w:bCs/>
          <w:sz w:val="20"/>
          <w:szCs w:val="20"/>
          <w:vertAlign w:val="superscript"/>
        </w:rPr>
        <w:t>]</w:t>
      </w:r>
      <w:r w:rsidRPr="001C356B">
        <w:rPr>
          <w:rFonts w:ascii="Times New Roman" w:hAnsi="Times New Roman" w:cs="Times New Roman"/>
          <w:sz w:val="20"/>
          <w:szCs w:val="20"/>
        </w:rPr>
        <w:t>study evaluated 258 patients with invasive breast carcinomas, ER and PR expression were dem0nstrated in 78.7% and 76.4%, respectively and over-expression of HER-2/neu was detected in 13.2% of cases. There was a strong c0rrelation between tumor size and tumor grade with lymph node involvement (p= 0.0001 and 0.024, respectively). Triple positive breast cancer is m0re likely to have axillary lymph node metastasis and ER+/PR+/HER-2- (PPN) is the m0st pr0tected group (p&lt;=0.001).</w:t>
      </w:r>
    </w:p>
    <w:p w:rsidR="00E54560" w:rsidRPr="001C356B" w:rsidRDefault="00E54560" w:rsidP="00655CB2">
      <w:pPr>
        <w:bidi w:val="0"/>
        <w:snapToGrid w:val="0"/>
        <w:spacing w:after="0" w:line="240" w:lineRule="auto"/>
        <w:ind w:firstLine="425"/>
        <w:jc w:val="both"/>
        <w:rPr>
          <w:rFonts w:ascii="Times New Roman" w:hAnsi="Times New Roman" w:cs="Times New Roman"/>
          <w:sz w:val="20"/>
          <w:szCs w:val="20"/>
        </w:rPr>
      </w:pPr>
      <w:r w:rsidRPr="001C356B">
        <w:rPr>
          <w:rFonts w:ascii="Times New Roman" w:hAnsi="Times New Roman" w:cs="Times New Roman"/>
          <w:sz w:val="20"/>
          <w:szCs w:val="20"/>
        </w:rPr>
        <w:t>Patani NR, et a</w:t>
      </w:r>
      <w:r w:rsidR="001C356B" w:rsidRPr="001C356B">
        <w:rPr>
          <w:rFonts w:ascii="Times New Roman" w:hAnsi="Times New Roman" w:cs="Times New Roman"/>
          <w:sz w:val="20"/>
          <w:szCs w:val="20"/>
        </w:rPr>
        <w:t xml:space="preserve">l </w:t>
      </w:r>
      <w:r w:rsidR="001C356B" w:rsidRPr="001C356B">
        <w:rPr>
          <w:rFonts w:ascii="Times New Roman" w:hAnsi="Times New Roman" w:cs="Times New Roman"/>
          <w:b/>
          <w:bCs/>
          <w:sz w:val="20"/>
          <w:szCs w:val="20"/>
          <w:vertAlign w:val="superscript"/>
        </w:rPr>
        <w:t>[</w:t>
      </w:r>
      <w:hyperlink r:id="rId19" w:anchor="R3" w:history="1">
        <w:r w:rsidRPr="001C356B">
          <w:rPr>
            <w:rFonts w:ascii="Times New Roman" w:hAnsi="Times New Roman" w:cs="Times New Roman"/>
            <w:b/>
            <w:bCs/>
            <w:sz w:val="20"/>
            <w:szCs w:val="20"/>
            <w:vertAlign w:val="superscript"/>
          </w:rPr>
          <w:t>24</w:t>
        </w:r>
      </w:hyperlink>
      <w:r w:rsidRPr="001C356B">
        <w:rPr>
          <w:rFonts w:ascii="Times New Roman" w:hAnsi="Times New Roman" w:cs="Times New Roman"/>
          <w:b/>
          <w:bCs/>
          <w:sz w:val="20"/>
          <w:szCs w:val="20"/>
          <w:vertAlign w:val="superscript"/>
        </w:rPr>
        <w:t>]</w:t>
      </w:r>
      <w:r w:rsidR="00AB35B5">
        <w:rPr>
          <w:rFonts w:ascii="Times New Roman" w:hAnsi="Times New Roman" w:cs="Times New Roman"/>
          <w:sz w:val="20"/>
          <w:szCs w:val="20"/>
        </w:rPr>
        <w:t xml:space="preserve"> </w:t>
      </w:r>
      <w:r w:rsidRPr="001C356B">
        <w:rPr>
          <w:rFonts w:ascii="Times New Roman" w:hAnsi="Times New Roman" w:cs="Times New Roman"/>
          <w:sz w:val="20"/>
          <w:szCs w:val="20"/>
        </w:rPr>
        <w:t>study evaluated 590 patients with mean age 52 years. P0sitive ALNs were found in 302 patients (51%). Five factors were significantly associated with ALN metastasis; y0unger age, lower mamm0graphic density, higher BI-RA0DS categ0ry, larger tumor size, and</w:t>
      </w:r>
      <w:r w:rsidRPr="001C356B">
        <w:rPr>
          <w:rFonts w:ascii="Times New Roman" w:eastAsia="Times New Roman" w:hAnsi="Times New Roman" w:cs="Times New Roman"/>
          <w:color w:val="231F20"/>
          <w:sz w:val="20"/>
          <w:szCs w:val="20"/>
        </w:rPr>
        <w:t xml:space="preserve"> presence of lymph0vascular invasion.</w:t>
      </w:r>
      <w:hyperlink r:id="rId20" w:history="1">
        <w:r w:rsidRPr="001C356B">
          <w:rPr>
            <w:rFonts w:ascii="Times New Roman" w:hAnsi="Times New Roman" w:cs="Times New Roman"/>
            <w:sz w:val="20"/>
            <w:szCs w:val="20"/>
          </w:rPr>
          <w:t>Tufale</w:t>
        </w:r>
      </w:hyperlink>
      <w:r w:rsidRPr="001C356B">
        <w:rPr>
          <w:rFonts w:ascii="Times New Roman" w:hAnsi="Times New Roman" w:cs="Times New Roman"/>
          <w:sz w:val="20"/>
          <w:szCs w:val="20"/>
        </w:rPr>
        <w:t xml:space="preserve"> et a</w:t>
      </w:r>
      <w:r w:rsidR="001C356B" w:rsidRPr="001C356B">
        <w:rPr>
          <w:rFonts w:ascii="Times New Roman" w:hAnsi="Times New Roman" w:cs="Times New Roman"/>
          <w:sz w:val="20"/>
          <w:szCs w:val="20"/>
        </w:rPr>
        <w:t xml:space="preserve">l </w:t>
      </w:r>
      <w:r w:rsidR="001C356B" w:rsidRPr="001C356B">
        <w:rPr>
          <w:rFonts w:ascii="Times New Roman" w:hAnsi="Times New Roman" w:cs="Times New Roman"/>
          <w:b/>
          <w:bCs/>
          <w:sz w:val="20"/>
          <w:szCs w:val="20"/>
          <w:vertAlign w:val="superscript"/>
        </w:rPr>
        <w:t>[</w:t>
      </w:r>
      <w:hyperlink r:id="rId21" w:anchor="R3" w:history="1">
        <w:r w:rsidRPr="001C356B">
          <w:rPr>
            <w:rFonts w:ascii="Times New Roman" w:hAnsi="Times New Roman" w:cs="Times New Roman"/>
            <w:b/>
            <w:bCs/>
            <w:sz w:val="20"/>
            <w:szCs w:val="20"/>
            <w:vertAlign w:val="superscript"/>
          </w:rPr>
          <w:t>25</w:t>
        </w:r>
      </w:hyperlink>
      <w:r w:rsidRPr="001C356B">
        <w:rPr>
          <w:rFonts w:ascii="Times New Roman" w:hAnsi="Times New Roman" w:cs="Times New Roman"/>
          <w:b/>
          <w:bCs/>
          <w:sz w:val="20"/>
          <w:szCs w:val="20"/>
          <w:vertAlign w:val="superscript"/>
        </w:rPr>
        <w:t>]</w:t>
      </w:r>
      <w:r w:rsidRPr="001C356B">
        <w:rPr>
          <w:rFonts w:ascii="Times New Roman" w:hAnsi="Times New Roman" w:cs="Times New Roman"/>
          <w:sz w:val="20"/>
          <w:szCs w:val="20"/>
        </w:rPr>
        <w:t>evaluated the correlation of various clinicopath</w:t>
      </w:r>
      <w:r w:rsidR="00B61CD9">
        <w:rPr>
          <w:rFonts w:ascii="Times New Roman" w:hAnsi="Times New Roman" w:cs="Times New Roman" w:hint="eastAsia"/>
          <w:sz w:val="20"/>
          <w:szCs w:val="20"/>
          <w:lang w:eastAsia="zh-CN"/>
        </w:rPr>
        <w:t>olo</w:t>
      </w:r>
      <w:r w:rsidRPr="001C356B">
        <w:rPr>
          <w:rFonts w:ascii="Times New Roman" w:hAnsi="Times New Roman" w:cs="Times New Roman"/>
          <w:sz w:val="20"/>
          <w:szCs w:val="20"/>
        </w:rPr>
        <w:t>gical variables with axillary nodal involvement in T1 breast cancer. tumor size, L0VI, histological grade, tumor palpability</w:t>
      </w:r>
      <w:r w:rsidR="001C356B" w:rsidRPr="001C356B">
        <w:rPr>
          <w:rFonts w:ascii="Times New Roman" w:hAnsi="Times New Roman" w:cs="Times New Roman"/>
          <w:sz w:val="20"/>
          <w:szCs w:val="20"/>
        </w:rPr>
        <w:t>&amp;</w:t>
      </w:r>
      <w:r w:rsidRPr="001C356B">
        <w:rPr>
          <w:rFonts w:ascii="Times New Roman" w:hAnsi="Times New Roman" w:cs="Times New Roman"/>
          <w:sz w:val="20"/>
          <w:szCs w:val="20"/>
        </w:rPr>
        <w:t>ER/P0R/Her2 receptor pr</w:t>
      </w:r>
      <w:r w:rsidR="00B61CD9">
        <w:rPr>
          <w:rFonts w:ascii="Times New Roman" w:hAnsi="Times New Roman" w:cs="Times New Roman" w:hint="eastAsia"/>
          <w:sz w:val="20"/>
          <w:szCs w:val="20"/>
          <w:lang w:eastAsia="zh-CN"/>
        </w:rPr>
        <w:t>o</w:t>
      </w:r>
      <w:r w:rsidRPr="001C356B">
        <w:rPr>
          <w:rFonts w:ascii="Times New Roman" w:hAnsi="Times New Roman" w:cs="Times New Roman"/>
          <w:sz w:val="20"/>
          <w:szCs w:val="20"/>
        </w:rPr>
        <w:t>file were found t</w:t>
      </w:r>
      <w:r w:rsidR="00B61CD9">
        <w:rPr>
          <w:rFonts w:ascii="Times New Roman" w:hAnsi="Times New Roman" w:cs="Times New Roman"/>
          <w:sz w:val="20"/>
          <w:szCs w:val="20"/>
        </w:rPr>
        <w:t>o</w:t>
      </w:r>
      <w:r w:rsidRPr="001C356B">
        <w:rPr>
          <w:rFonts w:ascii="Times New Roman" w:hAnsi="Times New Roman" w:cs="Times New Roman"/>
          <w:sz w:val="20"/>
          <w:szCs w:val="20"/>
        </w:rPr>
        <w:t xml:space="preserve"> be significantly ass</w:t>
      </w:r>
      <w:r w:rsidR="00B61CD9">
        <w:rPr>
          <w:rFonts w:ascii="Times New Roman" w:hAnsi="Times New Roman" w:cs="Times New Roman" w:hint="eastAsia"/>
          <w:sz w:val="20"/>
          <w:szCs w:val="20"/>
          <w:lang w:eastAsia="zh-CN"/>
        </w:rPr>
        <w:t>o</w:t>
      </w:r>
      <w:r w:rsidRPr="001C356B">
        <w:rPr>
          <w:rFonts w:ascii="Times New Roman" w:hAnsi="Times New Roman" w:cs="Times New Roman"/>
          <w:sz w:val="20"/>
          <w:szCs w:val="20"/>
        </w:rPr>
        <w:t xml:space="preserve">ciated with axillary lymph node involvement (AL0NI) and also found that age </w:t>
      </w:r>
      <w:r w:rsidR="00B61CD9">
        <w:rPr>
          <w:rFonts w:ascii="Times New Roman" w:hAnsi="Times New Roman" w:cs="Times New Roman"/>
          <w:sz w:val="20"/>
          <w:szCs w:val="20"/>
        </w:rPr>
        <w:t>o</w:t>
      </w:r>
      <w:r w:rsidRPr="001C356B">
        <w:rPr>
          <w:rFonts w:ascii="Times New Roman" w:hAnsi="Times New Roman" w:cs="Times New Roman"/>
          <w:sz w:val="20"/>
          <w:szCs w:val="20"/>
        </w:rPr>
        <w:t>f the patient, family hist</w:t>
      </w:r>
      <w:r w:rsidR="00B61CD9">
        <w:rPr>
          <w:rFonts w:ascii="Times New Roman" w:hAnsi="Times New Roman" w:cs="Times New Roman" w:hint="eastAsia"/>
          <w:sz w:val="20"/>
          <w:szCs w:val="20"/>
          <w:lang w:eastAsia="zh-CN"/>
        </w:rPr>
        <w:t>o</w:t>
      </w:r>
      <w:r w:rsidR="00B61CD9">
        <w:rPr>
          <w:rFonts w:ascii="Times New Roman" w:hAnsi="Times New Roman" w:cs="Times New Roman"/>
          <w:sz w:val="20"/>
          <w:szCs w:val="20"/>
        </w:rPr>
        <w:t>ry a</w:t>
      </w:r>
      <w:r w:rsidR="00B61CD9">
        <w:rPr>
          <w:rFonts w:ascii="Times New Roman" w:hAnsi="Times New Roman" w:cs="Times New Roman" w:hint="eastAsia"/>
          <w:sz w:val="20"/>
          <w:szCs w:val="20"/>
          <w:lang w:eastAsia="zh-CN"/>
        </w:rPr>
        <w:t>n</w:t>
      </w:r>
      <w:r w:rsidRPr="001C356B">
        <w:rPr>
          <w:rFonts w:ascii="Times New Roman" w:hAnsi="Times New Roman" w:cs="Times New Roman"/>
          <w:sz w:val="20"/>
          <w:szCs w:val="20"/>
        </w:rPr>
        <w:t>d histological type of tumor were not significantly c</w:t>
      </w:r>
      <w:r w:rsidR="00B61CD9">
        <w:rPr>
          <w:rFonts w:ascii="Times New Roman" w:hAnsi="Times New Roman" w:cs="Times New Roman" w:hint="eastAsia"/>
          <w:sz w:val="20"/>
          <w:szCs w:val="20"/>
          <w:lang w:eastAsia="zh-CN"/>
        </w:rPr>
        <w:t>o</w:t>
      </w:r>
      <w:r w:rsidRPr="001C356B">
        <w:rPr>
          <w:rFonts w:ascii="Times New Roman" w:hAnsi="Times New Roman" w:cs="Times New Roman"/>
          <w:sz w:val="20"/>
          <w:szCs w:val="20"/>
        </w:rPr>
        <w:t>rrelated with AL0NI.</w:t>
      </w:r>
    </w:p>
    <w:p w:rsidR="00E54560" w:rsidRPr="001C356B" w:rsidRDefault="00E54560" w:rsidP="00655CB2">
      <w:pPr>
        <w:bidi w:val="0"/>
        <w:snapToGrid w:val="0"/>
        <w:spacing w:after="0" w:line="240" w:lineRule="auto"/>
        <w:jc w:val="both"/>
        <w:rPr>
          <w:rFonts w:ascii="Times New Roman" w:eastAsia="Times New Roman" w:hAnsi="Times New Roman" w:cs="Times New Roman"/>
          <w:b/>
          <w:bCs/>
          <w:sz w:val="20"/>
          <w:szCs w:val="20"/>
        </w:rPr>
      </w:pPr>
    </w:p>
    <w:p w:rsidR="00E54560" w:rsidRPr="001C356B" w:rsidRDefault="00E54560" w:rsidP="00655CB2">
      <w:pPr>
        <w:bidi w:val="0"/>
        <w:snapToGrid w:val="0"/>
        <w:spacing w:after="0" w:line="240" w:lineRule="auto"/>
        <w:jc w:val="both"/>
        <w:rPr>
          <w:rFonts w:ascii="Times New Roman" w:hAnsi="Times New Roman" w:cs="Times New Roman"/>
          <w:b/>
          <w:bCs/>
          <w:sz w:val="20"/>
          <w:szCs w:val="20"/>
          <w:lang w:bidi="ar-EG"/>
        </w:rPr>
      </w:pPr>
      <w:r w:rsidRPr="001C356B">
        <w:rPr>
          <w:rFonts w:ascii="Times New Roman" w:eastAsia="Times New Roman" w:hAnsi="Times New Roman" w:cs="Times New Roman"/>
          <w:b/>
          <w:bCs/>
          <w:sz w:val="20"/>
          <w:szCs w:val="20"/>
        </w:rPr>
        <w:t>Conclusion:</w:t>
      </w:r>
    </w:p>
    <w:p w:rsidR="00E54560" w:rsidRPr="001C356B" w:rsidRDefault="00E54560" w:rsidP="00655CB2">
      <w:pPr>
        <w:bidi w:val="0"/>
        <w:snapToGrid w:val="0"/>
        <w:spacing w:after="0" w:line="240" w:lineRule="auto"/>
        <w:ind w:firstLine="425"/>
        <w:jc w:val="both"/>
        <w:rPr>
          <w:rFonts w:ascii="Times New Roman" w:eastAsia="Times New Roman" w:hAnsi="Times New Roman" w:cs="Times New Roman"/>
          <w:sz w:val="20"/>
          <w:szCs w:val="20"/>
          <w:lang w:bidi="ar-EG"/>
        </w:rPr>
      </w:pPr>
      <w:r w:rsidRPr="001C356B">
        <w:rPr>
          <w:rFonts w:ascii="Times New Roman" w:eastAsia="Times New Roman" w:hAnsi="Times New Roman" w:cs="Times New Roman"/>
          <w:sz w:val="20"/>
          <w:szCs w:val="20"/>
        </w:rPr>
        <w:t>Analysis of breast cancer subtypes i</w:t>
      </w:r>
      <w:r w:rsidR="00655CB2" w:rsidRPr="001C356B">
        <w:rPr>
          <w:rFonts w:ascii="Times New Roman" w:eastAsia="Times New Roman" w:hAnsi="Times New Roman" w:cs="Times New Roman"/>
          <w:sz w:val="20"/>
          <w:szCs w:val="20"/>
        </w:rPr>
        <w:t>sI</w:t>
      </w:r>
      <w:r w:rsidRPr="001C356B">
        <w:rPr>
          <w:rFonts w:ascii="Times New Roman" w:eastAsia="Times New Roman" w:hAnsi="Times New Roman" w:cs="Times New Roman"/>
          <w:sz w:val="20"/>
          <w:szCs w:val="20"/>
        </w:rPr>
        <w:t>mportant, because it pr</w:t>
      </w:r>
      <w:r w:rsidR="00B61CD9">
        <w:rPr>
          <w:rFonts w:ascii="Times New Roman" w:eastAsia="Times New Roman" w:hAnsi="Times New Roman" w:cs="Times New Roman"/>
          <w:sz w:val="20"/>
          <w:szCs w:val="20"/>
        </w:rPr>
        <w:t>o</w:t>
      </w:r>
      <w:r w:rsidRPr="001C356B">
        <w:rPr>
          <w:rFonts w:ascii="Times New Roman" w:eastAsia="Times New Roman" w:hAnsi="Times New Roman" w:cs="Times New Roman"/>
          <w:sz w:val="20"/>
          <w:szCs w:val="20"/>
        </w:rPr>
        <w:t>vides valuable pr</w:t>
      </w:r>
      <w:r w:rsidR="00B61CD9">
        <w:rPr>
          <w:rFonts w:ascii="Times New Roman" w:hAnsi="Times New Roman" w:cs="Times New Roman" w:hint="eastAsia"/>
          <w:sz w:val="20"/>
          <w:szCs w:val="20"/>
          <w:lang w:eastAsia="zh-CN"/>
        </w:rPr>
        <w:t>o</w:t>
      </w:r>
      <w:r w:rsidRPr="001C356B">
        <w:rPr>
          <w:rFonts w:ascii="Times New Roman" w:eastAsia="Times New Roman" w:hAnsi="Times New Roman" w:cs="Times New Roman"/>
          <w:sz w:val="20"/>
          <w:szCs w:val="20"/>
        </w:rPr>
        <w:t>gnostic and predictive inf</w:t>
      </w:r>
      <w:r w:rsidR="00B61CD9">
        <w:rPr>
          <w:rFonts w:ascii="Times New Roman" w:eastAsia="Times New Roman" w:hAnsi="Times New Roman" w:cs="Times New Roman"/>
          <w:sz w:val="20"/>
          <w:szCs w:val="20"/>
        </w:rPr>
        <w:t>o</w:t>
      </w:r>
      <w:r w:rsidRPr="001C356B">
        <w:rPr>
          <w:rFonts w:ascii="Times New Roman" w:eastAsia="Times New Roman" w:hAnsi="Times New Roman" w:cs="Times New Roman"/>
          <w:sz w:val="20"/>
          <w:szCs w:val="20"/>
        </w:rPr>
        <w:t xml:space="preserve">rmation's. </w:t>
      </w:r>
      <w:r w:rsidR="00B61CD9">
        <w:rPr>
          <w:rFonts w:ascii="Times New Roman" w:eastAsia="Times New Roman" w:hAnsi="Times New Roman" w:cs="Times New Roman"/>
          <w:sz w:val="20"/>
          <w:szCs w:val="20"/>
        </w:rPr>
        <w:t>o</w:t>
      </w:r>
      <w:r w:rsidRPr="001C356B">
        <w:rPr>
          <w:rFonts w:ascii="Times New Roman" w:eastAsia="Times New Roman" w:hAnsi="Times New Roman" w:cs="Times New Roman"/>
          <w:sz w:val="20"/>
          <w:szCs w:val="20"/>
        </w:rPr>
        <w:t>ur results sh</w:t>
      </w:r>
      <w:r w:rsidR="00B61CD9">
        <w:rPr>
          <w:rFonts w:ascii="Times New Roman" w:hAnsi="Times New Roman" w:cs="Times New Roman" w:hint="eastAsia"/>
          <w:sz w:val="20"/>
          <w:szCs w:val="20"/>
          <w:lang w:eastAsia="zh-CN"/>
        </w:rPr>
        <w:t>o</w:t>
      </w:r>
      <w:r w:rsidRPr="001C356B">
        <w:rPr>
          <w:rFonts w:ascii="Times New Roman" w:eastAsia="Times New Roman" w:hAnsi="Times New Roman" w:cs="Times New Roman"/>
          <w:sz w:val="20"/>
          <w:szCs w:val="20"/>
        </w:rPr>
        <w:t>wed that, luminal B, HER2/neu positive, tum</w:t>
      </w:r>
      <w:r w:rsidR="00B61CD9">
        <w:rPr>
          <w:rFonts w:ascii="Times New Roman" w:hAnsi="Times New Roman" w:cs="Times New Roman" w:hint="eastAsia"/>
          <w:sz w:val="20"/>
          <w:szCs w:val="20"/>
          <w:lang w:eastAsia="zh-CN"/>
        </w:rPr>
        <w:t>o</w:t>
      </w:r>
      <w:r w:rsidRPr="001C356B">
        <w:rPr>
          <w:rFonts w:ascii="Times New Roman" w:eastAsia="Times New Roman" w:hAnsi="Times New Roman" w:cs="Times New Roman"/>
          <w:sz w:val="20"/>
          <w:szCs w:val="20"/>
        </w:rPr>
        <w:t>r size an</w:t>
      </w:r>
      <w:r w:rsidR="00655CB2" w:rsidRPr="001C356B">
        <w:rPr>
          <w:rFonts w:ascii="Times New Roman" w:eastAsia="Times New Roman" w:hAnsi="Times New Roman" w:cs="Times New Roman"/>
          <w:sz w:val="20"/>
          <w:szCs w:val="20"/>
        </w:rPr>
        <w:t>dL</w:t>
      </w:r>
      <w:r w:rsidRPr="001C356B">
        <w:rPr>
          <w:rFonts w:ascii="Times New Roman" w:eastAsia="Times New Roman" w:hAnsi="Times New Roman" w:cs="Times New Roman"/>
          <w:sz w:val="20"/>
          <w:szCs w:val="20"/>
        </w:rPr>
        <w:t>VI are independent prognostic factors fo</w:t>
      </w:r>
      <w:r w:rsidR="00655CB2" w:rsidRPr="001C356B">
        <w:rPr>
          <w:rFonts w:ascii="Times New Roman" w:eastAsia="Times New Roman" w:hAnsi="Times New Roman" w:cs="Times New Roman"/>
          <w:sz w:val="20"/>
          <w:szCs w:val="20"/>
        </w:rPr>
        <w:t>rA</w:t>
      </w:r>
      <w:r w:rsidR="00B61CD9">
        <w:rPr>
          <w:rFonts w:ascii="Times New Roman" w:eastAsia="Times New Roman" w:hAnsi="Times New Roman" w:cs="Times New Roman"/>
          <w:sz w:val="20"/>
          <w:szCs w:val="20"/>
        </w:rPr>
        <w:t xml:space="preserve">LN </w:t>
      </w:r>
      <w:r w:rsidR="00CA46B3">
        <w:rPr>
          <w:rFonts w:ascii="Times New Roman" w:eastAsia="Times New Roman" w:hAnsi="Times New Roman" w:cs="Times New Roman"/>
          <w:sz w:val="20"/>
          <w:szCs w:val="20"/>
        </w:rPr>
        <w:t>met</w:t>
      </w:r>
      <w:r w:rsidR="00CA46B3">
        <w:rPr>
          <w:rFonts w:ascii="Times New Roman" w:hAnsi="Times New Roman" w:cs="Times New Roman"/>
          <w:sz w:val="20"/>
          <w:szCs w:val="20"/>
          <w:lang w:eastAsia="zh-CN"/>
        </w:rPr>
        <w:t>a</w:t>
      </w:r>
      <w:r w:rsidR="00CA46B3" w:rsidRPr="001C356B">
        <w:rPr>
          <w:rFonts w:ascii="Times New Roman" w:eastAsia="Times New Roman" w:hAnsi="Times New Roman" w:cs="Times New Roman"/>
          <w:sz w:val="20"/>
          <w:szCs w:val="20"/>
        </w:rPr>
        <w:t>stases</w:t>
      </w:r>
      <w:bookmarkStart w:id="0" w:name="_GoBack"/>
      <w:bookmarkEnd w:id="0"/>
      <w:r w:rsidR="00655CB2" w:rsidRPr="001C356B">
        <w:rPr>
          <w:rFonts w:ascii="Times New Roman" w:eastAsia="Times New Roman" w:hAnsi="Times New Roman" w:cs="Times New Roman"/>
          <w:sz w:val="20"/>
          <w:szCs w:val="20"/>
        </w:rPr>
        <w:t>.F</w:t>
      </w:r>
      <w:r w:rsidRPr="001C356B">
        <w:rPr>
          <w:rFonts w:ascii="Times New Roman" w:eastAsia="Times New Roman" w:hAnsi="Times New Roman" w:cs="Times New Roman"/>
          <w:sz w:val="20"/>
          <w:szCs w:val="20"/>
        </w:rPr>
        <w:t>urther c</w:t>
      </w:r>
      <w:r w:rsidR="00B61CD9">
        <w:rPr>
          <w:rFonts w:ascii="Times New Roman" w:eastAsia="Times New Roman" w:hAnsi="Times New Roman" w:cs="Times New Roman"/>
          <w:sz w:val="20"/>
          <w:szCs w:val="20"/>
        </w:rPr>
        <w:t>o</w:t>
      </w:r>
      <w:r w:rsidRPr="001C356B">
        <w:rPr>
          <w:rFonts w:ascii="Times New Roman" w:eastAsia="Times New Roman" w:hAnsi="Times New Roman" w:cs="Times New Roman"/>
          <w:sz w:val="20"/>
          <w:szCs w:val="20"/>
        </w:rPr>
        <w:t>nfirmatory studies are necessary to define factors that predict ALN metastases.</w:t>
      </w:r>
    </w:p>
    <w:p w:rsidR="00F11597" w:rsidRDefault="00F11597" w:rsidP="00655CB2">
      <w:pPr>
        <w:bidi w:val="0"/>
        <w:snapToGrid w:val="0"/>
        <w:spacing w:after="0" w:line="240" w:lineRule="auto"/>
        <w:jc w:val="both"/>
        <w:rPr>
          <w:rFonts w:ascii="Times New Roman" w:hAnsi="Times New Roman" w:cs="Times New Roman"/>
          <w:b/>
          <w:bCs/>
          <w:sz w:val="20"/>
          <w:szCs w:val="20"/>
          <w:lang w:eastAsia="zh-CN" w:bidi="ar-EG"/>
        </w:rPr>
      </w:pPr>
    </w:p>
    <w:p w:rsidR="00B61CD9" w:rsidRPr="00B61CD9" w:rsidRDefault="00B61CD9" w:rsidP="00B61CD9">
      <w:pPr>
        <w:bidi w:val="0"/>
        <w:snapToGrid w:val="0"/>
        <w:spacing w:after="0" w:line="240" w:lineRule="auto"/>
        <w:jc w:val="both"/>
        <w:rPr>
          <w:rFonts w:ascii="Times New Roman" w:hAnsi="Times New Roman" w:cs="Times New Roman"/>
          <w:b/>
          <w:bCs/>
          <w:sz w:val="20"/>
          <w:szCs w:val="20"/>
          <w:lang w:eastAsia="zh-CN" w:bidi="ar-EG"/>
        </w:rPr>
      </w:pPr>
    </w:p>
    <w:p w:rsidR="005408E9" w:rsidRPr="001C356B" w:rsidRDefault="003E4A04" w:rsidP="00655CB2">
      <w:pPr>
        <w:bidi w:val="0"/>
        <w:snapToGrid w:val="0"/>
        <w:spacing w:after="0" w:line="240" w:lineRule="auto"/>
        <w:ind w:left="425" w:hanging="425"/>
        <w:jc w:val="both"/>
        <w:rPr>
          <w:rFonts w:ascii="Times New Roman" w:eastAsia="Times New Roman" w:hAnsi="Times New Roman" w:cs="Times New Roman"/>
          <w:b/>
          <w:bCs/>
          <w:sz w:val="20"/>
          <w:szCs w:val="20"/>
        </w:rPr>
      </w:pPr>
      <w:r w:rsidRPr="001C356B">
        <w:rPr>
          <w:rFonts w:ascii="Times New Roman" w:eastAsia="Times New Roman" w:hAnsi="Times New Roman" w:cs="Times New Roman"/>
          <w:b/>
          <w:bCs/>
          <w:sz w:val="20"/>
          <w:szCs w:val="20"/>
        </w:rPr>
        <w:lastRenderedPageBreak/>
        <w:t>References</w:t>
      </w:r>
      <w:r w:rsidR="005408E9" w:rsidRPr="001C356B">
        <w:rPr>
          <w:rFonts w:ascii="Times New Roman" w:eastAsia="Times New Roman" w:hAnsi="Times New Roman" w:cs="Times New Roman"/>
          <w:b/>
          <w:bCs/>
          <w:sz w:val="20"/>
          <w:szCs w:val="20"/>
        </w:rPr>
        <w:t>:</w:t>
      </w:r>
    </w:p>
    <w:p w:rsidR="00AB35B5" w:rsidRPr="00655CB2" w:rsidRDefault="00AB35B5" w:rsidP="00AB35B5">
      <w:pPr>
        <w:pStyle w:val="ListParagraph"/>
        <w:numPr>
          <w:ilvl w:val="0"/>
          <w:numId w:val="3"/>
        </w:numPr>
        <w:bidi w:val="0"/>
        <w:snapToGrid w:val="0"/>
        <w:spacing w:after="0" w:line="240" w:lineRule="auto"/>
        <w:ind w:left="425" w:hanging="425"/>
        <w:jc w:val="both"/>
        <w:rPr>
          <w:rFonts w:ascii="Times New Roman" w:eastAsia="MS Mincho" w:hAnsi="Times New Roman" w:cs="Times New Roman"/>
          <w:sz w:val="20"/>
          <w:szCs w:val="20"/>
        </w:rPr>
      </w:pPr>
      <w:r w:rsidRPr="00655CB2">
        <w:rPr>
          <w:rFonts w:ascii="Times New Roman" w:eastAsia="MS Mincho" w:hAnsi="Times New Roman" w:cs="Times New Roman"/>
          <w:sz w:val="20"/>
          <w:szCs w:val="20"/>
        </w:rPr>
        <w:t>Carey L A, Perou C M, Livasy C A,</w:t>
      </w:r>
      <w:r>
        <w:rPr>
          <w:rFonts w:ascii="Times New Roman" w:eastAsia="MS Mincho" w:hAnsi="Times New Roman" w:cs="Times New Roman"/>
          <w:sz w:val="20"/>
          <w:szCs w:val="20"/>
        </w:rPr>
        <w:t xml:space="preserve"> </w:t>
      </w:r>
      <w:r w:rsidRPr="00655CB2">
        <w:rPr>
          <w:rFonts w:ascii="Times New Roman" w:eastAsia="MS Mincho" w:hAnsi="Times New Roman" w:cs="Times New Roman"/>
          <w:sz w:val="20"/>
          <w:szCs w:val="20"/>
        </w:rPr>
        <w:t>et al. Race,</w:t>
      </w:r>
      <w:r>
        <w:rPr>
          <w:rFonts w:ascii="Times New Roman" w:eastAsia="MS Mincho" w:hAnsi="Times New Roman" w:cs="Times New Roman"/>
          <w:sz w:val="20"/>
          <w:szCs w:val="20"/>
        </w:rPr>
        <w:t xml:space="preserve"> </w:t>
      </w:r>
      <w:r w:rsidRPr="00655CB2">
        <w:rPr>
          <w:rFonts w:ascii="Times New Roman" w:eastAsia="MS Mincho" w:hAnsi="Times New Roman" w:cs="Times New Roman"/>
          <w:sz w:val="20"/>
          <w:szCs w:val="20"/>
        </w:rPr>
        <w:t>breast cancer subtypes and survival in the Carolina breast cancer study. JAMA, 295: 2492- 502, 2006.</w:t>
      </w:r>
    </w:p>
    <w:p w:rsidR="00AB35B5" w:rsidRPr="00655CB2" w:rsidRDefault="00AB35B5" w:rsidP="00AB35B5">
      <w:pPr>
        <w:pStyle w:val="ListParagraph"/>
        <w:numPr>
          <w:ilvl w:val="0"/>
          <w:numId w:val="3"/>
        </w:numPr>
        <w:bidi w:val="0"/>
        <w:snapToGrid w:val="0"/>
        <w:spacing w:after="0" w:line="240" w:lineRule="auto"/>
        <w:ind w:left="425" w:hanging="425"/>
        <w:jc w:val="both"/>
        <w:rPr>
          <w:rFonts w:ascii="Times New Roman" w:eastAsia="MS Mincho" w:hAnsi="Times New Roman" w:cs="Times New Roman"/>
          <w:sz w:val="20"/>
          <w:szCs w:val="20"/>
        </w:rPr>
      </w:pPr>
      <w:r w:rsidRPr="00655CB2">
        <w:rPr>
          <w:rFonts w:ascii="Times New Roman" w:eastAsia="MS Mincho" w:hAnsi="Times New Roman" w:cs="Times New Roman"/>
          <w:sz w:val="20"/>
          <w:szCs w:val="20"/>
        </w:rPr>
        <w:t>Grann VR, Troxel AB, Zojwalla</w:t>
      </w:r>
      <w:r>
        <w:rPr>
          <w:rFonts w:ascii="Times New Roman" w:eastAsia="MS Mincho" w:hAnsi="Times New Roman" w:cs="Times New Roman"/>
          <w:sz w:val="20"/>
          <w:szCs w:val="20"/>
        </w:rPr>
        <w:t xml:space="preserve"> </w:t>
      </w:r>
      <w:r w:rsidRPr="00655CB2">
        <w:rPr>
          <w:rFonts w:ascii="Times New Roman" w:eastAsia="MS Mincho" w:hAnsi="Times New Roman" w:cs="Times New Roman"/>
          <w:sz w:val="20"/>
          <w:szCs w:val="20"/>
        </w:rPr>
        <w:t>NJet al.</w:t>
      </w:r>
      <w:r>
        <w:rPr>
          <w:rFonts w:ascii="Times New Roman" w:eastAsia="MS Mincho" w:hAnsi="Times New Roman" w:cs="Times New Roman"/>
          <w:sz w:val="20"/>
          <w:szCs w:val="20"/>
        </w:rPr>
        <w:t xml:space="preserve"> </w:t>
      </w:r>
      <w:r w:rsidRPr="00655CB2">
        <w:rPr>
          <w:rFonts w:ascii="Times New Roman" w:eastAsia="MS Mincho" w:hAnsi="Times New Roman" w:cs="Times New Roman"/>
          <w:sz w:val="20"/>
          <w:szCs w:val="20"/>
        </w:rPr>
        <w:t>Hormone receptor status and survival in a population- based cohort of patients with breast carcinoma. Cancer, 103(11): 2241- 51, 2005</w:t>
      </w:r>
      <w:r>
        <w:rPr>
          <w:rFonts w:ascii="Times New Roman" w:hAnsi="Times New Roman" w:cs="Times New Roman" w:hint="eastAsia"/>
          <w:sz w:val="20"/>
          <w:szCs w:val="20"/>
          <w:lang w:eastAsia="zh-CN"/>
        </w:rPr>
        <w:t>.</w:t>
      </w:r>
      <w:r w:rsidRPr="00655CB2">
        <w:rPr>
          <w:rFonts w:ascii="Times New Roman" w:eastAsia="MS Mincho" w:hAnsi="Times New Roman" w:cs="Times New Roman"/>
          <w:sz w:val="20"/>
          <w:szCs w:val="20"/>
        </w:rPr>
        <w:t xml:space="preserve"> </w:t>
      </w:r>
    </w:p>
    <w:p w:rsidR="00AB35B5" w:rsidRPr="00655CB2" w:rsidRDefault="00AB35B5" w:rsidP="00AB35B5">
      <w:pPr>
        <w:pStyle w:val="ListParagraph"/>
        <w:numPr>
          <w:ilvl w:val="0"/>
          <w:numId w:val="3"/>
        </w:numPr>
        <w:bidi w:val="0"/>
        <w:snapToGrid w:val="0"/>
        <w:spacing w:after="0" w:line="240" w:lineRule="auto"/>
        <w:ind w:left="425" w:hanging="425"/>
        <w:jc w:val="both"/>
        <w:rPr>
          <w:rFonts w:ascii="Times New Roman" w:eastAsia="MS Mincho" w:hAnsi="Times New Roman" w:cs="Times New Roman"/>
          <w:sz w:val="20"/>
          <w:szCs w:val="20"/>
        </w:rPr>
      </w:pPr>
      <w:r w:rsidRPr="00655CB2">
        <w:rPr>
          <w:rFonts w:ascii="Times New Roman" w:eastAsia="MS Mincho" w:hAnsi="Times New Roman" w:cs="Times New Roman"/>
          <w:sz w:val="20"/>
          <w:szCs w:val="20"/>
        </w:rPr>
        <w:t>Esteva FJ, Hortobagyi GN. Prognostic molecular markers in early breast cancer.</w:t>
      </w:r>
      <w:r>
        <w:rPr>
          <w:rFonts w:ascii="Times New Roman" w:eastAsia="MS Mincho" w:hAnsi="Times New Roman" w:cs="Times New Roman"/>
          <w:sz w:val="20"/>
          <w:szCs w:val="20"/>
        </w:rPr>
        <w:t xml:space="preserve"> </w:t>
      </w:r>
      <w:r w:rsidRPr="00655CB2">
        <w:rPr>
          <w:rFonts w:ascii="Times New Roman" w:eastAsia="MS Mincho" w:hAnsi="Times New Roman" w:cs="Times New Roman"/>
          <w:sz w:val="20"/>
          <w:szCs w:val="20"/>
        </w:rPr>
        <w:t>Breast Cancer Res. 2004; 6: 109- 18, 2004.</w:t>
      </w:r>
    </w:p>
    <w:p w:rsidR="00AB35B5" w:rsidRPr="00655CB2" w:rsidRDefault="00AB35B5" w:rsidP="00AB35B5">
      <w:pPr>
        <w:pStyle w:val="ListParagraph"/>
        <w:numPr>
          <w:ilvl w:val="0"/>
          <w:numId w:val="3"/>
        </w:numPr>
        <w:bidi w:val="0"/>
        <w:snapToGrid w:val="0"/>
        <w:spacing w:after="0" w:line="240" w:lineRule="auto"/>
        <w:ind w:left="425" w:hanging="425"/>
        <w:jc w:val="both"/>
        <w:rPr>
          <w:rFonts w:ascii="Times New Roman" w:eastAsia="MS Mincho" w:hAnsi="Times New Roman" w:cs="Times New Roman"/>
          <w:sz w:val="20"/>
          <w:szCs w:val="20"/>
        </w:rPr>
      </w:pPr>
      <w:r w:rsidRPr="00655CB2">
        <w:rPr>
          <w:rFonts w:ascii="Times New Roman" w:eastAsia="MS Mincho" w:hAnsi="Times New Roman" w:cs="Times New Roman"/>
          <w:sz w:val="20"/>
          <w:szCs w:val="20"/>
        </w:rPr>
        <w:t>Ross JS, Fletcher JA,</w:t>
      </w:r>
      <w:r>
        <w:rPr>
          <w:rFonts w:ascii="Times New Roman" w:eastAsia="MS Mincho" w:hAnsi="Times New Roman" w:cs="Times New Roman"/>
          <w:sz w:val="20"/>
          <w:szCs w:val="20"/>
        </w:rPr>
        <w:t xml:space="preserve"> </w:t>
      </w:r>
      <w:r w:rsidRPr="00655CB2">
        <w:rPr>
          <w:rFonts w:ascii="Times New Roman" w:eastAsia="MS Mincho" w:hAnsi="Times New Roman" w:cs="Times New Roman"/>
          <w:sz w:val="20"/>
          <w:szCs w:val="20"/>
        </w:rPr>
        <w:t>Linette</w:t>
      </w:r>
      <w:r>
        <w:rPr>
          <w:rFonts w:ascii="Times New Roman" w:eastAsia="MS Mincho" w:hAnsi="Times New Roman" w:cs="Times New Roman"/>
          <w:sz w:val="20"/>
          <w:szCs w:val="20"/>
        </w:rPr>
        <w:t xml:space="preserve"> </w:t>
      </w:r>
      <w:r w:rsidRPr="00655CB2">
        <w:rPr>
          <w:rFonts w:ascii="Times New Roman" w:eastAsia="MS Mincho" w:hAnsi="Times New Roman" w:cs="Times New Roman"/>
          <w:sz w:val="20"/>
          <w:szCs w:val="20"/>
        </w:rPr>
        <w:t>GP.</w:t>
      </w:r>
      <w:r>
        <w:rPr>
          <w:rFonts w:ascii="Times New Roman" w:eastAsia="MS Mincho" w:hAnsi="Times New Roman" w:cs="Times New Roman"/>
          <w:sz w:val="20"/>
          <w:szCs w:val="20"/>
        </w:rPr>
        <w:t xml:space="preserve"> </w:t>
      </w:r>
      <w:r w:rsidRPr="00655CB2">
        <w:rPr>
          <w:rFonts w:ascii="Times New Roman" w:eastAsia="MS Mincho" w:hAnsi="Times New Roman" w:cs="Times New Roman"/>
          <w:sz w:val="20"/>
          <w:szCs w:val="20"/>
        </w:rPr>
        <w:t xml:space="preserve">The HER-2 gene and protein in breast cancer: biomarker and target of therapy. Rev Oncologist, 8: 307- 25, 2003. </w:t>
      </w:r>
    </w:p>
    <w:p w:rsidR="00AB35B5" w:rsidRPr="00655CB2" w:rsidRDefault="00AB35B5" w:rsidP="00AB35B5">
      <w:pPr>
        <w:pStyle w:val="ListParagraph"/>
        <w:numPr>
          <w:ilvl w:val="0"/>
          <w:numId w:val="3"/>
        </w:numPr>
        <w:bidi w:val="0"/>
        <w:snapToGrid w:val="0"/>
        <w:spacing w:after="0" w:line="240" w:lineRule="auto"/>
        <w:ind w:left="425" w:hanging="425"/>
        <w:jc w:val="both"/>
        <w:rPr>
          <w:rFonts w:ascii="Times New Roman" w:eastAsia="MS Mincho" w:hAnsi="Times New Roman" w:cs="Times New Roman"/>
          <w:sz w:val="20"/>
          <w:szCs w:val="20"/>
        </w:rPr>
      </w:pPr>
      <w:r w:rsidRPr="00655CB2">
        <w:rPr>
          <w:rFonts w:ascii="Times New Roman" w:eastAsia="MS Mincho" w:hAnsi="Times New Roman" w:cs="Times New Roman"/>
          <w:sz w:val="20"/>
          <w:szCs w:val="20"/>
        </w:rPr>
        <w:t>Sorlie</w:t>
      </w:r>
      <w:r>
        <w:rPr>
          <w:rFonts w:ascii="Times New Roman" w:eastAsia="MS Mincho" w:hAnsi="Times New Roman" w:cs="Times New Roman"/>
          <w:sz w:val="20"/>
          <w:szCs w:val="20"/>
        </w:rPr>
        <w:t xml:space="preserve"> </w:t>
      </w:r>
      <w:r w:rsidRPr="00655CB2">
        <w:rPr>
          <w:rFonts w:ascii="Times New Roman" w:eastAsia="MS Mincho" w:hAnsi="Times New Roman" w:cs="Times New Roman"/>
          <w:sz w:val="20"/>
          <w:szCs w:val="20"/>
        </w:rPr>
        <w:t xml:space="preserve">T, Perou CM, Tibshirani R, et al. Gene expression patterns of breast cancers distinguish tumor subclasses with clinical implications. Proc Natl Acad Sci USA, 98(19): 10869- 74, 2001. </w:t>
      </w:r>
    </w:p>
    <w:p w:rsidR="00AB35B5" w:rsidRPr="00655CB2" w:rsidRDefault="00AB35B5" w:rsidP="00AB35B5">
      <w:pPr>
        <w:pStyle w:val="ListParagraph"/>
        <w:numPr>
          <w:ilvl w:val="0"/>
          <w:numId w:val="3"/>
        </w:numPr>
        <w:bidi w:val="0"/>
        <w:snapToGrid w:val="0"/>
        <w:spacing w:after="0" w:line="240" w:lineRule="auto"/>
        <w:ind w:left="425" w:hanging="425"/>
        <w:jc w:val="both"/>
        <w:rPr>
          <w:rFonts w:ascii="Times New Roman" w:eastAsia="MS Mincho" w:hAnsi="Times New Roman" w:cs="Times New Roman"/>
          <w:sz w:val="20"/>
          <w:szCs w:val="20"/>
        </w:rPr>
      </w:pPr>
      <w:r w:rsidRPr="00655CB2">
        <w:rPr>
          <w:rFonts w:ascii="Times New Roman" w:eastAsia="MS Mincho" w:hAnsi="Times New Roman" w:cs="Times New Roman"/>
          <w:sz w:val="20"/>
          <w:szCs w:val="20"/>
        </w:rPr>
        <w:t>Yao ZX, Lu LJ, Wang RJ, et al. Discordance and clinical significance of ER, PR and HER2 status between primary breast cancer and synchronous axillary lymph node metastasis. Med Oncol, 31(1): 798, 2010.</w:t>
      </w:r>
    </w:p>
    <w:p w:rsidR="00AB35B5" w:rsidRPr="00655CB2" w:rsidRDefault="00AB35B5" w:rsidP="00AB35B5">
      <w:pPr>
        <w:pStyle w:val="ListParagraph"/>
        <w:numPr>
          <w:ilvl w:val="0"/>
          <w:numId w:val="3"/>
        </w:numPr>
        <w:bidi w:val="0"/>
        <w:snapToGrid w:val="0"/>
        <w:spacing w:after="0" w:line="240" w:lineRule="auto"/>
        <w:ind w:left="425" w:hanging="425"/>
        <w:jc w:val="both"/>
        <w:rPr>
          <w:rFonts w:ascii="Times New Roman" w:eastAsia="MS Mincho" w:hAnsi="Times New Roman" w:cs="Times New Roman"/>
          <w:sz w:val="20"/>
          <w:szCs w:val="20"/>
        </w:rPr>
      </w:pPr>
      <w:r w:rsidRPr="00655CB2">
        <w:rPr>
          <w:rFonts w:ascii="Times New Roman" w:eastAsia="MS Mincho" w:hAnsi="Times New Roman" w:cs="Times New Roman"/>
          <w:sz w:val="20"/>
          <w:szCs w:val="20"/>
        </w:rPr>
        <w:t>Yoshihara E, Smeets A, Laenen A, et al.</w:t>
      </w:r>
      <w:r>
        <w:rPr>
          <w:rFonts w:ascii="Times New Roman" w:eastAsia="MS Mincho" w:hAnsi="Times New Roman" w:cs="Times New Roman"/>
          <w:sz w:val="20"/>
          <w:szCs w:val="20"/>
        </w:rPr>
        <w:t xml:space="preserve"> </w:t>
      </w:r>
      <w:r w:rsidRPr="00655CB2">
        <w:rPr>
          <w:rFonts w:ascii="Times New Roman" w:eastAsia="MS Mincho" w:hAnsi="Times New Roman" w:cs="Times New Roman"/>
          <w:sz w:val="20"/>
          <w:szCs w:val="20"/>
        </w:rPr>
        <w:t>Predictors of axillary lymph node metastases in early breast cancer and their applicability in clinical practice.</w:t>
      </w:r>
      <w:r>
        <w:rPr>
          <w:rFonts w:ascii="Times New Roman" w:eastAsia="MS Mincho" w:hAnsi="Times New Roman" w:cs="Times New Roman"/>
          <w:sz w:val="20"/>
          <w:szCs w:val="20"/>
        </w:rPr>
        <w:t xml:space="preserve"> </w:t>
      </w:r>
      <w:r w:rsidRPr="00655CB2">
        <w:rPr>
          <w:rFonts w:ascii="Times New Roman" w:eastAsia="MS Mincho" w:hAnsi="Times New Roman" w:cs="Times New Roman"/>
          <w:sz w:val="20"/>
          <w:szCs w:val="20"/>
        </w:rPr>
        <w:t xml:space="preserve">Breast.2013; 22:357–61. https://doi. org/10.1016/j.breast.2012.09.003 </w:t>
      </w:r>
    </w:p>
    <w:p w:rsidR="00AB35B5" w:rsidRPr="00655CB2" w:rsidRDefault="00AB35B5" w:rsidP="00AB35B5">
      <w:pPr>
        <w:pStyle w:val="ListParagraph"/>
        <w:numPr>
          <w:ilvl w:val="0"/>
          <w:numId w:val="3"/>
        </w:numPr>
        <w:bidi w:val="0"/>
        <w:snapToGrid w:val="0"/>
        <w:spacing w:after="0" w:line="240" w:lineRule="auto"/>
        <w:ind w:left="425" w:hanging="425"/>
        <w:jc w:val="both"/>
        <w:rPr>
          <w:rFonts w:ascii="Times New Roman" w:eastAsia="MS Mincho" w:hAnsi="Times New Roman" w:cs="Times New Roman"/>
          <w:sz w:val="20"/>
          <w:szCs w:val="20"/>
        </w:rPr>
      </w:pPr>
      <w:r w:rsidRPr="00655CB2">
        <w:rPr>
          <w:rFonts w:ascii="Times New Roman" w:eastAsia="MS Mincho" w:hAnsi="Times New Roman" w:cs="Times New Roman"/>
          <w:sz w:val="20"/>
          <w:szCs w:val="20"/>
        </w:rPr>
        <w:t>Viale G, Zurrida S, Maiorano E,</w:t>
      </w:r>
      <w:r>
        <w:rPr>
          <w:rFonts w:ascii="Times New Roman" w:eastAsia="MS Mincho" w:hAnsi="Times New Roman" w:cs="Times New Roman"/>
          <w:sz w:val="20"/>
          <w:szCs w:val="20"/>
        </w:rPr>
        <w:t xml:space="preserve"> </w:t>
      </w:r>
      <w:r w:rsidRPr="00655CB2">
        <w:rPr>
          <w:rFonts w:ascii="Times New Roman" w:eastAsia="MS Mincho" w:hAnsi="Times New Roman" w:cs="Times New Roman"/>
          <w:sz w:val="20"/>
          <w:szCs w:val="20"/>
        </w:rPr>
        <w:t xml:space="preserve">et al. Predicting the status of axillary sentinel lymph nodes in 4351 patients with invasive breast carcinoma treated in a single institution. Cancer.2005; 103:492–500. https://doi.org/10.1002/ cncr.20809 </w:t>
      </w:r>
    </w:p>
    <w:p w:rsidR="00AB35B5" w:rsidRPr="00655CB2" w:rsidRDefault="00AB35B5" w:rsidP="00AB35B5">
      <w:pPr>
        <w:pStyle w:val="ListParagraph"/>
        <w:numPr>
          <w:ilvl w:val="0"/>
          <w:numId w:val="3"/>
        </w:numPr>
        <w:bidi w:val="0"/>
        <w:snapToGrid w:val="0"/>
        <w:spacing w:after="0" w:line="240" w:lineRule="auto"/>
        <w:ind w:left="425" w:hanging="425"/>
        <w:jc w:val="both"/>
        <w:rPr>
          <w:rFonts w:ascii="Times New Roman" w:eastAsia="MS Mincho" w:hAnsi="Times New Roman" w:cs="Times New Roman"/>
          <w:sz w:val="20"/>
          <w:szCs w:val="20"/>
        </w:rPr>
      </w:pPr>
      <w:r w:rsidRPr="00655CB2">
        <w:rPr>
          <w:rFonts w:ascii="Times New Roman" w:eastAsia="MS Mincho" w:hAnsi="Times New Roman" w:cs="Times New Roman"/>
          <w:sz w:val="20"/>
          <w:szCs w:val="20"/>
        </w:rPr>
        <w:t xml:space="preserve">Crabb SJ, Cheang MC, Leung S, et al. Basal breast cancer molecular subtype predicts for lower incidence of axillary lymph node metastases in primary breast cancer. Clin Breast Cancer.2008; 8:249–56. https://doi.org/10.3816/ CBC.2008.n.028 </w:t>
      </w:r>
    </w:p>
    <w:p w:rsidR="00AB35B5" w:rsidRPr="00655CB2" w:rsidRDefault="00AB35B5" w:rsidP="00AB35B5">
      <w:pPr>
        <w:pStyle w:val="ListParagraph"/>
        <w:numPr>
          <w:ilvl w:val="0"/>
          <w:numId w:val="3"/>
        </w:numPr>
        <w:bidi w:val="0"/>
        <w:snapToGrid w:val="0"/>
        <w:spacing w:after="0" w:line="240" w:lineRule="auto"/>
        <w:ind w:left="425" w:hanging="425"/>
        <w:jc w:val="both"/>
        <w:rPr>
          <w:rFonts w:ascii="Times New Roman" w:eastAsia="MS Mincho" w:hAnsi="Times New Roman" w:cs="Times New Roman"/>
          <w:sz w:val="20"/>
          <w:szCs w:val="20"/>
        </w:rPr>
      </w:pPr>
      <w:r w:rsidRPr="00655CB2">
        <w:rPr>
          <w:rFonts w:ascii="Times New Roman" w:eastAsia="MS Mincho" w:hAnsi="Times New Roman" w:cs="Times New Roman"/>
          <w:sz w:val="20"/>
          <w:szCs w:val="20"/>
        </w:rPr>
        <w:t>Perou CM, Sørlie T, Eisen MB, et al.</w:t>
      </w:r>
      <w:r>
        <w:rPr>
          <w:rFonts w:ascii="Times New Roman" w:eastAsia="MS Mincho" w:hAnsi="Times New Roman" w:cs="Times New Roman"/>
          <w:sz w:val="20"/>
          <w:szCs w:val="20"/>
        </w:rPr>
        <w:t xml:space="preserve"> </w:t>
      </w:r>
      <w:r w:rsidRPr="00655CB2">
        <w:rPr>
          <w:rFonts w:ascii="Times New Roman" w:eastAsia="MS Mincho" w:hAnsi="Times New Roman" w:cs="Times New Roman"/>
          <w:sz w:val="20"/>
          <w:szCs w:val="20"/>
        </w:rPr>
        <w:t>Molecular portraits of human breast tumours.</w:t>
      </w:r>
      <w:r>
        <w:rPr>
          <w:rFonts w:ascii="Times New Roman" w:eastAsia="MS Mincho" w:hAnsi="Times New Roman" w:cs="Times New Roman"/>
          <w:sz w:val="20"/>
          <w:szCs w:val="20"/>
        </w:rPr>
        <w:t xml:space="preserve"> </w:t>
      </w:r>
      <w:r w:rsidRPr="00655CB2">
        <w:rPr>
          <w:rFonts w:ascii="Times New Roman" w:eastAsia="MS Mincho" w:hAnsi="Times New Roman" w:cs="Times New Roman"/>
          <w:sz w:val="20"/>
          <w:szCs w:val="20"/>
        </w:rPr>
        <w:t xml:space="preserve">Nature.2000; 406:747– 52. https://doi.org/10.1038/35021093 </w:t>
      </w:r>
    </w:p>
    <w:p w:rsidR="00AB35B5" w:rsidRPr="00655CB2" w:rsidRDefault="00AB35B5" w:rsidP="00AB35B5">
      <w:pPr>
        <w:pStyle w:val="ListParagraph"/>
        <w:numPr>
          <w:ilvl w:val="0"/>
          <w:numId w:val="3"/>
        </w:numPr>
        <w:bidi w:val="0"/>
        <w:snapToGrid w:val="0"/>
        <w:spacing w:after="0" w:line="240" w:lineRule="auto"/>
        <w:ind w:left="425" w:hanging="425"/>
        <w:jc w:val="both"/>
        <w:rPr>
          <w:rFonts w:ascii="Times New Roman" w:eastAsia="MS Mincho" w:hAnsi="Times New Roman" w:cs="Times New Roman"/>
          <w:sz w:val="20"/>
          <w:szCs w:val="20"/>
        </w:rPr>
      </w:pPr>
      <w:r w:rsidRPr="00655CB2">
        <w:rPr>
          <w:rFonts w:ascii="Times New Roman" w:eastAsia="MS Mincho" w:hAnsi="Times New Roman" w:cs="Times New Roman"/>
          <w:sz w:val="20"/>
          <w:szCs w:val="20"/>
        </w:rPr>
        <w:t>Wiechmann L, Sampson M, Stempel M, et al.</w:t>
      </w:r>
      <w:r>
        <w:rPr>
          <w:rFonts w:ascii="Times New Roman" w:eastAsia="MS Mincho" w:hAnsi="Times New Roman" w:cs="Times New Roman"/>
          <w:sz w:val="20"/>
          <w:szCs w:val="20"/>
        </w:rPr>
        <w:t xml:space="preserve"> </w:t>
      </w:r>
      <w:r w:rsidRPr="00655CB2">
        <w:rPr>
          <w:rFonts w:ascii="Times New Roman" w:eastAsia="MS Mincho" w:hAnsi="Times New Roman" w:cs="Times New Roman"/>
          <w:sz w:val="20"/>
          <w:szCs w:val="20"/>
        </w:rPr>
        <w:t>Presenting features of breast cancer differ by molecular subtype. Ann Surg</w:t>
      </w:r>
      <w:r>
        <w:rPr>
          <w:rFonts w:ascii="Times New Roman" w:eastAsia="MS Mincho" w:hAnsi="Times New Roman" w:cs="Times New Roman"/>
          <w:sz w:val="20"/>
          <w:szCs w:val="20"/>
        </w:rPr>
        <w:t xml:space="preserve"> </w:t>
      </w:r>
      <w:r w:rsidRPr="00655CB2">
        <w:rPr>
          <w:rFonts w:ascii="Times New Roman" w:eastAsia="MS Mincho" w:hAnsi="Times New Roman" w:cs="Times New Roman"/>
          <w:sz w:val="20"/>
          <w:szCs w:val="20"/>
        </w:rPr>
        <w:t>Oncol. 2009; 16:2705–10.https://doi.org/10.1245/s10434-009-0606-2</w:t>
      </w:r>
    </w:p>
    <w:p w:rsidR="00AB35B5" w:rsidRPr="00655CB2" w:rsidRDefault="00AB35B5" w:rsidP="00AB35B5">
      <w:pPr>
        <w:pStyle w:val="ListParagraph"/>
        <w:numPr>
          <w:ilvl w:val="0"/>
          <w:numId w:val="3"/>
        </w:numPr>
        <w:bidi w:val="0"/>
        <w:snapToGrid w:val="0"/>
        <w:spacing w:after="0" w:line="240" w:lineRule="auto"/>
        <w:ind w:left="425" w:hanging="425"/>
        <w:jc w:val="both"/>
        <w:rPr>
          <w:rFonts w:ascii="Times New Roman" w:eastAsia="MS Mincho" w:hAnsi="Times New Roman" w:cs="Times New Roman"/>
          <w:sz w:val="20"/>
          <w:szCs w:val="20"/>
        </w:rPr>
      </w:pPr>
      <w:r w:rsidRPr="00655CB2">
        <w:rPr>
          <w:rFonts w:ascii="Times New Roman" w:eastAsia="MS Mincho" w:hAnsi="Times New Roman" w:cs="Times New Roman"/>
          <w:sz w:val="20"/>
          <w:szCs w:val="20"/>
        </w:rPr>
        <w:t>Banz-Jansen C, Heinrichs A, Hedderich M, et al.</w:t>
      </w:r>
      <w:r>
        <w:rPr>
          <w:rFonts w:ascii="Times New Roman" w:eastAsia="MS Mincho" w:hAnsi="Times New Roman" w:cs="Times New Roman"/>
          <w:sz w:val="20"/>
          <w:szCs w:val="20"/>
        </w:rPr>
        <w:t xml:space="preserve"> </w:t>
      </w:r>
      <w:r w:rsidRPr="00655CB2">
        <w:rPr>
          <w:rFonts w:ascii="Times New Roman" w:eastAsia="MS Mincho" w:hAnsi="Times New Roman" w:cs="Times New Roman"/>
          <w:sz w:val="20"/>
          <w:szCs w:val="20"/>
        </w:rPr>
        <w:t xml:space="preserve">Are there changes in characteristics and therapy of young patients with early-onset breast cancer in Germany over the last decade? Arch Gynecol Obstet. 2013; 288:379–83. https://doi.org/10.1007/s00404-013-2738-7 </w:t>
      </w:r>
    </w:p>
    <w:p w:rsidR="00AB35B5" w:rsidRPr="00655CB2" w:rsidRDefault="00AB35B5" w:rsidP="00AB35B5">
      <w:pPr>
        <w:pStyle w:val="ListParagraph"/>
        <w:numPr>
          <w:ilvl w:val="0"/>
          <w:numId w:val="3"/>
        </w:numPr>
        <w:bidi w:val="0"/>
        <w:snapToGrid w:val="0"/>
        <w:spacing w:after="0" w:line="240" w:lineRule="auto"/>
        <w:ind w:left="425" w:hanging="425"/>
        <w:jc w:val="both"/>
        <w:rPr>
          <w:rFonts w:ascii="Times New Roman" w:eastAsia="MS Mincho" w:hAnsi="Times New Roman" w:cs="Times New Roman"/>
          <w:sz w:val="20"/>
          <w:szCs w:val="20"/>
        </w:rPr>
      </w:pPr>
      <w:r w:rsidRPr="00655CB2">
        <w:rPr>
          <w:rFonts w:ascii="Times New Roman" w:eastAsia="MS Mincho" w:hAnsi="Times New Roman" w:cs="Times New Roman"/>
          <w:sz w:val="20"/>
          <w:szCs w:val="20"/>
        </w:rPr>
        <w:lastRenderedPageBreak/>
        <w:t>Gluz O, Liedtke C, Gottschalk N,</w:t>
      </w:r>
      <w:r>
        <w:rPr>
          <w:rFonts w:ascii="Times New Roman" w:eastAsia="MS Mincho" w:hAnsi="Times New Roman" w:cs="Times New Roman"/>
          <w:sz w:val="20"/>
          <w:szCs w:val="20"/>
        </w:rPr>
        <w:t xml:space="preserve"> </w:t>
      </w:r>
      <w:r w:rsidRPr="00655CB2">
        <w:rPr>
          <w:rFonts w:ascii="Times New Roman" w:eastAsia="MS Mincho" w:hAnsi="Times New Roman" w:cs="Times New Roman"/>
          <w:sz w:val="20"/>
          <w:szCs w:val="20"/>
        </w:rPr>
        <w:t>et al.</w:t>
      </w:r>
      <w:r>
        <w:rPr>
          <w:rFonts w:ascii="Times New Roman" w:eastAsia="MS Mincho" w:hAnsi="Times New Roman" w:cs="Times New Roman"/>
          <w:sz w:val="20"/>
          <w:szCs w:val="20"/>
        </w:rPr>
        <w:t xml:space="preserve"> </w:t>
      </w:r>
      <w:r w:rsidRPr="00655CB2">
        <w:rPr>
          <w:rFonts w:ascii="Times New Roman" w:eastAsia="MS Mincho" w:hAnsi="Times New Roman" w:cs="Times New Roman"/>
          <w:sz w:val="20"/>
          <w:szCs w:val="20"/>
        </w:rPr>
        <w:t xml:space="preserve">Triple-negative breast cancer—current status and future directions. Ann Oncol. 2009; 20:1913–27. https://doi.org/10.1093/annonc/mdp492 </w:t>
      </w:r>
    </w:p>
    <w:p w:rsidR="00AB35B5" w:rsidRPr="00655CB2" w:rsidRDefault="00AB35B5" w:rsidP="00AB35B5">
      <w:pPr>
        <w:pStyle w:val="ListParagraph"/>
        <w:numPr>
          <w:ilvl w:val="0"/>
          <w:numId w:val="3"/>
        </w:numPr>
        <w:bidi w:val="0"/>
        <w:snapToGrid w:val="0"/>
        <w:spacing w:after="0" w:line="240" w:lineRule="auto"/>
        <w:ind w:left="425" w:hanging="425"/>
        <w:jc w:val="both"/>
        <w:rPr>
          <w:rFonts w:ascii="Times New Roman" w:eastAsia="MS Mincho" w:hAnsi="Times New Roman" w:cs="Times New Roman"/>
          <w:sz w:val="20"/>
          <w:szCs w:val="20"/>
        </w:rPr>
      </w:pPr>
      <w:r w:rsidRPr="00655CB2">
        <w:rPr>
          <w:rFonts w:ascii="Times New Roman" w:eastAsia="MS Mincho" w:hAnsi="Times New Roman" w:cs="Times New Roman"/>
          <w:sz w:val="20"/>
          <w:szCs w:val="20"/>
        </w:rPr>
        <w:t>Liedtke C, Mazouni C, Hess KR, et al.</w:t>
      </w:r>
      <w:r>
        <w:rPr>
          <w:rFonts w:ascii="Times New Roman" w:eastAsia="MS Mincho" w:hAnsi="Times New Roman" w:cs="Times New Roman"/>
          <w:sz w:val="20"/>
          <w:szCs w:val="20"/>
        </w:rPr>
        <w:t xml:space="preserve"> </w:t>
      </w:r>
      <w:r w:rsidRPr="00655CB2">
        <w:rPr>
          <w:rFonts w:ascii="Times New Roman" w:eastAsia="MS Mincho" w:hAnsi="Times New Roman" w:cs="Times New Roman"/>
          <w:sz w:val="20"/>
          <w:szCs w:val="20"/>
        </w:rPr>
        <w:t>Response to neoadjuvant therapy and long-term survival in patients with triple-negative breast cancer.</w:t>
      </w:r>
      <w:r>
        <w:rPr>
          <w:rFonts w:ascii="Times New Roman" w:eastAsia="MS Mincho" w:hAnsi="Times New Roman" w:cs="Times New Roman"/>
          <w:sz w:val="20"/>
          <w:szCs w:val="20"/>
        </w:rPr>
        <w:t xml:space="preserve"> </w:t>
      </w:r>
      <w:r w:rsidRPr="00655CB2">
        <w:rPr>
          <w:rFonts w:ascii="Times New Roman" w:eastAsia="MS Mincho" w:hAnsi="Times New Roman" w:cs="Times New Roman"/>
          <w:sz w:val="20"/>
          <w:szCs w:val="20"/>
        </w:rPr>
        <w:t>J Clin</w:t>
      </w:r>
      <w:r>
        <w:rPr>
          <w:rFonts w:ascii="Times New Roman" w:eastAsia="MS Mincho" w:hAnsi="Times New Roman" w:cs="Times New Roman"/>
          <w:sz w:val="20"/>
          <w:szCs w:val="20"/>
        </w:rPr>
        <w:t xml:space="preserve"> </w:t>
      </w:r>
      <w:r w:rsidRPr="00655CB2">
        <w:rPr>
          <w:rFonts w:ascii="Times New Roman" w:eastAsia="MS Mincho" w:hAnsi="Times New Roman" w:cs="Times New Roman"/>
          <w:sz w:val="20"/>
          <w:szCs w:val="20"/>
        </w:rPr>
        <w:t>Oncol.2008; 26:1275–81. https://doi.org/10.1200/ JCO.2007.14.4147</w:t>
      </w:r>
    </w:p>
    <w:p w:rsidR="00AB35B5" w:rsidRPr="00655CB2" w:rsidRDefault="00AB35B5" w:rsidP="00AB35B5">
      <w:pPr>
        <w:pStyle w:val="ListParagraph"/>
        <w:numPr>
          <w:ilvl w:val="0"/>
          <w:numId w:val="3"/>
        </w:numPr>
        <w:bidi w:val="0"/>
        <w:snapToGrid w:val="0"/>
        <w:spacing w:after="0" w:line="240" w:lineRule="auto"/>
        <w:ind w:left="425" w:hanging="425"/>
        <w:jc w:val="both"/>
        <w:rPr>
          <w:rFonts w:ascii="Times New Roman" w:eastAsia="MS Mincho" w:hAnsi="Times New Roman" w:cs="Times New Roman"/>
          <w:sz w:val="20"/>
          <w:szCs w:val="20"/>
        </w:rPr>
      </w:pPr>
      <w:r w:rsidRPr="00655CB2">
        <w:rPr>
          <w:rFonts w:ascii="Times New Roman" w:eastAsia="MS Mincho" w:hAnsi="Times New Roman" w:cs="Times New Roman"/>
          <w:sz w:val="20"/>
          <w:szCs w:val="20"/>
        </w:rPr>
        <w:t xml:space="preserve">Gagdos C, Tartter P I, Bleiweiss I J. Lymphatic invasion, tumor size, and age are independent predictors of axillary lymph node metastasis in women with T1 breast cancers. Ann Surg, 230 (5): 692, 1999. </w:t>
      </w:r>
    </w:p>
    <w:p w:rsidR="00AB35B5" w:rsidRPr="00655CB2" w:rsidRDefault="00AB35B5" w:rsidP="00AB35B5">
      <w:pPr>
        <w:pStyle w:val="ListParagraph"/>
        <w:numPr>
          <w:ilvl w:val="0"/>
          <w:numId w:val="3"/>
        </w:numPr>
        <w:bidi w:val="0"/>
        <w:snapToGrid w:val="0"/>
        <w:spacing w:after="0" w:line="240" w:lineRule="auto"/>
        <w:ind w:left="425" w:hanging="425"/>
        <w:jc w:val="both"/>
        <w:rPr>
          <w:rFonts w:ascii="Times New Roman" w:eastAsia="MS Mincho" w:hAnsi="Times New Roman" w:cs="Times New Roman"/>
          <w:sz w:val="20"/>
          <w:szCs w:val="20"/>
        </w:rPr>
      </w:pPr>
      <w:r w:rsidRPr="00655CB2">
        <w:rPr>
          <w:rFonts w:ascii="Times New Roman" w:eastAsia="MS Mincho" w:hAnsi="Times New Roman" w:cs="Times New Roman"/>
          <w:sz w:val="20"/>
          <w:szCs w:val="20"/>
        </w:rPr>
        <w:t>Won K, Sang W, Hye K, et al. Prediction of Advanced Axillary Lymph Node Metastases (ypN2-3) Using Breast MR imaging and PET/CT after Neoadjuvant Chemotherapy in Invasive Ductal Carcinoma Patients: Scientific Reportsvolume 8, Article number: 3181(2018)</w:t>
      </w:r>
      <w:r>
        <w:rPr>
          <w:rFonts w:ascii="Times New Roman" w:eastAsia="MS Mincho" w:hAnsi="Times New Roman" w:cs="Times New Roman"/>
          <w:sz w:val="20"/>
          <w:szCs w:val="20"/>
        </w:rPr>
        <w:t xml:space="preserve"> </w:t>
      </w:r>
      <w:r w:rsidRPr="00655CB2">
        <w:rPr>
          <w:rFonts w:ascii="Times New Roman" w:eastAsia="MS Mincho" w:hAnsi="Times New Roman" w:cs="Times New Roman"/>
          <w:sz w:val="20"/>
          <w:szCs w:val="20"/>
        </w:rPr>
        <w:t>doi:10.1038/s41598-018-21554-z</w:t>
      </w:r>
    </w:p>
    <w:p w:rsidR="00AB35B5" w:rsidRPr="00655CB2" w:rsidRDefault="00AB35B5" w:rsidP="00AB35B5">
      <w:pPr>
        <w:pStyle w:val="ListParagraph"/>
        <w:numPr>
          <w:ilvl w:val="0"/>
          <w:numId w:val="3"/>
        </w:numPr>
        <w:bidi w:val="0"/>
        <w:snapToGrid w:val="0"/>
        <w:spacing w:after="0" w:line="240" w:lineRule="auto"/>
        <w:ind w:left="425" w:hanging="425"/>
        <w:jc w:val="both"/>
        <w:rPr>
          <w:rFonts w:ascii="Times New Roman" w:eastAsia="MS Mincho" w:hAnsi="Times New Roman" w:cs="Times New Roman"/>
          <w:sz w:val="20"/>
          <w:szCs w:val="20"/>
        </w:rPr>
      </w:pPr>
      <w:r w:rsidRPr="00655CB2">
        <w:rPr>
          <w:rFonts w:ascii="Times New Roman" w:eastAsia="MS Mincho" w:hAnsi="Times New Roman" w:cs="Times New Roman"/>
          <w:sz w:val="20"/>
          <w:szCs w:val="20"/>
        </w:rPr>
        <w:t>Jagsi R, Pierce L. Postmastectomy radiation therapy for patients with locally advanced breast cancer. Semin</w:t>
      </w:r>
      <w:r>
        <w:rPr>
          <w:rFonts w:ascii="Times New Roman" w:eastAsia="MS Mincho" w:hAnsi="Times New Roman" w:cs="Times New Roman"/>
          <w:sz w:val="20"/>
          <w:szCs w:val="20"/>
        </w:rPr>
        <w:t xml:space="preserve"> </w:t>
      </w:r>
      <w:r w:rsidRPr="00655CB2">
        <w:rPr>
          <w:rFonts w:ascii="Times New Roman" w:eastAsia="MS Mincho" w:hAnsi="Times New Roman" w:cs="Times New Roman"/>
          <w:sz w:val="20"/>
          <w:szCs w:val="20"/>
        </w:rPr>
        <w:t>Radiat</w:t>
      </w:r>
      <w:r>
        <w:rPr>
          <w:rFonts w:ascii="Times New Roman" w:eastAsia="MS Mincho" w:hAnsi="Times New Roman" w:cs="Times New Roman"/>
          <w:sz w:val="20"/>
          <w:szCs w:val="20"/>
        </w:rPr>
        <w:t xml:space="preserve"> </w:t>
      </w:r>
      <w:r w:rsidRPr="00655CB2">
        <w:rPr>
          <w:rFonts w:ascii="Times New Roman" w:eastAsia="MS Mincho" w:hAnsi="Times New Roman" w:cs="Times New Roman"/>
          <w:sz w:val="20"/>
          <w:szCs w:val="20"/>
        </w:rPr>
        <w:t xml:space="preserve">Oncol. 2009;19:236–43. </w:t>
      </w:r>
    </w:p>
    <w:p w:rsidR="00AB35B5" w:rsidRPr="00655CB2" w:rsidRDefault="00AB35B5" w:rsidP="00AB35B5">
      <w:pPr>
        <w:pStyle w:val="ListParagraph"/>
        <w:numPr>
          <w:ilvl w:val="0"/>
          <w:numId w:val="3"/>
        </w:numPr>
        <w:bidi w:val="0"/>
        <w:snapToGrid w:val="0"/>
        <w:spacing w:after="0" w:line="240" w:lineRule="auto"/>
        <w:ind w:left="425" w:hanging="425"/>
        <w:jc w:val="both"/>
        <w:rPr>
          <w:rFonts w:ascii="Times New Roman" w:eastAsia="MS Mincho" w:hAnsi="Times New Roman" w:cs="Times New Roman"/>
          <w:sz w:val="20"/>
          <w:szCs w:val="20"/>
        </w:rPr>
      </w:pPr>
      <w:r w:rsidRPr="00655CB2">
        <w:rPr>
          <w:rFonts w:ascii="Times New Roman" w:eastAsia="MS Mincho" w:hAnsi="Times New Roman" w:cs="Times New Roman"/>
          <w:sz w:val="20"/>
          <w:szCs w:val="20"/>
        </w:rPr>
        <w:t>Carey LA, Dees EC, Sawyer L, et al. The triple negative paradox: primary tumor chemosensitivity of breast cancer subtypes. Clin Cancer Res. 2007;13:2329–34.</w:t>
      </w:r>
    </w:p>
    <w:p w:rsidR="00AB35B5" w:rsidRPr="00655CB2" w:rsidRDefault="00AB35B5" w:rsidP="00AB35B5">
      <w:pPr>
        <w:pStyle w:val="ListParagraph"/>
        <w:numPr>
          <w:ilvl w:val="0"/>
          <w:numId w:val="3"/>
        </w:numPr>
        <w:bidi w:val="0"/>
        <w:snapToGrid w:val="0"/>
        <w:spacing w:after="0" w:line="240" w:lineRule="auto"/>
        <w:ind w:left="425" w:hanging="425"/>
        <w:jc w:val="both"/>
        <w:rPr>
          <w:rFonts w:ascii="Times New Roman" w:eastAsia="MS Mincho" w:hAnsi="Times New Roman" w:cs="Times New Roman"/>
          <w:sz w:val="20"/>
          <w:szCs w:val="20"/>
        </w:rPr>
      </w:pPr>
      <w:r w:rsidRPr="00655CB2">
        <w:rPr>
          <w:rFonts w:ascii="Times New Roman" w:eastAsia="MS Mincho" w:hAnsi="Times New Roman" w:cs="Times New Roman"/>
          <w:sz w:val="20"/>
          <w:szCs w:val="20"/>
        </w:rPr>
        <w:t>Gangi A,</w:t>
      </w:r>
      <w:r>
        <w:rPr>
          <w:rFonts w:ascii="Times New Roman" w:eastAsia="MS Mincho" w:hAnsi="Times New Roman" w:cs="Times New Roman"/>
          <w:sz w:val="20"/>
          <w:szCs w:val="20"/>
        </w:rPr>
        <w:t xml:space="preserve"> </w:t>
      </w:r>
      <w:r w:rsidRPr="00655CB2">
        <w:rPr>
          <w:rFonts w:ascii="Times New Roman" w:eastAsia="MS Mincho" w:hAnsi="Times New Roman" w:cs="Times New Roman"/>
          <w:sz w:val="20"/>
          <w:szCs w:val="20"/>
        </w:rPr>
        <w:t xml:space="preserve">Mirocha J, Leong T, et al. Triple-negative breast cancer is not associated with </w:t>
      </w:r>
      <w:r w:rsidRPr="00655CB2">
        <w:rPr>
          <w:rFonts w:ascii="Times New Roman" w:eastAsia="MS Mincho" w:hAnsi="Times New Roman" w:cs="Times New Roman"/>
          <w:sz w:val="20"/>
          <w:szCs w:val="20"/>
        </w:rPr>
        <w:lastRenderedPageBreak/>
        <w:t>increased likelihood of nodal metastases. Ann Surg</w:t>
      </w:r>
      <w:r>
        <w:rPr>
          <w:rFonts w:ascii="Times New Roman" w:eastAsia="MS Mincho" w:hAnsi="Times New Roman" w:cs="Times New Roman"/>
          <w:sz w:val="20"/>
          <w:szCs w:val="20"/>
        </w:rPr>
        <w:t xml:space="preserve"> </w:t>
      </w:r>
      <w:r w:rsidRPr="00655CB2">
        <w:rPr>
          <w:rFonts w:ascii="Times New Roman" w:eastAsia="MS Mincho" w:hAnsi="Times New Roman" w:cs="Times New Roman"/>
          <w:sz w:val="20"/>
          <w:szCs w:val="20"/>
        </w:rPr>
        <w:t>Oncol. 2014; 21:4098–103.</w:t>
      </w:r>
    </w:p>
    <w:p w:rsidR="00AB35B5" w:rsidRPr="00655CB2" w:rsidRDefault="00AB35B5" w:rsidP="00AB35B5">
      <w:pPr>
        <w:pStyle w:val="ListParagraph"/>
        <w:numPr>
          <w:ilvl w:val="0"/>
          <w:numId w:val="3"/>
        </w:numPr>
        <w:bidi w:val="0"/>
        <w:snapToGrid w:val="0"/>
        <w:spacing w:after="0" w:line="240" w:lineRule="auto"/>
        <w:ind w:left="425" w:hanging="425"/>
        <w:jc w:val="both"/>
        <w:rPr>
          <w:rFonts w:ascii="Times New Roman" w:eastAsia="MS Mincho" w:hAnsi="Times New Roman" w:cs="Times New Roman"/>
          <w:sz w:val="20"/>
          <w:szCs w:val="20"/>
        </w:rPr>
      </w:pPr>
      <w:r w:rsidRPr="00655CB2">
        <w:rPr>
          <w:rFonts w:ascii="Times New Roman" w:eastAsia="MS Mincho" w:hAnsi="Times New Roman" w:cs="Times New Roman"/>
          <w:sz w:val="20"/>
          <w:szCs w:val="20"/>
        </w:rPr>
        <w:t>Dent R, Hanna WM, Trudeau M,</w:t>
      </w:r>
      <w:r>
        <w:rPr>
          <w:rFonts w:ascii="Times New Roman" w:eastAsia="MS Mincho" w:hAnsi="Times New Roman" w:cs="Times New Roman"/>
          <w:sz w:val="20"/>
          <w:szCs w:val="20"/>
        </w:rPr>
        <w:t xml:space="preserve"> </w:t>
      </w:r>
      <w:r w:rsidRPr="00655CB2">
        <w:rPr>
          <w:rFonts w:ascii="Times New Roman" w:eastAsia="MS Mincho" w:hAnsi="Times New Roman" w:cs="Times New Roman"/>
          <w:sz w:val="20"/>
          <w:szCs w:val="20"/>
        </w:rPr>
        <w:t>et al. Pattern of metastatic spread in triple-negative breast cancer. Breast Cancer Res Treat. 2009; 115:423–28.</w:t>
      </w:r>
    </w:p>
    <w:p w:rsidR="00AB35B5" w:rsidRPr="00655CB2" w:rsidRDefault="00AB35B5" w:rsidP="00AB35B5">
      <w:pPr>
        <w:pStyle w:val="ListParagraph"/>
        <w:numPr>
          <w:ilvl w:val="0"/>
          <w:numId w:val="3"/>
        </w:numPr>
        <w:bidi w:val="0"/>
        <w:snapToGrid w:val="0"/>
        <w:spacing w:after="0" w:line="240" w:lineRule="auto"/>
        <w:ind w:left="425" w:hanging="425"/>
        <w:jc w:val="both"/>
        <w:rPr>
          <w:rFonts w:ascii="Times New Roman" w:eastAsia="MS Mincho" w:hAnsi="Times New Roman" w:cs="Times New Roman"/>
          <w:sz w:val="20"/>
          <w:szCs w:val="20"/>
        </w:rPr>
      </w:pPr>
      <w:r w:rsidRPr="00655CB2">
        <w:rPr>
          <w:rFonts w:ascii="Times New Roman" w:eastAsia="MS Mincho" w:hAnsi="Times New Roman" w:cs="Times New Roman"/>
          <w:sz w:val="20"/>
          <w:szCs w:val="20"/>
        </w:rPr>
        <w:t>Chengshuai Si, Yiting Jin, Hongying Wang, et al. Association between molecular subtypes and lymph node status in invasive breast cancer, Int J Clin</w:t>
      </w:r>
      <w:r>
        <w:rPr>
          <w:rFonts w:ascii="Times New Roman" w:eastAsia="MS Mincho" w:hAnsi="Times New Roman" w:cs="Times New Roman"/>
          <w:sz w:val="20"/>
          <w:szCs w:val="20"/>
        </w:rPr>
        <w:t xml:space="preserve"> </w:t>
      </w:r>
      <w:r w:rsidRPr="00655CB2">
        <w:rPr>
          <w:rFonts w:ascii="Times New Roman" w:eastAsia="MS Mincho" w:hAnsi="Times New Roman" w:cs="Times New Roman"/>
          <w:sz w:val="20"/>
          <w:szCs w:val="20"/>
        </w:rPr>
        <w:t>Exp</w:t>
      </w:r>
      <w:r>
        <w:rPr>
          <w:rFonts w:ascii="Times New Roman" w:eastAsia="MS Mincho" w:hAnsi="Times New Roman" w:cs="Times New Roman"/>
          <w:sz w:val="20"/>
          <w:szCs w:val="20"/>
        </w:rPr>
        <w:t xml:space="preserve"> </w:t>
      </w:r>
      <w:r w:rsidRPr="00655CB2">
        <w:rPr>
          <w:rFonts w:ascii="Times New Roman" w:eastAsia="MS Mincho" w:hAnsi="Times New Roman" w:cs="Times New Roman"/>
          <w:sz w:val="20"/>
          <w:szCs w:val="20"/>
        </w:rPr>
        <w:t>Pathol. 2014; 7(10): 6800–6806.</w:t>
      </w:r>
    </w:p>
    <w:p w:rsidR="00AB35B5" w:rsidRDefault="00AB35B5" w:rsidP="00AB35B5">
      <w:pPr>
        <w:pStyle w:val="ListParagraph"/>
        <w:numPr>
          <w:ilvl w:val="0"/>
          <w:numId w:val="3"/>
        </w:numPr>
        <w:bidi w:val="0"/>
        <w:snapToGrid w:val="0"/>
        <w:spacing w:after="0" w:line="240" w:lineRule="auto"/>
        <w:ind w:left="425" w:hanging="425"/>
        <w:jc w:val="both"/>
        <w:rPr>
          <w:rFonts w:ascii="Times New Roman" w:eastAsia="MS Mincho" w:hAnsi="Times New Roman" w:cs="Times New Roman"/>
          <w:sz w:val="20"/>
          <w:szCs w:val="20"/>
        </w:rPr>
      </w:pPr>
      <w:r w:rsidRPr="00655CB2">
        <w:rPr>
          <w:rFonts w:ascii="Times New Roman" w:eastAsia="MS Mincho" w:hAnsi="Times New Roman" w:cs="Times New Roman"/>
          <w:sz w:val="20"/>
          <w:szCs w:val="20"/>
        </w:rPr>
        <w:t>Emi Y, Ann S, Annouchka Bet al. Predictors of axillary lymph node metastases in early breast cancer and their applicability in clinical practice, The Breast 22 (2013) 357e361</w:t>
      </w:r>
      <w:r>
        <w:rPr>
          <w:rFonts w:ascii="Times New Roman" w:eastAsia="MS Mincho" w:hAnsi="Times New Roman" w:cs="Times New Roman"/>
          <w:sz w:val="20"/>
          <w:szCs w:val="20"/>
        </w:rPr>
        <w:t>.</w:t>
      </w:r>
    </w:p>
    <w:p w:rsidR="00AB35B5" w:rsidRPr="00655CB2" w:rsidRDefault="00AB35B5" w:rsidP="00AB35B5">
      <w:pPr>
        <w:pStyle w:val="ListParagraph"/>
        <w:numPr>
          <w:ilvl w:val="0"/>
          <w:numId w:val="3"/>
        </w:numPr>
        <w:bidi w:val="0"/>
        <w:snapToGrid w:val="0"/>
        <w:spacing w:after="0" w:line="240" w:lineRule="auto"/>
        <w:ind w:left="425" w:hanging="425"/>
        <w:jc w:val="both"/>
        <w:rPr>
          <w:rFonts w:ascii="Times New Roman" w:eastAsia="MS Mincho" w:hAnsi="Times New Roman" w:cs="Times New Roman"/>
          <w:sz w:val="20"/>
          <w:szCs w:val="20"/>
        </w:rPr>
      </w:pPr>
      <w:r w:rsidRPr="00655CB2">
        <w:rPr>
          <w:rFonts w:ascii="Times New Roman" w:eastAsia="MS Mincho" w:hAnsi="Times New Roman" w:cs="Times New Roman"/>
          <w:sz w:val="20"/>
          <w:szCs w:val="20"/>
        </w:rPr>
        <w:t>Elsayed</w:t>
      </w:r>
      <w:r>
        <w:rPr>
          <w:rFonts w:ascii="Times New Roman" w:eastAsia="MS Mincho" w:hAnsi="Times New Roman" w:cs="Times New Roman"/>
          <w:sz w:val="20"/>
          <w:szCs w:val="20"/>
        </w:rPr>
        <w:t xml:space="preserve"> </w:t>
      </w:r>
      <w:r w:rsidRPr="00655CB2">
        <w:rPr>
          <w:rFonts w:ascii="Times New Roman" w:eastAsia="MS Mincho" w:hAnsi="Times New Roman" w:cs="Times New Roman"/>
          <w:sz w:val="20"/>
          <w:szCs w:val="20"/>
        </w:rPr>
        <w:t>M, Ahmed R., Ayman M. et al. Correlation of Breast Cancer Subtypes Based on ER, PR and HER2 Expression with Axillary Lymph Node Status, Cancer and Oncology Research 2(4): 51-57, 2014.</w:t>
      </w:r>
    </w:p>
    <w:p w:rsidR="00AB35B5" w:rsidRPr="00655CB2" w:rsidRDefault="00AB35B5" w:rsidP="00AB35B5">
      <w:pPr>
        <w:pStyle w:val="ListParagraph"/>
        <w:numPr>
          <w:ilvl w:val="0"/>
          <w:numId w:val="3"/>
        </w:numPr>
        <w:bidi w:val="0"/>
        <w:snapToGrid w:val="0"/>
        <w:spacing w:after="0" w:line="240" w:lineRule="auto"/>
        <w:ind w:left="425" w:hanging="425"/>
        <w:jc w:val="both"/>
        <w:rPr>
          <w:rFonts w:ascii="Times New Roman" w:eastAsia="MS Mincho" w:hAnsi="Times New Roman" w:cs="Times New Roman"/>
          <w:sz w:val="20"/>
          <w:szCs w:val="20"/>
        </w:rPr>
      </w:pPr>
      <w:r w:rsidRPr="00655CB2">
        <w:rPr>
          <w:rFonts w:ascii="Times New Roman" w:eastAsia="MS Mincho" w:hAnsi="Times New Roman" w:cs="Times New Roman"/>
          <w:sz w:val="20"/>
          <w:szCs w:val="20"/>
        </w:rPr>
        <w:t>Patani NR, Dwek MV and Douek M. Predictors of axillary lymph node metastasis in breast cancer: a systematic review. Eur J Surg</w:t>
      </w:r>
      <w:r>
        <w:rPr>
          <w:rFonts w:ascii="Times New Roman" w:eastAsia="MS Mincho" w:hAnsi="Times New Roman" w:cs="Times New Roman"/>
          <w:sz w:val="20"/>
          <w:szCs w:val="20"/>
        </w:rPr>
        <w:t xml:space="preserve"> </w:t>
      </w:r>
      <w:r w:rsidRPr="00655CB2">
        <w:rPr>
          <w:rFonts w:ascii="Times New Roman" w:eastAsia="MS Mincho" w:hAnsi="Times New Roman" w:cs="Times New Roman"/>
          <w:sz w:val="20"/>
          <w:szCs w:val="20"/>
        </w:rPr>
        <w:t>Oncol 2007; 33: 409-19.</w:t>
      </w:r>
    </w:p>
    <w:p w:rsidR="00AB35B5" w:rsidRPr="00655CB2" w:rsidRDefault="00AB35B5" w:rsidP="00AB35B5">
      <w:pPr>
        <w:pStyle w:val="ListParagraph"/>
        <w:numPr>
          <w:ilvl w:val="0"/>
          <w:numId w:val="3"/>
        </w:numPr>
        <w:bidi w:val="0"/>
        <w:snapToGrid w:val="0"/>
        <w:spacing w:after="0" w:line="240" w:lineRule="auto"/>
        <w:ind w:left="425" w:hanging="425"/>
        <w:jc w:val="both"/>
        <w:rPr>
          <w:rFonts w:ascii="Times New Roman" w:hAnsi="Times New Roman" w:cs="Times New Roman"/>
          <w:sz w:val="20"/>
          <w:szCs w:val="20"/>
        </w:rPr>
      </w:pPr>
      <w:r w:rsidRPr="00655CB2">
        <w:rPr>
          <w:rFonts w:ascii="Times New Roman" w:eastAsia="MS Mincho" w:hAnsi="Times New Roman" w:cs="Times New Roman"/>
          <w:sz w:val="20"/>
          <w:szCs w:val="20"/>
        </w:rPr>
        <w:t>Tufale A,</w:t>
      </w:r>
      <w:r>
        <w:rPr>
          <w:rFonts w:ascii="Times New Roman" w:eastAsia="MS Mincho" w:hAnsi="Times New Roman" w:cs="Times New Roman"/>
          <w:sz w:val="20"/>
          <w:szCs w:val="20"/>
        </w:rPr>
        <w:t xml:space="preserve"> </w:t>
      </w:r>
      <w:r w:rsidRPr="00655CB2">
        <w:rPr>
          <w:rFonts w:ascii="Times New Roman" w:eastAsia="MS Mincho" w:hAnsi="Times New Roman" w:cs="Times New Roman"/>
          <w:sz w:val="20"/>
          <w:szCs w:val="20"/>
        </w:rPr>
        <w:t>Sharma K., Patil</w:t>
      </w:r>
      <w:r>
        <w:rPr>
          <w:rFonts w:ascii="Times New Roman" w:eastAsia="MS Mincho" w:hAnsi="Times New Roman" w:cs="Times New Roman"/>
          <w:sz w:val="20"/>
          <w:szCs w:val="20"/>
        </w:rPr>
        <w:t xml:space="preserve"> </w:t>
      </w:r>
      <w:r w:rsidRPr="00655CB2">
        <w:rPr>
          <w:rFonts w:ascii="Times New Roman" w:eastAsia="MS Mincho" w:hAnsi="Times New Roman" w:cs="Times New Roman"/>
          <w:sz w:val="20"/>
          <w:szCs w:val="20"/>
        </w:rPr>
        <w:t>Pet al. Correlation of Various Biomarkers with Axillary Nodal Metastases: Can a Panel of Such Biomarkers Guide Selective Use of Axillary Surgery in T1 Breast Cancer Indian J Surg Oncol. 2015 Dec; 6(4): 346–351.</w:t>
      </w:r>
    </w:p>
    <w:p w:rsidR="00655CB2" w:rsidRPr="00AB35B5" w:rsidRDefault="00655CB2" w:rsidP="00AB35B5">
      <w:pPr>
        <w:pStyle w:val="ListParagraph"/>
        <w:numPr>
          <w:ilvl w:val="0"/>
          <w:numId w:val="3"/>
        </w:numPr>
        <w:bidi w:val="0"/>
        <w:snapToGrid w:val="0"/>
        <w:spacing w:after="0" w:line="240" w:lineRule="auto"/>
        <w:ind w:left="425" w:hanging="425"/>
        <w:jc w:val="both"/>
        <w:rPr>
          <w:rFonts w:ascii="Times New Roman" w:hAnsi="Times New Roman" w:cs="Times New Roman"/>
          <w:sz w:val="20"/>
          <w:szCs w:val="20"/>
        </w:rPr>
        <w:sectPr w:rsidR="00655CB2" w:rsidRPr="00AB35B5" w:rsidSect="00655CB2">
          <w:type w:val="continuous"/>
          <w:pgSz w:w="12242" w:h="15842" w:code="1"/>
          <w:pgMar w:top="1440" w:right="1440" w:bottom="1440" w:left="1440" w:header="720" w:footer="720" w:gutter="0"/>
          <w:cols w:num="2" w:space="550"/>
          <w:docGrid w:linePitch="360"/>
        </w:sectPr>
      </w:pPr>
    </w:p>
    <w:p w:rsidR="001C356B" w:rsidRPr="001C356B" w:rsidRDefault="001C356B" w:rsidP="00655CB2">
      <w:pPr>
        <w:bidi w:val="0"/>
        <w:snapToGrid w:val="0"/>
        <w:spacing w:after="0" w:line="240" w:lineRule="auto"/>
        <w:ind w:left="425" w:hanging="425"/>
        <w:jc w:val="both"/>
        <w:rPr>
          <w:rFonts w:ascii="Times New Roman" w:hAnsi="Times New Roman" w:cs="Times New Roman"/>
          <w:sz w:val="20"/>
          <w:szCs w:val="20"/>
        </w:rPr>
      </w:pPr>
    </w:p>
    <w:p w:rsidR="001C356B" w:rsidRPr="001C356B" w:rsidRDefault="001C356B" w:rsidP="00655CB2">
      <w:pPr>
        <w:bidi w:val="0"/>
        <w:snapToGrid w:val="0"/>
        <w:spacing w:after="0" w:line="240" w:lineRule="auto"/>
        <w:ind w:left="425" w:hanging="425"/>
        <w:jc w:val="both"/>
        <w:rPr>
          <w:rFonts w:ascii="Times New Roman" w:hAnsi="Times New Roman" w:cs="Times New Roman"/>
          <w:sz w:val="20"/>
          <w:szCs w:val="20"/>
          <w:lang w:eastAsia="zh-CN"/>
        </w:rPr>
      </w:pPr>
      <w:r>
        <w:rPr>
          <w:rFonts w:ascii="Times New Roman" w:hAnsi="Times New Roman" w:cs="Times New Roman"/>
          <w:sz w:val="20"/>
          <w:szCs w:val="20"/>
        </w:rPr>
        <w:cr/>
      </w:r>
    </w:p>
    <w:p w:rsidR="005B5B0B" w:rsidRPr="001C356B" w:rsidRDefault="001C356B" w:rsidP="00655CB2">
      <w:pPr>
        <w:bidi w:val="0"/>
        <w:snapToGrid w:val="0"/>
        <w:spacing w:after="0" w:line="240" w:lineRule="auto"/>
        <w:jc w:val="both"/>
        <w:rPr>
          <w:rFonts w:ascii="Times New Roman" w:hAnsi="Times New Roman" w:cs="Times New Roman"/>
          <w:sz w:val="20"/>
          <w:szCs w:val="20"/>
        </w:rPr>
      </w:pPr>
      <w:r w:rsidRPr="001C356B">
        <w:rPr>
          <w:rFonts w:ascii="Times New Roman" w:hAnsi="Times New Roman" w:cs="Times New Roman"/>
          <w:sz w:val="20"/>
          <w:szCs w:val="20"/>
        </w:rPr>
        <w:t>8/14/2018</w:t>
      </w:r>
    </w:p>
    <w:sectPr w:rsidR="005B5B0B" w:rsidRPr="001C356B" w:rsidSect="001C356B">
      <w:type w:val="continuous"/>
      <w:pgSz w:w="12242" w:h="15842"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0576" w:rsidRDefault="00F50576" w:rsidP="00B76B69">
      <w:pPr>
        <w:spacing w:after="0" w:line="240" w:lineRule="auto"/>
      </w:pPr>
      <w:r>
        <w:separator/>
      </w:r>
    </w:p>
  </w:endnote>
  <w:endnote w:type="continuationSeparator" w:id="1">
    <w:p w:rsidR="00F50576" w:rsidRDefault="00F50576" w:rsidP="00B76B6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w:altName w:val="Times"/>
    <w:panose1 w:val="02020603050405020304"/>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宋">
    <w:altName w:val="Arial Unicode MS"/>
    <w:panose1 w:val="00000000000000000000"/>
    <w:charset w:val="86"/>
    <w:family w:val="roman"/>
    <w:notTrueType/>
    <w:pitch w:val="default"/>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5CB2" w:rsidRPr="004835AB" w:rsidRDefault="007B044B" w:rsidP="004835AB">
    <w:pPr>
      <w:bidi w:val="0"/>
      <w:spacing w:after="0" w:line="240" w:lineRule="auto"/>
      <w:jc w:val="center"/>
      <w:rPr>
        <w:rFonts w:ascii="Times New Roman" w:hAnsi="Times New Roman" w:cs="Times New Roman"/>
        <w:sz w:val="20"/>
      </w:rPr>
    </w:pPr>
    <w:r w:rsidRPr="004835AB">
      <w:rPr>
        <w:rFonts w:ascii="Times New Roman" w:hAnsi="Times New Roman" w:cs="Times New Roman"/>
        <w:sz w:val="20"/>
      </w:rPr>
      <w:fldChar w:fldCharType="begin"/>
    </w:r>
    <w:r w:rsidR="004835AB" w:rsidRPr="004835AB">
      <w:rPr>
        <w:rFonts w:ascii="Times New Roman" w:hAnsi="Times New Roman" w:cs="Times New Roman"/>
        <w:sz w:val="20"/>
      </w:rPr>
      <w:instrText xml:space="preserve"> page </w:instrText>
    </w:r>
    <w:r w:rsidRPr="004835AB">
      <w:rPr>
        <w:rFonts w:ascii="Times New Roman" w:hAnsi="Times New Roman" w:cs="Times New Roman"/>
        <w:sz w:val="20"/>
      </w:rPr>
      <w:fldChar w:fldCharType="separate"/>
    </w:r>
    <w:r w:rsidR="00AB35B5">
      <w:rPr>
        <w:rFonts w:ascii="Times New Roman" w:hAnsi="Times New Roman" w:cs="Times New Roman"/>
        <w:noProof/>
        <w:sz w:val="20"/>
      </w:rPr>
      <w:t>46</w:t>
    </w:r>
    <w:r w:rsidRPr="004835AB">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0576" w:rsidRDefault="00F50576" w:rsidP="00B76B69">
      <w:pPr>
        <w:spacing w:after="0" w:line="240" w:lineRule="auto"/>
      </w:pPr>
      <w:r>
        <w:separator/>
      </w:r>
    </w:p>
  </w:footnote>
  <w:footnote w:type="continuationSeparator" w:id="1">
    <w:p w:rsidR="00F50576" w:rsidRDefault="00F50576" w:rsidP="00B76B6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35AB" w:rsidRPr="004835AB" w:rsidRDefault="004835AB" w:rsidP="004835AB">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iCs/>
        <w:color w:val="0000FF"/>
        <w:sz w:val="20"/>
      </w:rPr>
    </w:pPr>
    <w:r w:rsidRPr="004835AB">
      <w:rPr>
        <w:rFonts w:ascii="Times New Roman" w:hAnsi="Times New Roman" w:cs="Times New Roman" w:hint="eastAsia"/>
        <w:iCs/>
        <w:color w:val="000000"/>
        <w:sz w:val="20"/>
      </w:rPr>
      <w:tab/>
    </w:r>
    <w:r w:rsidRPr="004835AB">
      <w:rPr>
        <w:rFonts w:ascii="Times New Roman" w:hAnsi="Times New Roman" w:cs="Times New Roman"/>
        <w:iCs/>
        <w:color w:val="000000"/>
        <w:sz w:val="20"/>
      </w:rPr>
      <w:t xml:space="preserve">Cancer Biology </w:t>
    </w:r>
    <w:r w:rsidRPr="004835AB">
      <w:rPr>
        <w:rFonts w:ascii="Times New Roman" w:hAnsi="Times New Roman" w:cs="Times New Roman"/>
        <w:iCs/>
        <w:sz w:val="20"/>
      </w:rPr>
      <w:t>201</w:t>
    </w:r>
    <w:r w:rsidRPr="004835AB">
      <w:rPr>
        <w:rFonts w:ascii="Times New Roman" w:hAnsi="Times New Roman" w:cs="Times New Roman" w:hint="eastAsia"/>
        <w:iCs/>
        <w:sz w:val="20"/>
      </w:rPr>
      <w:t>8</w:t>
    </w:r>
    <w:r w:rsidRPr="004835AB">
      <w:rPr>
        <w:rFonts w:ascii="Times New Roman" w:hAnsi="Times New Roman" w:cs="Times New Roman"/>
        <w:iCs/>
        <w:sz w:val="20"/>
      </w:rPr>
      <w:t>;</w:t>
    </w:r>
    <w:r w:rsidRPr="004835AB">
      <w:rPr>
        <w:rFonts w:ascii="Times New Roman" w:hAnsi="Times New Roman" w:cs="Times New Roman" w:hint="eastAsia"/>
        <w:iCs/>
        <w:sz w:val="20"/>
      </w:rPr>
      <w:t>8</w:t>
    </w:r>
    <w:r w:rsidRPr="004835AB">
      <w:rPr>
        <w:rFonts w:ascii="Times New Roman" w:hAnsi="Times New Roman" w:cs="Times New Roman"/>
        <w:iCs/>
        <w:sz w:val="20"/>
      </w:rPr>
      <w:t>(</w:t>
    </w:r>
    <w:r w:rsidRPr="004835AB">
      <w:rPr>
        <w:rFonts w:ascii="Times New Roman" w:hAnsi="Times New Roman" w:cs="Times New Roman" w:hint="eastAsia"/>
        <w:iCs/>
        <w:sz w:val="20"/>
      </w:rPr>
      <w:t>3</w:t>
    </w:r>
    <w:r w:rsidRPr="004835AB">
      <w:rPr>
        <w:rFonts w:ascii="Times New Roman" w:hAnsi="Times New Roman" w:cs="Times New Roman"/>
        <w:iCs/>
        <w:sz w:val="20"/>
      </w:rPr>
      <w:t xml:space="preserve">)  </w:t>
    </w:r>
    <w:r w:rsidRPr="004835AB">
      <w:rPr>
        <w:rFonts w:ascii="Times New Roman" w:hAnsi="Times New Roman" w:cs="Times New Roman" w:hint="eastAsia"/>
        <w:iCs/>
        <w:sz w:val="20"/>
      </w:rPr>
      <w:tab/>
    </w:r>
    <w:hyperlink r:id="rId1" w:history="1">
      <w:r w:rsidRPr="004835AB">
        <w:rPr>
          <w:rStyle w:val="Hyperlink"/>
          <w:rFonts w:ascii="Times New Roman" w:hAnsi="Times New Roman" w:cs="Times New Roman"/>
          <w:color w:val="0000FF"/>
          <w:sz w:val="20"/>
        </w:rPr>
        <w:t>http://www.cancerbio.net</w:t>
      </w:r>
    </w:hyperlink>
  </w:p>
  <w:p w:rsidR="004835AB" w:rsidRPr="004835AB" w:rsidRDefault="004835AB" w:rsidP="004835AB">
    <w:pPr>
      <w:tabs>
        <w:tab w:val="left" w:pos="851"/>
        <w:tab w:val="right" w:pos="8364"/>
      </w:tabs>
      <w:bidi w:val="0"/>
      <w:adjustRightInd w:val="0"/>
      <w:snapToGrid w:val="0"/>
      <w:spacing w:after="0" w:line="240" w:lineRule="auto"/>
      <w:jc w:val="both"/>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74506A"/>
    <w:multiLevelType w:val="hybridMultilevel"/>
    <w:tmpl w:val="71B6F3B4"/>
    <w:lvl w:ilvl="0" w:tplc="CD2A645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4014E2E"/>
    <w:multiLevelType w:val="hybridMultilevel"/>
    <w:tmpl w:val="183E6CC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53287168"/>
    <w:multiLevelType w:val="hybridMultilevel"/>
    <w:tmpl w:val="88A80860"/>
    <w:lvl w:ilvl="0" w:tplc="1C9E258A">
      <w:start w:val="79"/>
      <w:numFmt w:val="bullet"/>
      <w:lvlText w:val=""/>
      <w:lvlJc w:val="left"/>
      <w:pPr>
        <w:ind w:left="644" w:hanging="360"/>
      </w:pPr>
      <w:rPr>
        <w:rFonts w:ascii="Wingdings" w:eastAsiaTheme="minorHAnsi" w:hAnsi="Wingdings" w:cstheme="majorBidi"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ocumentProtection w:edit="readOnly" w:enforcement="0"/>
  <w:defaultTabStop w:val="720"/>
  <w:drawingGridHorizontalSpacing w:val="110"/>
  <w:displayHorizontalDrawingGridEvery w:val="2"/>
  <w:characterSpacingControl w:val="doNotCompress"/>
  <w:hdrShapeDefaults>
    <o:shapedefaults v:ext="edit" spidmax="5122"/>
  </w:hdrShapeDefaults>
  <w:footnotePr>
    <w:footnote w:id="0"/>
    <w:footnote w:id="1"/>
  </w:footnotePr>
  <w:endnotePr>
    <w:endnote w:id="0"/>
    <w:endnote w:id="1"/>
  </w:endnotePr>
  <w:compat>
    <w:useFELayout/>
  </w:compat>
  <w:rsids>
    <w:rsidRoot w:val="005408E9"/>
    <w:rsid w:val="00026658"/>
    <w:rsid w:val="00040CAF"/>
    <w:rsid w:val="0004563D"/>
    <w:rsid w:val="0009697F"/>
    <w:rsid w:val="000B3E43"/>
    <w:rsid w:val="000B3E7D"/>
    <w:rsid w:val="000E4B1F"/>
    <w:rsid w:val="000F2C83"/>
    <w:rsid w:val="00126401"/>
    <w:rsid w:val="001418FB"/>
    <w:rsid w:val="0014302F"/>
    <w:rsid w:val="00146933"/>
    <w:rsid w:val="00155688"/>
    <w:rsid w:val="001C356B"/>
    <w:rsid w:val="001D7BA6"/>
    <w:rsid w:val="001D7C73"/>
    <w:rsid w:val="001F009A"/>
    <w:rsid w:val="00200531"/>
    <w:rsid w:val="00223795"/>
    <w:rsid w:val="002353BD"/>
    <w:rsid w:val="002B48C6"/>
    <w:rsid w:val="002B7F78"/>
    <w:rsid w:val="002C3122"/>
    <w:rsid w:val="002D7A6A"/>
    <w:rsid w:val="002E378A"/>
    <w:rsid w:val="002F5816"/>
    <w:rsid w:val="0031300A"/>
    <w:rsid w:val="003131DB"/>
    <w:rsid w:val="00317AB3"/>
    <w:rsid w:val="00322B38"/>
    <w:rsid w:val="00337E2D"/>
    <w:rsid w:val="00342D1A"/>
    <w:rsid w:val="00345DB6"/>
    <w:rsid w:val="003718E5"/>
    <w:rsid w:val="003A07C7"/>
    <w:rsid w:val="003C6023"/>
    <w:rsid w:val="003E0EF9"/>
    <w:rsid w:val="003E1FE2"/>
    <w:rsid w:val="003E4A04"/>
    <w:rsid w:val="00403A3F"/>
    <w:rsid w:val="0042084D"/>
    <w:rsid w:val="00430174"/>
    <w:rsid w:val="00443350"/>
    <w:rsid w:val="00444D8D"/>
    <w:rsid w:val="00454112"/>
    <w:rsid w:val="00463A71"/>
    <w:rsid w:val="004835AB"/>
    <w:rsid w:val="004B5220"/>
    <w:rsid w:val="004E52B3"/>
    <w:rsid w:val="0050297B"/>
    <w:rsid w:val="00503EF3"/>
    <w:rsid w:val="005408E9"/>
    <w:rsid w:val="00570CF3"/>
    <w:rsid w:val="00571EEC"/>
    <w:rsid w:val="00594EB2"/>
    <w:rsid w:val="005B5B0B"/>
    <w:rsid w:val="005C644C"/>
    <w:rsid w:val="005E7195"/>
    <w:rsid w:val="005F5228"/>
    <w:rsid w:val="00611337"/>
    <w:rsid w:val="006544BC"/>
    <w:rsid w:val="00655CB2"/>
    <w:rsid w:val="006874C3"/>
    <w:rsid w:val="006A7FDC"/>
    <w:rsid w:val="006E6984"/>
    <w:rsid w:val="006F432F"/>
    <w:rsid w:val="006F5655"/>
    <w:rsid w:val="00717E9E"/>
    <w:rsid w:val="00751138"/>
    <w:rsid w:val="0077397B"/>
    <w:rsid w:val="0078406C"/>
    <w:rsid w:val="00791565"/>
    <w:rsid w:val="007B044B"/>
    <w:rsid w:val="007B230A"/>
    <w:rsid w:val="007B6F40"/>
    <w:rsid w:val="007D1385"/>
    <w:rsid w:val="007D76C2"/>
    <w:rsid w:val="008041FB"/>
    <w:rsid w:val="00804AEB"/>
    <w:rsid w:val="0083370C"/>
    <w:rsid w:val="00847DEE"/>
    <w:rsid w:val="00862E21"/>
    <w:rsid w:val="00881D33"/>
    <w:rsid w:val="008F3E6C"/>
    <w:rsid w:val="008F7273"/>
    <w:rsid w:val="00912639"/>
    <w:rsid w:val="009558F3"/>
    <w:rsid w:val="0099042A"/>
    <w:rsid w:val="00992932"/>
    <w:rsid w:val="009A0667"/>
    <w:rsid w:val="009B4240"/>
    <w:rsid w:val="009C326A"/>
    <w:rsid w:val="009C6C38"/>
    <w:rsid w:val="009F4144"/>
    <w:rsid w:val="00A46EB5"/>
    <w:rsid w:val="00A53284"/>
    <w:rsid w:val="00A83EF4"/>
    <w:rsid w:val="00A931EA"/>
    <w:rsid w:val="00AA79C6"/>
    <w:rsid w:val="00AB35B5"/>
    <w:rsid w:val="00AD3E97"/>
    <w:rsid w:val="00B01852"/>
    <w:rsid w:val="00B41A85"/>
    <w:rsid w:val="00B44584"/>
    <w:rsid w:val="00B44594"/>
    <w:rsid w:val="00B57067"/>
    <w:rsid w:val="00B61CD9"/>
    <w:rsid w:val="00B76B69"/>
    <w:rsid w:val="00B86386"/>
    <w:rsid w:val="00BB0368"/>
    <w:rsid w:val="00BE0ED5"/>
    <w:rsid w:val="00C51930"/>
    <w:rsid w:val="00C74E0F"/>
    <w:rsid w:val="00C95729"/>
    <w:rsid w:val="00CA1B56"/>
    <w:rsid w:val="00CA46B3"/>
    <w:rsid w:val="00CB7033"/>
    <w:rsid w:val="00CB79DA"/>
    <w:rsid w:val="00CC6538"/>
    <w:rsid w:val="00CC6693"/>
    <w:rsid w:val="00CC6811"/>
    <w:rsid w:val="00CC76CE"/>
    <w:rsid w:val="00CF4E9A"/>
    <w:rsid w:val="00D13A00"/>
    <w:rsid w:val="00D61062"/>
    <w:rsid w:val="00D81487"/>
    <w:rsid w:val="00D825DF"/>
    <w:rsid w:val="00DA4F28"/>
    <w:rsid w:val="00DB1FA6"/>
    <w:rsid w:val="00DF7E28"/>
    <w:rsid w:val="00E1012B"/>
    <w:rsid w:val="00E32736"/>
    <w:rsid w:val="00E54560"/>
    <w:rsid w:val="00E65B6D"/>
    <w:rsid w:val="00E9374D"/>
    <w:rsid w:val="00EC107B"/>
    <w:rsid w:val="00EC1834"/>
    <w:rsid w:val="00EF4FAD"/>
    <w:rsid w:val="00F11597"/>
    <w:rsid w:val="00F50576"/>
    <w:rsid w:val="00F85B04"/>
    <w:rsid w:val="00FC4315"/>
    <w:rsid w:val="00FF3880"/>
    <w:rsid w:val="00FF529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7E2D"/>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408E9"/>
    <w:pPr>
      <w:autoSpaceDE w:val="0"/>
      <w:autoSpaceDN w:val="0"/>
      <w:adjustRightInd w:val="0"/>
      <w:spacing w:after="0" w:line="240" w:lineRule="auto"/>
    </w:pPr>
    <w:rPr>
      <w:rFonts w:ascii="Times New Roman" w:eastAsiaTheme="minorHAnsi" w:hAnsi="Times New Roman" w:cs="Times New Roman"/>
      <w:color w:val="000000"/>
      <w:sz w:val="24"/>
      <w:szCs w:val="24"/>
    </w:rPr>
  </w:style>
  <w:style w:type="table" w:styleId="TableGrid">
    <w:name w:val="Table Grid"/>
    <w:basedOn w:val="TableNormal"/>
    <w:uiPriority w:val="59"/>
    <w:rsid w:val="005408E9"/>
    <w:pPr>
      <w:spacing w:after="0" w:line="240" w:lineRule="auto"/>
    </w:pPr>
    <w:rPr>
      <w:rFonts w:ascii="Times New Roman" w:eastAsiaTheme="minorHAnsi"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408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08E9"/>
    <w:rPr>
      <w:rFonts w:ascii="Tahoma" w:hAnsi="Tahoma" w:cs="Tahoma"/>
      <w:sz w:val="16"/>
      <w:szCs w:val="16"/>
    </w:rPr>
  </w:style>
  <w:style w:type="character" w:styleId="Hyperlink">
    <w:name w:val="Hyperlink"/>
    <w:basedOn w:val="DefaultParagraphFont"/>
    <w:uiPriority w:val="99"/>
    <w:unhideWhenUsed/>
    <w:rsid w:val="00E32736"/>
    <w:rPr>
      <w:color w:val="0000FF" w:themeColor="hyperlink"/>
      <w:u w:val="single"/>
    </w:rPr>
  </w:style>
  <w:style w:type="paragraph" w:customStyle="1" w:styleId="Pa3">
    <w:name w:val="Pa3"/>
    <w:basedOn w:val="Default"/>
    <w:next w:val="Default"/>
    <w:uiPriority w:val="99"/>
    <w:rsid w:val="00E32736"/>
    <w:pPr>
      <w:spacing w:line="201" w:lineRule="atLeast"/>
    </w:pPr>
    <w:rPr>
      <w:rFonts w:ascii="Times" w:eastAsiaTheme="minorEastAsia" w:hAnsi="Times" w:cstheme="minorBidi"/>
      <w:color w:val="auto"/>
    </w:rPr>
  </w:style>
  <w:style w:type="character" w:customStyle="1" w:styleId="cit">
    <w:name w:val="cit"/>
    <w:basedOn w:val="DefaultParagraphFont"/>
    <w:rsid w:val="0014302F"/>
  </w:style>
  <w:style w:type="character" w:customStyle="1" w:styleId="fm-vol-iss-date">
    <w:name w:val="fm-vol-iss-date"/>
    <w:basedOn w:val="DefaultParagraphFont"/>
    <w:rsid w:val="0014302F"/>
  </w:style>
  <w:style w:type="character" w:customStyle="1" w:styleId="doi">
    <w:name w:val="doi"/>
    <w:basedOn w:val="DefaultParagraphFont"/>
    <w:rsid w:val="0014302F"/>
  </w:style>
  <w:style w:type="paragraph" w:styleId="ListParagraph">
    <w:name w:val="List Paragraph"/>
    <w:basedOn w:val="Normal"/>
    <w:uiPriority w:val="34"/>
    <w:qFormat/>
    <w:rsid w:val="003C6023"/>
    <w:pPr>
      <w:ind w:left="720"/>
      <w:contextualSpacing/>
    </w:pPr>
  </w:style>
  <w:style w:type="paragraph" w:styleId="Header">
    <w:name w:val="header"/>
    <w:basedOn w:val="Normal"/>
    <w:link w:val="HeaderChar"/>
    <w:uiPriority w:val="99"/>
    <w:unhideWhenUsed/>
    <w:rsid w:val="00B76B69"/>
    <w:pPr>
      <w:tabs>
        <w:tab w:val="center" w:pos="4153"/>
        <w:tab w:val="right" w:pos="8306"/>
      </w:tabs>
      <w:spacing w:after="0" w:line="240" w:lineRule="auto"/>
    </w:pPr>
  </w:style>
  <w:style w:type="character" w:customStyle="1" w:styleId="HeaderChar">
    <w:name w:val="Header Char"/>
    <w:basedOn w:val="DefaultParagraphFont"/>
    <w:link w:val="Header"/>
    <w:uiPriority w:val="99"/>
    <w:rsid w:val="00B76B69"/>
  </w:style>
  <w:style w:type="paragraph" w:styleId="Footer">
    <w:name w:val="footer"/>
    <w:basedOn w:val="Normal"/>
    <w:link w:val="FooterChar"/>
    <w:uiPriority w:val="99"/>
    <w:semiHidden/>
    <w:unhideWhenUsed/>
    <w:rsid w:val="00B76B69"/>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B76B69"/>
  </w:style>
  <w:style w:type="character" w:customStyle="1" w:styleId="msonormal0">
    <w:name w:val="msonormal0"/>
    <w:basedOn w:val="DefaultParagraphFont"/>
    <w:rsid w:val="00B76B69"/>
  </w:style>
  <w:style w:type="character" w:customStyle="1" w:styleId="un">
    <w:name w:val="u_n"/>
    <w:basedOn w:val="DefaultParagraphFont"/>
    <w:rsid w:val="005B5B0B"/>
  </w:style>
  <w:style w:type="paragraph" w:styleId="NoSpacing">
    <w:name w:val="No Spacing"/>
    <w:basedOn w:val="Normal"/>
    <w:link w:val="NoSpacingChar"/>
    <w:qFormat/>
    <w:rsid w:val="00655CB2"/>
    <w:pPr>
      <w:bidi w:val="0"/>
      <w:spacing w:before="100" w:beforeAutospacing="1" w:after="100" w:afterAutospacing="1" w:line="240" w:lineRule="auto"/>
    </w:pPr>
    <w:rPr>
      <w:rFonts w:ascii="Times New Roman" w:eastAsia="SimSun" w:hAnsi="Times New Roman" w:cs="Times New Roman"/>
      <w:sz w:val="24"/>
      <w:szCs w:val="24"/>
      <w:lang w:eastAsia="zh-CN"/>
    </w:rPr>
  </w:style>
  <w:style w:type="character" w:customStyle="1" w:styleId="NoSpacingChar">
    <w:name w:val="No Spacing Char"/>
    <w:basedOn w:val="DefaultParagraphFont"/>
    <w:link w:val="NoSpacing"/>
    <w:locked/>
    <w:rsid w:val="00655CB2"/>
    <w:rPr>
      <w:rFonts w:ascii="Times New Roman" w:eastAsia="SimSun" w:hAnsi="Times New Roman" w:cs="Times New Roman"/>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80186010">
      <w:bodyDiv w:val="1"/>
      <w:marLeft w:val="0"/>
      <w:marRight w:val="0"/>
      <w:marTop w:val="0"/>
      <w:marBottom w:val="0"/>
      <w:divBdr>
        <w:top w:val="none" w:sz="0" w:space="0" w:color="auto"/>
        <w:left w:val="none" w:sz="0" w:space="0" w:color="auto"/>
        <w:bottom w:val="none" w:sz="0" w:space="0" w:color="auto"/>
        <w:right w:val="none" w:sz="0" w:space="0" w:color="auto"/>
      </w:divBdr>
      <w:divsChild>
        <w:div w:id="863710745">
          <w:marLeft w:val="0"/>
          <w:marRight w:val="0"/>
          <w:marTop w:val="0"/>
          <w:marBottom w:val="0"/>
          <w:divBdr>
            <w:top w:val="none" w:sz="0" w:space="0" w:color="auto"/>
            <w:left w:val="none" w:sz="0" w:space="0" w:color="auto"/>
            <w:bottom w:val="none" w:sz="0" w:space="0" w:color="auto"/>
            <w:right w:val="none" w:sz="0" w:space="0" w:color="auto"/>
          </w:divBdr>
        </w:div>
        <w:div w:id="2127382520">
          <w:marLeft w:val="0"/>
          <w:marRight w:val="0"/>
          <w:marTop w:val="0"/>
          <w:marBottom w:val="0"/>
          <w:divBdr>
            <w:top w:val="none" w:sz="0" w:space="0" w:color="auto"/>
            <w:left w:val="none" w:sz="0" w:space="0" w:color="auto"/>
            <w:bottom w:val="none" w:sz="0" w:space="0" w:color="auto"/>
            <w:right w:val="none" w:sz="0" w:space="0" w:color="auto"/>
          </w:divBdr>
        </w:div>
      </w:divsChild>
    </w:div>
    <w:div w:id="778062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_sadaka@hotmail.com" TargetMode="External"/><Relationship Id="rId13" Type="http://schemas.openxmlformats.org/officeDocument/2006/relationships/image" Target="media/image1.png"/><Relationship Id="rId18" Type="http://schemas.openxmlformats.org/officeDocument/2006/relationships/hyperlink" Target="https://www.ncbi.nlm.nih.gov/pmc/articles/PMC5589678/" TargetMode="External"/><Relationship Id="rId3" Type="http://schemas.openxmlformats.org/officeDocument/2006/relationships/styles" Target="styles.xml"/><Relationship Id="rId21" Type="http://schemas.openxmlformats.org/officeDocument/2006/relationships/hyperlink" Target="https://www.ncbi.nlm.nih.gov/pmc/articles/PMC5589678/"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www.ncbi.nlm.nih.gov/pmc/articles/PMC5589678/" TargetMode="External"/><Relationship Id="rId2" Type="http://schemas.openxmlformats.org/officeDocument/2006/relationships/numbering" Target="numbering.xml"/><Relationship Id="rId16" Type="http://schemas.openxmlformats.org/officeDocument/2006/relationships/hyperlink" Target="https://www.ncbi.nlm.nih.gov/pmc/articles/PMC5589678/" TargetMode="External"/><Relationship Id="rId20" Type="http://schemas.openxmlformats.org/officeDocument/2006/relationships/hyperlink" Target="https://www.ncbi.nlm.nih.gov/pubmed/?term=Dass%20TA%5BAuthor%5D&amp;cauthor=true&amp;cauthor_uid=2706565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https://www.ncbi.nlm.nih.gov/pmc/articles/PMC5589678/" TargetMode="External"/><Relationship Id="rId23" Type="http://schemas.openxmlformats.org/officeDocument/2006/relationships/theme" Target="theme/theme1.xml"/><Relationship Id="rId10" Type="http://schemas.openxmlformats.org/officeDocument/2006/relationships/hyperlink" Target="http://www.dx.doi.org/10.7537/marscbj080318.08" TargetMode="External"/><Relationship Id="rId19" Type="http://schemas.openxmlformats.org/officeDocument/2006/relationships/hyperlink" Target="https://www.ncbi.nlm.nih.gov/pmc/articles/PMC5589678/" TargetMode="External"/><Relationship Id="rId4" Type="http://schemas.openxmlformats.org/officeDocument/2006/relationships/settings" Target="settings.xml"/><Relationship Id="rId9" Type="http://schemas.openxmlformats.org/officeDocument/2006/relationships/hyperlink" Target="http://www.cancerbio.net" TargetMode="External"/><Relationship Id="rId14" Type="http://schemas.openxmlformats.org/officeDocument/2006/relationships/hyperlink" Target="https://www.ncbi.nlm.nih.gov/pmc/articles/PMC5589678/"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A4B637-D4A5-448E-8B09-C5E4C63E8D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2822</Words>
  <Characters>16087</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18872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power system</dc:creator>
  <cp:lastModifiedBy>drmonazaki</cp:lastModifiedBy>
  <cp:revision>2</cp:revision>
  <dcterms:created xsi:type="dcterms:W3CDTF">2018-08-26T11:32:00Z</dcterms:created>
  <dcterms:modified xsi:type="dcterms:W3CDTF">2018-08-26T11:32:00Z</dcterms:modified>
</cp:coreProperties>
</file>