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A" w:rsidRPr="00420387" w:rsidRDefault="00E2631E" w:rsidP="008E1495">
      <w:pPr>
        <w:snapToGrid w:val="0"/>
        <w:spacing w:after="0" w:line="240" w:lineRule="auto"/>
        <w:jc w:val="center"/>
        <w:rPr>
          <w:rFonts w:ascii="Times New Roman" w:hAnsi="Times New Roman" w:cs="Times New Roman"/>
          <w:b/>
          <w:bCs/>
          <w:sz w:val="20"/>
          <w:szCs w:val="20"/>
          <w:lang w:eastAsia="zh-CN"/>
        </w:rPr>
      </w:pPr>
      <w:r w:rsidRPr="00420387">
        <w:rPr>
          <w:rFonts w:ascii="Times New Roman" w:hAnsi="Times New Roman" w:cs="Times New Roman"/>
          <w:b/>
          <w:bCs/>
          <w:sz w:val="20"/>
          <w:szCs w:val="20"/>
        </w:rPr>
        <w:t>RapidArc versus intensity modulated radiation therapy</w:t>
      </w:r>
      <w:r w:rsidR="003C226A" w:rsidRPr="00420387">
        <w:rPr>
          <w:rFonts w:ascii="Times New Roman" w:hAnsi="Times New Roman" w:cs="Times New Roman"/>
          <w:b/>
          <w:bCs/>
          <w:sz w:val="20"/>
          <w:szCs w:val="20"/>
        </w:rPr>
        <w:t xml:space="preserve"> </w:t>
      </w:r>
      <w:r w:rsidRPr="00420387">
        <w:rPr>
          <w:rFonts w:ascii="Times New Roman" w:hAnsi="Times New Roman" w:cs="Times New Roman"/>
          <w:b/>
          <w:bCs/>
          <w:sz w:val="20"/>
          <w:szCs w:val="20"/>
        </w:rPr>
        <w:t>in adjuvant gastric cancer irradiation: Any dosimetric advantage?</w:t>
      </w:r>
      <w:r w:rsidR="003C226A" w:rsidRPr="00420387">
        <w:rPr>
          <w:rFonts w:ascii="Times New Roman" w:hAnsi="Times New Roman" w:cs="Times New Roman"/>
          <w:b/>
          <w:bCs/>
          <w:sz w:val="20"/>
          <w:szCs w:val="20"/>
        </w:rPr>
        <w:t xml:space="preserve"> </w:t>
      </w:r>
    </w:p>
    <w:p w:rsidR="003C226A" w:rsidRPr="00420387" w:rsidRDefault="003C226A" w:rsidP="008E1495">
      <w:pPr>
        <w:snapToGrid w:val="0"/>
        <w:spacing w:after="0" w:line="240" w:lineRule="auto"/>
        <w:jc w:val="center"/>
        <w:rPr>
          <w:rFonts w:ascii="Times New Roman" w:hAnsi="Times New Roman" w:cs="Times New Roman"/>
          <w:b/>
          <w:bCs/>
          <w:sz w:val="20"/>
          <w:szCs w:val="20"/>
          <w:lang w:eastAsia="zh-CN"/>
        </w:rPr>
      </w:pPr>
    </w:p>
    <w:p w:rsidR="003C226A" w:rsidRPr="00420387" w:rsidRDefault="00E2631E" w:rsidP="008E1495">
      <w:pPr>
        <w:autoSpaceDE w:val="0"/>
        <w:autoSpaceDN w:val="0"/>
        <w:adjustRightInd w:val="0"/>
        <w:snapToGrid w:val="0"/>
        <w:spacing w:after="0" w:line="240" w:lineRule="auto"/>
        <w:jc w:val="center"/>
        <w:rPr>
          <w:rFonts w:ascii="Times New Roman" w:hAnsi="Times New Roman" w:cs="Times New Roman"/>
          <w:b/>
          <w:sz w:val="20"/>
          <w:szCs w:val="20"/>
        </w:rPr>
      </w:pPr>
      <w:r w:rsidRPr="00420387">
        <w:rPr>
          <w:rFonts w:ascii="Times New Roman" w:hAnsi="Times New Roman" w:cs="Times New Roman"/>
          <w:bCs/>
          <w:sz w:val="20"/>
          <w:szCs w:val="20"/>
        </w:rPr>
        <w:t>Karim Mashhour</w:t>
      </w:r>
      <w:r w:rsidRPr="00420387">
        <w:rPr>
          <w:rFonts w:ascii="Times New Roman" w:eastAsia="Times New Roman" w:hAnsi="Times New Roman" w:cs="Times New Roman"/>
          <w:bCs/>
          <w:color w:val="231F20"/>
          <w:sz w:val="20"/>
          <w:szCs w:val="20"/>
        </w:rPr>
        <w:t>, M.D *,</w:t>
      </w:r>
      <w:r w:rsidRPr="00420387">
        <w:rPr>
          <w:rFonts w:ascii="Times New Roman" w:hAnsi="Times New Roman" w:cs="Times New Roman"/>
          <w:bCs/>
          <w:sz w:val="20"/>
          <w:szCs w:val="20"/>
        </w:rPr>
        <w:t xml:space="preserve"> </w:t>
      </w:r>
      <w:r w:rsidRPr="00420387">
        <w:rPr>
          <w:rFonts w:ascii="Times New Roman" w:eastAsia="Times New Roman" w:hAnsi="Times New Roman" w:cs="Times New Roman"/>
          <w:bCs/>
          <w:color w:val="231F20"/>
          <w:sz w:val="20"/>
          <w:szCs w:val="20"/>
        </w:rPr>
        <w:t>Wedad Hashem, M.D *, Hoda Abdelghany</w:t>
      </w:r>
      <w:r w:rsidR="003C226A" w:rsidRPr="00420387">
        <w:rPr>
          <w:rFonts w:ascii="Times New Roman" w:hAnsi="Times New Roman" w:cs="Times New Roman"/>
          <w:sz w:val="20"/>
          <w:szCs w:val="20"/>
          <w:lang w:bidi="ar-EG"/>
        </w:rPr>
        <w:t>,</w:t>
      </w:r>
      <w:r w:rsidRPr="00420387">
        <w:rPr>
          <w:rFonts w:ascii="Times New Roman" w:eastAsia="Times New Roman" w:hAnsi="Times New Roman" w:cs="Times New Roman"/>
          <w:color w:val="231F20"/>
          <w:sz w:val="20"/>
          <w:szCs w:val="20"/>
        </w:rPr>
        <w:t xml:space="preserve"> M.sc †</w:t>
      </w:r>
      <w:r w:rsidR="003C226A" w:rsidRPr="00420387">
        <w:rPr>
          <w:rFonts w:ascii="Times New Roman" w:eastAsia="Times New Roman" w:hAnsi="Times New Roman" w:cs="Times New Roman"/>
          <w:color w:val="231F20"/>
          <w:sz w:val="20"/>
          <w:szCs w:val="20"/>
        </w:rPr>
        <w:t>,</w:t>
      </w:r>
      <w:r w:rsidRPr="00420387">
        <w:rPr>
          <w:rFonts w:ascii="Times New Roman" w:hAnsi="Times New Roman" w:cs="Times New Roman"/>
          <w:b/>
          <w:sz w:val="20"/>
          <w:szCs w:val="20"/>
        </w:rPr>
        <w:t xml:space="preserve"> </w:t>
      </w:r>
    </w:p>
    <w:p w:rsidR="003C226A" w:rsidRPr="00420387" w:rsidRDefault="003C226A" w:rsidP="008E1495">
      <w:pPr>
        <w:autoSpaceDE w:val="0"/>
        <w:autoSpaceDN w:val="0"/>
        <w:adjustRightInd w:val="0"/>
        <w:snapToGrid w:val="0"/>
        <w:spacing w:after="0" w:line="240" w:lineRule="auto"/>
        <w:jc w:val="center"/>
        <w:rPr>
          <w:rFonts w:ascii="Times New Roman" w:hAnsi="Times New Roman" w:cs="Times New Roman"/>
          <w:b/>
          <w:sz w:val="20"/>
          <w:szCs w:val="20"/>
        </w:rPr>
      </w:pPr>
    </w:p>
    <w:p w:rsidR="00B04213" w:rsidRPr="00420387" w:rsidRDefault="00E2631E" w:rsidP="008E1495">
      <w:pPr>
        <w:snapToGrid w:val="0"/>
        <w:spacing w:after="0" w:line="240" w:lineRule="auto"/>
        <w:jc w:val="center"/>
        <w:rPr>
          <w:rFonts w:ascii="Times New Roman" w:hAnsi="Times New Roman" w:cs="Times New Roman"/>
          <w:sz w:val="20"/>
          <w:szCs w:val="20"/>
          <w:lang w:bidi="ar-EG"/>
        </w:rPr>
      </w:pPr>
      <w:r w:rsidRPr="00420387">
        <w:rPr>
          <w:rFonts w:ascii="Times New Roman" w:eastAsia="Times New Roman" w:hAnsi="Times New Roman" w:cs="Times New Roman"/>
          <w:bCs/>
          <w:color w:val="231F20"/>
          <w:sz w:val="20"/>
          <w:szCs w:val="20"/>
        </w:rPr>
        <w:t>*</w:t>
      </w:r>
      <w:r w:rsidRPr="00420387">
        <w:rPr>
          <w:rFonts w:ascii="Times New Roman" w:eastAsia="Times New Roman" w:hAnsi="Times New Roman" w:cs="Times New Roman"/>
          <w:sz w:val="20"/>
          <w:szCs w:val="20"/>
        </w:rPr>
        <w:t xml:space="preserve">Department of Clinical Oncology, Kasr Al-Ainy school of medicine, Cairo University, </w:t>
      </w:r>
      <w:r w:rsidR="00B04213" w:rsidRPr="00420387">
        <w:rPr>
          <w:rFonts w:ascii="Times New Roman" w:hAnsi="Times New Roman" w:cs="Times New Roman"/>
          <w:color w:val="000000"/>
          <w:sz w:val="20"/>
          <w:szCs w:val="20"/>
        </w:rPr>
        <w:t xml:space="preserve">Cairo, 11553, </w:t>
      </w:r>
      <w:r w:rsidRPr="00420387">
        <w:rPr>
          <w:rFonts w:ascii="Times New Roman" w:eastAsia="Times New Roman" w:hAnsi="Times New Roman" w:cs="Times New Roman"/>
          <w:sz w:val="20"/>
          <w:szCs w:val="20"/>
        </w:rPr>
        <w:t>Egypt</w:t>
      </w:r>
      <w:r w:rsidR="00B04213" w:rsidRPr="00420387">
        <w:rPr>
          <w:rFonts w:ascii="Times New Roman" w:hAnsi="Times New Roman" w:cs="Times New Roman" w:hint="eastAsia"/>
          <w:sz w:val="20"/>
          <w:szCs w:val="20"/>
          <w:lang w:eastAsia="zh-CN"/>
        </w:rPr>
        <w:t>，</w:t>
      </w:r>
      <w:r w:rsidR="00B04213" w:rsidRPr="00420387">
        <w:rPr>
          <w:rFonts w:ascii="Times New Roman" w:hAnsi="Times New Roman" w:cs="Times New Roman"/>
          <w:sz w:val="20"/>
          <w:szCs w:val="20"/>
          <w:lang w:bidi="ar-EG"/>
        </w:rPr>
        <w:t>Fax number</w:t>
      </w:r>
      <w:r w:rsidR="003C226A" w:rsidRPr="00420387">
        <w:rPr>
          <w:rFonts w:ascii="Times New Roman" w:hAnsi="Times New Roman" w:cs="Times New Roman"/>
          <w:sz w:val="20"/>
          <w:szCs w:val="20"/>
          <w:lang w:bidi="ar-EG"/>
        </w:rPr>
        <w:t>:</w:t>
      </w:r>
      <w:r w:rsidR="00B04213" w:rsidRPr="00420387">
        <w:rPr>
          <w:rFonts w:ascii="Times New Roman" w:hAnsi="Times New Roman" w:cs="Times New Roman"/>
          <w:sz w:val="20"/>
          <w:szCs w:val="20"/>
          <w:lang w:bidi="ar-EG"/>
        </w:rPr>
        <w:t xml:space="preserve"> 37606512</w:t>
      </w:r>
      <w:r w:rsidR="003C226A" w:rsidRPr="00420387">
        <w:rPr>
          <w:rFonts w:ascii="Times New Roman" w:hAnsi="Times New Roman" w:cs="Times New Roman"/>
          <w:sz w:val="20"/>
          <w:szCs w:val="20"/>
          <w:lang w:bidi="ar-EG"/>
        </w:rPr>
        <w:t xml:space="preserve"> </w:t>
      </w:r>
      <w:r w:rsidR="00B04213" w:rsidRPr="00420387">
        <w:rPr>
          <w:rFonts w:ascii="Times New Roman" w:hAnsi="Times New Roman" w:cs="Times New Roman"/>
          <w:sz w:val="20"/>
          <w:szCs w:val="20"/>
          <w:lang w:bidi="ar-EG"/>
        </w:rPr>
        <w:t>-</w:t>
      </w:r>
      <w:r w:rsidR="003C226A" w:rsidRPr="00420387">
        <w:rPr>
          <w:rFonts w:ascii="Times New Roman" w:hAnsi="Times New Roman" w:cs="Times New Roman"/>
          <w:sz w:val="20"/>
          <w:szCs w:val="20"/>
          <w:lang w:bidi="ar-EG"/>
        </w:rPr>
        <w:t xml:space="preserve"> </w:t>
      </w:r>
      <w:r w:rsidR="00B04213" w:rsidRPr="00420387">
        <w:rPr>
          <w:rFonts w:ascii="Times New Roman" w:hAnsi="Times New Roman" w:cs="Times New Roman"/>
          <w:sz w:val="20"/>
          <w:szCs w:val="20"/>
          <w:lang w:bidi="ar-EG"/>
        </w:rPr>
        <w:t>37490002</w:t>
      </w:r>
    </w:p>
    <w:p w:rsidR="00E2631E" w:rsidRPr="00420387" w:rsidRDefault="00B04213" w:rsidP="008E1495">
      <w:pPr>
        <w:snapToGrid w:val="0"/>
        <w:spacing w:after="0" w:line="240" w:lineRule="auto"/>
        <w:jc w:val="center"/>
        <w:rPr>
          <w:rFonts w:ascii="Times New Roman" w:eastAsia="Times New Roman" w:hAnsi="Times New Roman" w:cs="Times New Roman"/>
          <w:sz w:val="20"/>
          <w:szCs w:val="20"/>
        </w:rPr>
      </w:pPr>
      <w:r w:rsidRPr="00420387">
        <w:rPr>
          <w:rFonts w:ascii="Times New Roman" w:hAnsi="Times New Roman" w:cs="Times New Roman"/>
          <w:sz w:val="20"/>
          <w:szCs w:val="20"/>
          <w:lang w:bidi="ar-EG"/>
        </w:rPr>
        <w:t xml:space="preserve">E-mail: </w:t>
      </w:r>
      <w:hyperlink r:id="rId8" w:history="1">
        <w:r w:rsidRPr="00420387">
          <w:rPr>
            <w:rStyle w:val="Hyperlink"/>
            <w:rFonts w:ascii="Times New Roman" w:hAnsi="Times New Roman" w:cs="Times New Roman"/>
            <w:sz w:val="20"/>
            <w:szCs w:val="20"/>
            <w:lang w:bidi="ar-EG"/>
          </w:rPr>
          <w:t>karim.mashhour.81@gmail.com</w:t>
        </w:r>
      </w:hyperlink>
      <w:r w:rsidRPr="00420387">
        <w:rPr>
          <w:rFonts w:ascii="Times New Roman" w:hAnsi="Times New Roman" w:cs="Times New Roman" w:hint="eastAsia"/>
          <w:sz w:val="20"/>
          <w:szCs w:val="20"/>
          <w:lang w:eastAsia="zh-CN"/>
        </w:rPr>
        <w:t xml:space="preserve">; </w:t>
      </w:r>
      <w:r w:rsidRPr="00420387">
        <w:rPr>
          <w:rFonts w:ascii="Times New Roman" w:hAnsi="Times New Roman" w:cs="Times New Roman"/>
          <w:sz w:val="20"/>
          <w:szCs w:val="20"/>
          <w:lang w:bidi="ar-EG"/>
        </w:rPr>
        <w:t>Tel.</w:t>
      </w:r>
      <w:r w:rsidR="003C226A" w:rsidRPr="00420387">
        <w:rPr>
          <w:rFonts w:ascii="Times New Roman" w:hAnsi="Times New Roman" w:cs="Times New Roman"/>
          <w:sz w:val="20"/>
          <w:szCs w:val="20"/>
          <w:lang w:bidi="ar-EG"/>
        </w:rPr>
        <w:t xml:space="preserve"> </w:t>
      </w:r>
      <w:r w:rsidRPr="00420387">
        <w:rPr>
          <w:rFonts w:ascii="Times New Roman" w:hAnsi="Times New Roman" w:cs="Times New Roman"/>
          <w:sz w:val="20"/>
          <w:szCs w:val="20"/>
          <w:lang w:bidi="ar-EG"/>
        </w:rPr>
        <w:t>(+20) 1006086827</w:t>
      </w:r>
      <w:r w:rsidR="003C226A" w:rsidRPr="00420387">
        <w:rPr>
          <w:rFonts w:ascii="Times New Roman" w:eastAsia="Times New Roman" w:hAnsi="Times New Roman" w:cs="Times New Roman"/>
          <w:sz w:val="20"/>
          <w:szCs w:val="20"/>
        </w:rPr>
        <w:t xml:space="preserve"> </w:t>
      </w:r>
    </w:p>
    <w:p w:rsidR="00E2631E" w:rsidRPr="00420387" w:rsidRDefault="00E2631E" w:rsidP="008E1495">
      <w:pPr>
        <w:snapToGrid w:val="0"/>
        <w:spacing w:after="0" w:line="240" w:lineRule="auto"/>
        <w:jc w:val="center"/>
        <w:rPr>
          <w:rFonts w:ascii="Times New Roman" w:eastAsia="Times New Roman" w:hAnsi="Times New Roman" w:cs="Times New Roman"/>
          <w:sz w:val="20"/>
          <w:szCs w:val="20"/>
        </w:rPr>
      </w:pPr>
      <w:r w:rsidRPr="00420387">
        <w:rPr>
          <w:rFonts w:ascii="Times New Roman" w:eastAsia="Times New Roman" w:hAnsi="Times New Roman" w:cs="Times New Roman"/>
          <w:color w:val="231F20"/>
          <w:sz w:val="20"/>
          <w:szCs w:val="20"/>
        </w:rPr>
        <w:t>†</w:t>
      </w:r>
      <w:r w:rsidRPr="00420387">
        <w:rPr>
          <w:rFonts w:ascii="Times New Roman" w:eastAsia="Times New Roman" w:hAnsi="Times New Roman" w:cs="Times New Roman"/>
          <w:sz w:val="20"/>
          <w:szCs w:val="20"/>
        </w:rPr>
        <w:t xml:space="preserve"> Department of medical physics, Kasr Al-Ainy Hospital, Cairo University, Egypt</w:t>
      </w:r>
    </w:p>
    <w:p w:rsidR="003C226A" w:rsidRPr="00420387" w:rsidRDefault="003C226A" w:rsidP="008E1495">
      <w:pPr>
        <w:snapToGrid w:val="0"/>
        <w:spacing w:after="0" w:line="240" w:lineRule="auto"/>
        <w:jc w:val="center"/>
        <w:rPr>
          <w:rFonts w:ascii="Times New Roman" w:hAnsi="Times New Roman" w:cs="Times New Roman"/>
          <w:sz w:val="20"/>
          <w:szCs w:val="20"/>
          <w:lang w:bidi="ar-EG"/>
        </w:rPr>
      </w:pPr>
    </w:p>
    <w:p w:rsidR="008E1495" w:rsidRPr="00420387" w:rsidRDefault="00B04213" w:rsidP="008E1495">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b/>
          <w:bCs/>
          <w:sz w:val="20"/>
          <w:szCs w:val="20"/>
        </w:rPr>
        <w:t>Abstract</w:t>
      </w:r>
      <w:r w:rsidRPr="00420387">
        <w:rPr>
          <w:rFonts w:ascii="Times New Roman" w:hAnsi="Times New Roman" w:cs="Times New Roman" w:hint="eastAsia"/>
          <w:b/>
          <w:bCs/>
          <w:sz w:val="20"/>
          <w:szCs w:val="20"/>
          <w:lang w:eastAsia="zh-CN"/>
        </w:rPr>
        <w:t xml:space="preserve">: </w:t>
      </w:r>
      <w:r w:rsidRPr="00420387">
        <w:rPr>
          <w:rFonts w:ascii="Times New Roman" w:hAnsi="Times New Roman" w:cs="Times New Roman"/>
          <w:b/>
          <w:bCs/>
          <w:sz w:val="20"/>
          <w:szCs w:val="20"/>
        </w:rPr>
        <w:t>Background:</w:t>
      </w:r>
      <w:r w:rsidRPr="00420387">
        <w:rPr>
          <w:rFonts w:ascii="Times New Roman" w:hAnsi="Times New Roman" w:cs="Times New Roman"/>
          <w:sz w:val="20"/>
          <w:szCs w:val="20"/>
        </w:rPr>
        <w:t xml:space="preserve"> The purpose was to compare dosimetrically intensity modulated radiation therapy (IMRT) and RapidArc (RA) techniques for gastric carcinoma patients.</w:t>
      </w:r>
      <w:r w:rsidRPr="00420387">
        <w:rPr>
          <w:rFonts w:ascii="Times New Roman" w:hAnsi="Times New Roman" w:cs="Times New Roman" w:hint="eastAsia"/>
          <w:sz w:val="20"/>
          <w:szCs w:val="20"/>
          <w:lang w:eastAsia="zh-CN"/>
        </w:rPr>
        <w:t xml:space="preserve"> </w:t>
      </w:r>
      <w:r w:rsidRPr="00420387">
        <w:rPr>
          <w:rFonts w:ascii="Times New Roman" w:hAnsi="Times New Roman" w:cs="Times New Roman"/>
          <w:b/>
          <w:bCs/>
          <w:sz w:val="20"/>
          <w:szCs w:val="20"/>
        </w:rPr>
        <w:t>Methods:</w:t>
      </w:r>
      <w:r w:rsidR="003C226A" w:rsidRPr="00420387">
        <w:rPr>
          <w:rFonts w:ascii="Times New Roman" w:hAnsi="Times New Roman" w:cs="Times New Roman"/>
          <w:b/>
          <w:bCs/>
          <w:sz w:val="20"/>
          <w:szCs w:val="20"/>
        </w:rPr>
        <w:t xml:space="preserve"> </w:t>
      </w:r>
      <w:r w:rsidRPr="00420387">
        <w:rPr>
          <w:rFonts w:ascii="Times New Roman" w:hAnsi="Times New Roman" w:cs="Times New Roman"/>
          <w:sz w:val="20"/>
          <w:szCs w:val="20"/>
        </w:rPr>
        <w:t>For IMRT, a coplanar seven-field plan was performed. Regarding the RA, plans were done using a double arc plan consisting of 2 co-planar arcs of 360° in clockwise</w:t>
      </w:r>
      <w:r w:rsidR="003C226A" w:rsidRPr="00420387">
        <w:rPr>
          <w:rFonts w:ascii="Times New Roman" w:hAnsi="Times New Roman" w:cs="Times New Roman"/>
          <w:sz w:val="20"/>
          <w:szCs w:val="20"/>
        </w:rPr>
        <w:t xml:space="preserve"> &amp; </w:t>
      </w:r>
      <w:r w:rsidRPr="00420387">
        <w:rPr>
          <w:rFonts w:ascii="Times New Roman" w:hAnsi="Times New Roman" w:cs="Times New Roman"/>
          <w:sz w:val="20"/>
          <w:szCs w:val="20"/>
        </w:rPr>
        <w:t xml:space="preserve">counter clockwise direction. The PTV dose coverage criteria was at least 95% of PTV received 45Gy. </w:t>
      </w:r>
      <w:r w:rsidRPr="00420387">
        <w:rPr>
          <w:rFonts w:ascii="Times New Roman" w:hAnsi="Times New Roman" w:cs="Times New Roman"/>
          <w:b/>
          <w:bCs/>
          <w:sz w:val="20"/>
          <w:szCs w:val="20"/>
        </w:rPr>
        <w:t>Results:</w:t>
      </w:r>
      <w:r w:rsidRPr="00420387">
        <w:rPr>
          <w:rFonts w:ascii="Times New Roman" w:hAnsi="Times New Roman" w:cs="Times New Roman"/>
          <w:sz w:val="20"/>
          <w:szCs w:val="20"/>
        </w:rPr>
        <w:t xml:space="preserve"> The mean V95 was 94.7% and 94.8% for the IMRT and RA, respectively (p = 0.32). The CI for IMRT and RA were 0.93 ± 0.01</w:t>
      </w:r>
      <w:r w:rsidR="003C226A" w:rsidRPr="00420387">
        <w:rPr>
          <w:rFonts w:ascii="Times New Roman" w:hAnsi="Times New Roman" w:cs="Times New Roman"/>
          <w:sz w:val="20"/>
          <w:szCs w:val="20"/>
        </w:rPr>
        <w:t xml:space="preserve"> &amp; </w:t>
      </w:r>
      <w:r w:rsidRPr="00420387">
        <w:rPr>
          <w:rFonts w:ascii="Times New Roman" w:hAnsi="Times New Roman" w:cs="Times New Roman"/>
          <w:sz w:val="20"/>
          <w:szCs w:val="20"/>
        </w:rPr>
        <w:t>0.94 ± 0.01, respectively; while the HI was 1.153 ± 0.01 for IMRT</w:t>
      </w:r>
      <w:r w:rsidR="003C226A" w:rsidRPr="00420387">
        <w:rPr>
          <w:rFonts w:ascii="Times New Roman" w:hAnsi="Times New Roman" w:cs="Times New Roman"/>
          <w:sz w:val="20"/>
          <w:szCs w:val="20"/>
        </w:rPr>
        <w:t xml:space="preserve"> &amp; </w:t>
      </w:r>
      <w:r w:rsidRPr="00420387">
        <w:rPr>
          <w:rFonts w:ascii="Times New Roman" w:hAnsi="Times New Roman" w:cs="Times New Roman"/>
          <w:sz w:val="20"/>
          <w:szCs w:val="20"/>
        </w:rPr>
        <w:t>1.142 ± 0.02 for RA (both p &gt; 0.04). The maximum spinal cord dose for IMRT and RapidArc was 37.87 Gy vs 36.42 Gy (p = 0.34). For the right kidney, IMRT had significantly lower mean V20 compared to RA (22.2 vs. 24.3Gy, p = 0.01). The mean V20 to the left kidney were 24.4 and 23.4 Gy in the IMRT and RA (p = 0.01). The treatment time was 193.5 ± 25.0s in IMRT and 66.0 ± 8.7 s in RA (p = 0.002). The total monitor units (MU) for RA and IMRT were 343.0 ± 94.0</w:t>
      </w:r>
      <w:r w:rsidR="003C226A" w:rsidRPr="00420387">
        <w:rPr>
          <w:rFonts w:ascii="Times New Roman" w:hAnsi="Times New Roman" w:cs="Times New Roman"/>
          <w:sz w:val="20"/>
          <w:szCs w:val="20"/>
        </w:rPr>
        <w:t xml:space="preserve"> &amp; </w:t>
      </w:r>
      <w:r w:rsidRPr="00420387">
        <w:rPr>
          <w:rFonts w:ascii="Times New Roman" w:hAnsi="Times New Roman" w:cs="Times New Roman"/>
          <w:sz w:val="20"/>
          <w:szCs w:val="20"/>
        </w:rPr>
        <w:t>363.0 ± 44.0 (p = 0.07), respectively.</w:t>
      </w:r>
      <w:r w:rsidR="003C226A" w:rsidRPr="00420387">
        <w:rPr>
          <w:rFonts w:ascii="Times New Roman" w:hAnsi="Times New Roman" w:cs="Times New Roman" w:hint="eastAsia"/>
          <w:sz w:val="20"/>
          <w:szCs w:val="20"/>
          <w:lang w:eastAsia="zh-CN"/>
        </w:rPr>
        <w:t xml:space="preserve"> </w:t>
      </w:r>
      <w:r w:rsidRPr="00420387">
        <w:rPr>
          <w:rFonts w:ascii="Times New Roman" w:hAnsi="Times New Roman" w:cs="Times New Roman"/>
          <w:b/>
          <w:bCs/>
          <w:sz w:val="20"/>
          <w:szCs w:val="20"/>
        </w:rPr>
        <w:t>Conclusions:</w:t>
      </w:r>
      <w:r w:rsidR="003C226A" w:rsidRPr="00420387">
        <w:rPr>
          <w:rFonts w:ascii="Times New Roman" w:hAnsi="Times New Roman" w:cs="Times New Roman"/>
          <w:sz w:val="20"/>
          <w:szCs w:val="20"/>
        </w:rPr>
        <w:t xml:space="preserve"> </w:t>
      </w:r>
      <w:r w:rsidRPr="00420387">
        <w:rPr>
          <w:rFonts w:ascii="Times New Roman" w:hAnsi="Times New Roman" w:cs="Times New Roman"/>
          <w:sz w:val="20"/>
          <w:szCs w:val="20"/>
        </w:rPr>
        <w:t>RA obtained similar dosimetric outcomes to IMRT plans regarding target coverage</w:t>
      </w:r>
      <w:r w:rsidR="003C226A" w:rsidRPr="00420387">
        <w:rPr>
          <w:rFonts w:ascii="Times New Roman" w:hAnsi="Times New Roman" w:cs="Times New Roman"/>
          <w:sz w:val="20"/>
          <w:szCs w:val="20"/>
        </w:rPr>
        <w:t xml:space="preserve"> &amp; </w:t>
      </w:r>
      <w:r w:rsidRPr="00420387">
        <w:rPr>
          <w:rFonts w:ascii="Times New Roman" w:hAnsi="Times New Roman" w:cs="Times New Roman"/>
          <w:sz w:val="20"/>
          <w:szCs w:val="20"/>
        </w:rPr>
        <w:t>organs at risk (OAR) sparing with an advantage of shorter delivery time</w:t>
      </w:r>
      <w:r w:rsidR="003C226A" w:rsidRPr="00420387">
        <w:rPr>
          <w:rFonts w:ascii="Times New Roman" w:hAnsi="Times New Roman" w:cs="Times New Roman"/>
          <w:sz w:val="20"/>
          <w:szCs w:val="20"/>
        </w:rPr>
        <w:t xml:space="preserve"> &amp; </w:t>
      </w:r>
      <w:r w:rsidRPr="00420387">
        <w:rPr>
          <w:rFonts w:ascii="Times New Roman" w:hAnsi="Times New Roman" w:cs="Times New Roman"/>
          <w:sz w:val="20"/>
          <w:szCs w:val="20"/>
        </w:rPr>
        <w:t>lower number of MU.</w:t>
      </w:r>
    </w:p>
    <w:p w:rsidR="008E1495" w:rsidRPr="00420387" w:rsidRDefault="008E1495" w:rsidP="001C2D6D">
      <w:pPr>
        <w:autoSpaceDE w:val="0"/>
        <w:autoSpaceDN w:val="0"/>
        <w:adjustRightInd w:val="0"/>
        <w:snapToGrid w:val="0"/>
        <w:spacing w:after="0" w:line="240" w:lineRule="auto"/>
        <w:jc w:val="both"/>
        <w:rPr>
          <w:rFonts w:ascii="Times New Roman" w:hAnsi="Times New Roman" w:cs="Times New Roman"/>
          <w:b/>
          <w:sz w:val="20"/>
          <w:szCs w:val="20"/>
        </w:rPr>
      </w:pPr>
      <w:r w:rsidRPr="00420387">
        <w:rPr>
          <w:rFonts w:ascii="Times New Roman" w:hAnsi="Times New Roman" w:cs="Times New Roman" w:hint="eastAsia"/>
          <w:b/>
          <w:sz w:val="20"/>
          <w:szCs w:val="20"/>
          <w:lang w:val="en-GB"/>
        </w:rPr>
        <w:t>[</w:t>
      </w:r>
      <w:r w:rsidRPr="00420387">
        <w:rPr>
          <w:rFonts w:ascii="Times New Roman" w:hAnsi="Times New Roman" w:cs="Times New Roman"/>
          <w:bCs/>
          <w:sz w:val="20"/>
          <w:szCs w:val="20"/>
        </w:rPr>
        <w:t>Karim Mashhour</w:t>
      </w:r>
      <w:r w:rsidRPr="00420387">
        <w:rPr>
          <w:rFonts w:ascii="Times New Roman" w:eastAsia="Times New Roman" w:hAnsi="Times New Roman" w:cs="Times New Roman"/>
          <w:bCs/>
          <w:color w:val="231F20"/>
          <w:sz w:val="20"/>
          <w:szCs w:val="20"/>
        </w:rPr>
        <w:t>,</w:t>
      </w:r>
      <w:r w:rsidRPr="00420387">
        <w:rPr>
          <w:rFonts w:ascii="Times New Roman" w:hAnsi="Times New Roman" w:cs="Times New Roman"/>
          <w:bCs/>
          <w:sz w:val="20"/>
          <w:szCs w:val="20"/>
        </w:rPr>
        <w:t xml:space="preserve"> </w:t>
      </w:r>
      <w:r w:rsidRPr="00420387">
        <w:rPr>
          <w:rFonts w:ascii="Times New Roman" w:eastAsia="Times New Roman" w:hAnsi="Times New Roman" w:cs="Times New Roman"/>
          <w:bCs/>
          <w:color w:val="231F20"/>
          <w:sz w:val="20"/>
          <w:szCs w:val="20"/>
        </w:rPr>
        <w:t>Wedad Hashem, Hoda Abdelghany</w:t>
      </w:r>
      <w:r w:rsidRPr="00420387">
        <w:rPr>
          <w:rFonts w:ascii="Times New Roman" w:hAnsi="Times New Roman" w:cs="Times New Roman"/>
          <w:sz w:val="20"/>
          <w:szCs w:val="20"/>
        </w:rPr>
        <w:t xml:space="preserve">. </w:t>
      </w:r>
      <w:r w:rsidRPr="00420387">
        <w:rPr>
          <w:rFonts w:ascii="Times New Roman" w:hAnsi="Times New Roman" w:cs="Times New Roman"/>
          <w:b/>
          <w:bCs/>
          <w:sz w:val="20"/>
          <w:szCs w:val="20"/>
        </w:rPr>
        <w:t>RapidArc versus intensity modulated radiation therapy in adjuvant gastric cancer irradiation: Any dosimetric advantage?</w:t>
      </w:r>
      <w:r w:rsidRPr="00420387">
        <w:rPr>
          <w:rFonts w:ascii="Times New Roman" w:hAnsi="Times New Roman" w:cs="Times New Roman"/>
          <w:i/>
          <w:sz w:val="20"/>
          <w:szCs w:val="20"/>
        </w:rPr>
        <w:t xml:space="preserve"> Cancer Biology</w:t>
      </w:r>
      <w:r w:rsidRPr="00420387">
        <w:rPr>
          <w:rFonts w:ascii="Times New Roman" w:hAnsi="Times New Roman" w:cs="Times New Roman"/>
          <w:sz w:val="20"/>
          <w:szCs w:val="20"/>
        </w:rPr>
        <w:t xml:space="preserve"> 201</w:t>
      </w:r>
      <w:r w:rsidRPr="00420387">
        <w:rPr>
          <w:rFonts w:ascii="Times New Roman" w:hAnsi="Times New Roman" w:cs="Times New Roman" w:hint="eastAsia"/>
          <w:sz w:val="20"/>
          <w:szCs w:val="20"/>
        </w:rPr>
        <w:t>7</w:t>
      </w:r>
      <w:r w:rsidRPr="00420387">
        <w:rPr>
          <w:rFonts w:ascii="Times New Roman" w:hAnsi="Times New Roman" w:cs="Times New Roman"/>
          <w:sz w:val="20"/>
          <w:szCs w:val="20"/>
        </w:rPr>
        <w:t>;</w:t>
      </w:r>
      <w:r w:rsidRPr="00420387">
        <w:rPr>
          <w:rFonts w:ascii="Times New Roman" w:hAnsi="Times New Roman" w:cs="Times New Roman" w:hint="eastAsia"/>
          <w:sz w:val="20"/>
          <w:szCs w:val="20"/>
        </w:rPr>
        <w:t>7</w:t>
      </w:r>
      <w:r w:rsidRPr="00420387">
        <w:rPr>
          <w:rFonts w:ascii="Times New Roman" w:hAnsi="Times New Roman" w:cs="Times New Roman"/>
          <w:sz w:val="20"/>
          <w:szCs w:val="20"/>
        </w:rPr>
        <w:t>(</w:t>
      </w:r>
      <w:r w:rsidRPr="00420387">
        <w:rPr>
          <w:rFonts w:ascii="Times New Roman" w:hAnsi="Times New Roman" w:cs="Times New Roman" w:hint="eastAsia"/>
          <w:sz w:val="20"/>
          <w:szCs w:val="20"/>
        </w:rPr>
        <w:t>4</w:t>
      </w:r>
      <w:r w:rsidRPr="00420387">
        <w:rPr>
          <w:rFonts w:ascii="Times New Roman" w:hAnsi="Times New Roman" w:cs="Times New Roman"/>
          <w:sz w:val="20"/>
          <w:szCs w:val="20"/>
        </w:rPr>
        <w:t>):</w:t>
      </w:r>
      <w:r w:rsidR="00F54E86" w:rsidRPr="00420387">
        <w:rPr>
          <w:rFonts w:ascii="Times New Roman" w:hAnsi="Times New Roman" w:cs="Times New Roman"/>
          <w:noProof/>
          <w:color w:val="000000"/>
          <w:sz w:val="20"/>
          <w:szCs w:val="20"/>
        </w:rPr>
        <w:t>57-6</w:t>
      </w:r>
      <w:r w:rsidR="00420387">
        <w:rPr>
          <w:rFonts w:ascii="Times New Roman" w:hAnsi="Times New Roman" w:cs="Times New Roman" w:hint="eastAsia"/>
          <w:noProof/>
          <w:color w:val="000000"/>
          <w:sz w:val="20"/>
          <w:szCs w:val="20"/>
          <w:lang w:eastAsia="zh-CN"/>
        </w:rPr>
        <w:t>4</w:t>
      </w:r>
      <w:r w:rsidRPr="00420387">
        <w:rPr>
          <w:rFonts w:ascii="Times New Roman" w:hAnsi="Times New Roman" w:cs="Times New Roman"/>
          <w:sz w:val="20"/>
          <w:szCs w:val="20"/>
        </w:rPr>
        <w:t xml:space="preserve">]. </w:t>
      </w:r>
      <w:r w:rsidRPr="00420387">
        <w:rPr>
          <w:rStyle w:val="msonormal0"/>
          <w:rFonts w:ascii="Times New Roman" w:eastAsia="宋" w:hAnsi="Times New Roman" w:cs="Times New Roman"/>
          <w:sz w:val="20"/>
          <w:szCs w:val="20"/>
        </w:rPr>
        <w:t>ISSN: 2150-1041 (print); ISSN: 2150-105X (online)</w:t>
      </w:r>
      <w:r w:rsidRPr="00420387">
        <w:rPr>
          <w:rFonts w:ascii="Times New Roman" w:hAnsi="Times New Roman" w:cs="Times New Roman"/>
          <w:sz w:val="20"/>
          <w:szCs w:val="20"/>
        </w:rPr>
        <w:t xml:space="preserve">. </w:t>
      </w:r>
      <w:hyperlink r:id="rId9" w:history="1">
        <w:r w:rsidRPr="00420387">
          <w:rPr>
            <w:rStyle w:val="Hyperlink"/>
            <w:rFonts w:ascii="Times New Roman" w:hAnsi="Times New Roman" w:cs="Times New Roman"/>
            <w:sz w:val="20"/>
            <w:szCs w:val="20"/>
          </w:rPr>
          <w:t>http://www.cancerbio.net</w:t>
        </w:r>
      </w:hyperlink>
      <w:r w:rsidRPr="00420387">
        <w:rPr>
          <w:rFonts w:ascii="Times New Roman" w:hAnsi="Times New Roman" w:cs="Times New Roman"/>
          <w:sz w:val="20"/>
          <w:szCs w:val="20"/>
        </w:rPr>
        <w:t>.</w:t>
      </w:r>
      <w:r w:rsidRPr="00420387">
        <w:rPr>
          <w:rFonts w:ascii="Times New Roman" w:hAnsi="Times New Roman" w:cs="Times New Roman" w:hint="eastAsia"/>
          <w:sz w:val="20"/>
          <w:szCs w:val="20"/>
        </w:rPr>
        <w:t xml:space="preserve"> </w:t>
      </w:r>
      <w:r w:rsidR="001C2D6D" w:rsidRPr="00420387">
        <w:rPr>
          <w:rFonts w:ascii="Times New Roman" w:hAnsi="Times New Roman" w:cs="Times New Roman" w:hint="eastAsia"/>
          <w:sz w:val="20"/>
          <w:szCs w:val="20"/>
          <w:lang w:eastAsia="zh-CN"/>
        </w:rPr>
        <w:t>9</w:t>
      </w:r>
      <w:r w:rsidRPr="00420387">
        <w:rPr>
          <w:rFonts w:ascii="Times New Roman" w:hAnsi="Times New Roman" w:cs="Times New Roman" w:hint="eastAsia"/>
          <w:sz w:val="20"/>
          <w:szCs w:val="20"/>
        </w:rPr>
        <w:t xml:space="preserve">. </w:t>
      </w:r>
      <w:r w:rsidRPr="00420387">
        <w:rPr>
          <w:rFonts w:ascii="Times New Roman" w:hAnsi="Times New Roman" w:cs="Times New Roman"/>
          <w:color w:val="000000"/>
          <w:sz w:val="20"/>
          <w:szCs w:val="20"/>
          <w:shd w:val="clear" w:color="auto" w:fill="FFFFFF"/>
        </w:rPr>
        <w:t>doi:</w:t>
      </w:r>
      <w:hyperlink r:id="rId10" w:history="1">
        <w:r w:rsidRPr="00420387">
          <w:rPr>
            <w:rStyle w:val="Hyperlink"/>
            <w:rFonts w:ascii="Times New Roman" w:hAnsi="Times New Roman" w:cs="Times New Roman"/>
            <w:sz w:val="20"/>
            <w:szCs w:val="20"/>
            <w:shd w:val="clear" w:color="auto" w:fill="FFFFFF"/>
          </w:rPr>
          <w:t>10.7537/mars</w:t>
        </w:r>
        <w:r w:rsidRPr="00420387">
          <w:rPr>
            <w:rStyle w:val="Hyperlink"/>
            <w:rFonts w:ascii="Times New Roman" w:hAnsi="Times New Roman" w:cs="Times New Roman" w:hint="eastAsia"/>
            <w:sz w:val="20"/>
            <w:szCs w:val="20"/>
            <w:shd w:val="clear" w:color="auto" w:fill="FFFFFF"/>
          </w:rPr>
          <w:t>cbj0704</w:t>
        </w:r>
        <w:r w:rsidRPr="00420387">
          <w:rPr>
            <w:rStyle w:val="Hyperlink"/>
            <w:rFonts w:ascii="Times New Roman" w:hAnsi="Times New Roman" w:cs="Times New Roman"/>
            <w:sz w:val="20"/>
            <w:szCs w:val="20"/>
            <w:shd w:val="clear" w:color="auto" w:fill="FFFFFF"/>
          </w:rPr>
          <w:t>1</w:t>
        </w:r>
        <w:r w:rsidRPr="00420387">
          <w:rPr>
            <w:rStyle w:val="Hyperlink"/>
            <w:rFonts w:ascii="Times New Roman" w:hAnsi="Times New Roman" w:cs="Times New Roman" w:hint="eastAsia"/>
            <w:sz w:val="20"/>
            <w:szCs w:val="20"/>
            <w:shd w:val="clear" w:color="auto" w:fill="FFFFFF"/>
          </w:rPr>
          <w:t>7.</w:t>
        </w:r>
        <w:r w:rsidRPr="00420387">
          <w:rPr>
            <w:rStyle w:val="Hyperlink"/>
            <w:rFonts w:ascii="Times New Roman" w:hAnsi="Times New Roman" w:cs="Times New Roman"/>
            <w:sz w:val="20"/>
            <w:szCs w:val="20"/>
            <w:shd w:val="clear" w:color="auto" w:fill="FFFFFF"/>
          </w:rPr>
          <w:t>0</w:t>
        </w:r>
        <w:r w:rsidR="001C2D6D" w:rsidRPr="00420387">
          <w:rPr>
            <w:rStyle w:val="Hyperlink"/>
            <w:rFonts w:ascii="Times New Roman" w:hAnsi="Times New Roman" w:cs="Times New Roman" w:hint="eastAsia"/>
            <w:sz w:val="20"/>
            <w:szCs w:val="20"/>
            <w:shd w:val="clear" w:color="auto" w:fill="FFFFFF"/>
            <w:lang w:eastAsia="zh-CN"/>
          </w:rPr>
          <w:t>9</w:t>
        </w:r>
      </w:hyperlink>
      <w:r w:rsidRPr="00420387">
        <w:rPr>
          <w:rFonts w:ascii="Times New Roman" w:hAnsi="Times New Roman" w:cs="Times New Roman"/>
          <w:color w:val="000000"/>
          <w:sz w:val="20"/>
          <w:szCs w:val="20"/>
          <w:shd w:val="clear" w:color="auto" w:fill="FFFFFF"/>
        </w:rPr>
        <w:t>.</w:t>
      </w:r>
    </w:p>
    <w:p w:rsidR="00B04213" w:rsidRPr="00420387" w:rsidRDefault="00B04213" w:rsidP="008E1495">
      <w:pPr>
        <w:snapToGrid w:val="0"/>
        <w:spacing w:after="0" w:line="240" w:lineRule="auto"/>
        <w:jc w:val="both"/>
        <w:rPr>
          <w:rFonts w:ascii="Times New Roman" w:hAnsi="Times New Roman" w:cs="Times New Roman"/>
          <w:sz w:val="20"/>
          <w:szCs w:val="20"/>
        </w:rPr>
      </w:pPr>
    </w:p>
    <w:p w:rsidR="00B04213" w:rsidRPr="00420387" w:rsidRDefault="00B04213" w:rsidP="008E1495">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b/>
          <w:bCs/>
          <w:sz w:val="20"/>
          <w:szCs w:val="20"/>
        </w:rPr>
        <w:t xml:space="preserve">Keywords: </w:t>
      </w:r>
      <w:r w:rsidRPr="00420387">
        <w:rPr>
          <w:rFonts w:ascii="Times New Roman" w:hAnsi="Times New Roman" w:cs="Times New Roman"/>
          <w:sz w:val="20"/>
          <w:szCs w:val="20"/>
        </w:rPr>
        <w:t>dosimetric, double arc, IMRT, MUs</w:t>
      </w:r>
    </w:p>
    <w:p w:rsidR="00B04213" w:rsidRPr="00420387" w:rsidRDefault="00B04213" w:rsidP="008E1495">
      <w:pPr>
        <w:snapToGrid w:val="0"/>
        <w:spacing w:after="0" w:line="240" w:lineRule="auto"/>
        <w:jc w:val="both"/>
        <w:rPr>
          <w:rFonts w:ascii="Times New Roman" w:hAnsi="Times New Roman" w:cs="Times New Roman"/>
          <w:b/>
          <w:bCs/>
          <w:sz w:val="20"/>
          <w:szCs w:val="20"/>
          <w:u w:val="single"/>
          <w:lang w:eastAsia="zh-CN"/>
        </w:rPr>
      </w:pPr>
    </w:p>
    <w:p w:rsidR="001C2D6D" w:rsidRPr="00420387" w:rsidRDefault="001C2D6D" w:rsidP="008E1495">
      <w:pPr>
        <w:snapToGrid w:val="0"/>
        <w:spacing w:after="0" w:line="240" w:lineRule="auto"/>
        <w:jc w:val="both"/>
        <w:rPr>
          <w:rFonts w:ascii="Times New Roman" w:hAnsi="Times New Roman" w:cs="Times New Roman"/>
          <w:b/>
          <w:bCs/>
          <w:sz w:val="20"/>
          <w:szCs w:val="20"/>
          <w:lang w:bidi="ar-EG"/>
        </w:rPr>
        <w:sectPr w:rsidR="001C2D6D" w:rsidRPr="00420387" w:rsidSect="00F54E86">
          <w:headerReference w:type="default" r:id="rId11"/>
          <w:footerReference w:type="default" r:id="rId12"/>
          <w:type w:val="continuous"/>
          <w:pgSz w:w="12240" w:h="15840" w:code="1"/>
          <w:pgMar w:top="1440" w:right="1440" w:bottom="1440" w:left="1440" w:header="720" w:footer="720" w:gutter="0"/>
          <w:pgNumType w:start="57"/>
          <w:cols w:space="720"/>
          <w:docGrid w:linePitch="360"/>
        </w:sectPr>
      </w:pPr>
    </w:p>
    <w:p w:rsidR="004D0A06" w:rsidRPr="00420387" w:rsidRDefault="002E2C40" w:rsidP="008E1495">
      <w:pPr>
        <w:snapToGrid w:val="0"/>
        <w:spacing w:after="0" w:line="240" w:lineRule="auto"/>
        <w:jc w:val="both"/>
        <w:rPr>
          <w:rFonts w:ascii="Times New Roman" w:hAnsi="Times New Roman" w:cs="Times New Roman"/>
          <w:b/>
          <w:bCs/>
          <w:sz w:val="20"/>
          <w:szCs w:val="20"/>
          <w:lang w:bidi="ar-EG"/>
        </w:rPr>
      </w:pPr>
      <w:r w:rsidRPr="00420387">
        <w:rPr>
          <w:rFonts w:ascii="Times New Roman" w:hAnsi="Times New Roman" w:cs="Times New Roman"/>
          <w:b/>
          <w:bCs/>
          <w:sz w:val="20"/>
          <w:szCs w:val="20"/>
          <w:lang w:bidi="ar-EG"/>
        </w:rPr>
        <w:lastRenderedPageBreak/>
        <w:t>Important Information:</w:t>
      </w:r>
    </w:p>
    <w:p w:rsidR="004D0A06" w:rsidRPr="00420387" w:rsidRDefault="004D0A06" w:rsidP="008E1495">
      <w:pPr>
        <w:snapToGrid w:val="0"/>
        <w:spacing w:after="0" w:line="240" w:lineRule="auto"/>
        <w:ind w:firstLine="425"/>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Few articles, addressed the superiority of volumetric modulated radiation therapy (VMAT) over intensity modulated radiation therapy (IMRT) in the adjuvant treatment of gastric cancers and usually the studies were on a small number of patients.</w:t>
      </w:r>
    </w:p>
    <w:p w:rsidR="004D0A06" w:rsidRPr="00420387" w:rsidRDefault="004D0A06" w:rsidP="008E1495">
      <w:pPr>
        <w:snapToGrid w:val="0"/>
        <w:spacing w:after="0" w:line="240" w:lineRule="auto"/>
        <w:ind w:firstLine="425"/>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The current study was conducted to dosimetrically compare RapidArc and IMRT in the treatment of gastric cancers, evaluating both techniques as regards target volume coverage and doses received by organs at risk.</w:t>
      </w:r>
    </w:p>
    <w:p w:rsidR="004D0A06" w:rsidRPr="00420387" w:rsidRDefault="004D0A06" w:rsidP="008E1495">
      <w:pPr>
        <w:snapToGrid w:val="0"/>
        <w:spacing w:after="0" w:line="240" w:lineRule="auto"/>
        <w:ind w:firstLine="425"/>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All authors contributed significantly and are in agreement with the content of the manuscript.</w:t>
      </w:r>
      <w:r w:rsidR="003C226A" w:rsidRPr="00420387">
        <w:rPr>
          <w:rFonts w:ascii="Times New Roman" w:hAnsi="Times New Roman" w:cs="Times New Roman"/>
          <w:sz w:val="20"/>
          <w:szCs w:val="20"/>
          <w:lang w:bidi="ar-EG"/>
        </w:rPr>
        <w:t xml:space="preserve"> </w:t>
      </w:r>
    </w:p>
    <w:p w:rsidR="004D0A06" w:rsidRPr="00420387" w:rsidRDefault="004D0A06" w:rsidP="008E1495">
      <w:pPr>
        <w:snapToGrid w:val="0"/>
        <w:spacing w:after="0" w:line="240" w:lineRule="auto"/>
        <w:ind w:firstLine="425"/>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The contents of the submitted paper have not been published or submitted for publication elsewhere.</w:t>
      </w:r>
    </w:p>
    <w:p w:rsidR="002E2C40" w:rsidRPr="00420387" w:rsidRDefault="004D0A06" w:rsidP="008E1495">
      <w:pPr>
        <w:snapToGrid w:val="0"/>
        <w:spacing w:after="0" w:line="240" w:lineRule="auto"/>
        <w:ind w:firstLine="425"/>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 xml:space="preserve">Abstract was accepted an e-poster in the last ESTRO 36 (Vienna-2017). The number is </w:t>
      </w:r>
      <w:r w:rsidRPr="00420387">
        <w:rPr>
          <w:rFonts w:ascii="Times New Roman" w:hAnsi="Times New Roman" w:cs="Times New Roman"/>
          <w:color w:val="222222"/>
          <w:sz w:val="20"/>
          <w:szCs w:val="20"/>
          <w:shd w:val="clear" w:color="auto" w:fill="FFFFFF"/>
        </w:rPr>
        <w:t>EP-1820</w:t>
      </w:r>
      <w:r w:rsidR="002E2C40" w:rsidRPr="00420387">
        <w:rPr>
          <w:rFonts w:ascii="Times New Roman" w:hAnsi="Times New Roman" w:cs="Times New Roman"/>
          <w:color w:val="222222"/>
          <w:sz w:val="20"/>
          <w:szCs w:val="20"/>
          <w:shd w:val="clear" w:color="auto" w:fill="FFFFFF"/>
        </w:rPr>
        <w:t>.</w:t>
      </w:r>
      <w:r w:rsidRPr="00420387">
        <w:rPr>
          <w:rFonts w:ascii="Times New Roman" w:hAnsi="Times New Roman" w:cs="Times New Roman"/>
          <w:color w:val="222222"/>
          <w:sz w:val="20"/>
          <w:szCs w:val="20"/>
          <w:shd w:val="clear" w:color="auto" w:fill="FFFFFF"/>
        </w:rPr>
        <w:t> </w:t>
      </w:r>
    </w:p>
    <w:p w:rsidR="004735EE" w:rsidRPr="00420387" w:rsidRDefault="004735EE" w:rsidP="008E1495">
      <w:pPr>
        <w:snapToGrid w:val="0"/>
        <w:spacing w:after="0" w:line="240" w:lineRule="auto"/>
        <w:jc w:val="both"/>
        <w:rPr>
          <w:rFonts w:ascii="Times New Roman" w:hAnsi="Times New Roman" w:cs="Times New Roman"/>
          <w:b/>
          <w:bCs/>
          <w:sz w:val="20"/>
          <w:szCs w:val="20"/>
          <w:u w:val="single"/>
        </w:rPr>
      </w:pPr>
    </w:p>
    <w:p w:rsidR="003C226A" w:rsidRPr="00420387" w:rsidRDefault="001C2D6D" w:rsidP="008E1495">
      <w:pPr>
        <w:snapToGrid w:val="0"/>
        <w:spacing w:after="0" w:line="240" w:lineRule="auto"/>
        <w:jc w:val="both"/>
        <w:rPr>
          <w:rFonts w:ascii="Times New Roman" w:eastAsia="Times New Roman" w:hAnsi="Times New Roman" w:cs="Times New Roman"/>
          <w:sz w:val="20"/>
          <w:szCs w:val="20"/>
          <w:lang w:bidi="ar-EG"/>
        </w:rPr>
      </w:pPr>
      <w:r w:rsidRPr="00420387">
        <w:rPr>
          <w:rFonts w:ascii="Times New Roman" w:eastAsia="Times New Roman" w:hAnsi="Times New Roman" w:cs="Times New Roman"/>
          <w:b/>
          <w:bCs/>
          <w:sz w:val="20"/>
          <w:szCs w:val="20"/>
        </w:rPr>
        <w:t>Introduction</w:t>
      </w:r>
    </w:p>
    <w:p w:rsidR="004F3A91"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A</w:t>
      </w:r>
      <w:r w:rsidR="004F3A91" w:rsidRPr="00420387">
        <w:rPr>
          <w:rFonts w:ascii="Times New Roman" w:eastAsia="Times New Roman" w:hAnsi="Times New Roman" w:cs="Times New Roman"/>
          <w:sz w:val="20"/>
          <w:szCs w:val="20"/>
        </w:rPr>
        <w:t>denocarcinoma of the stomach is a significant public health problem with a poor general outcome.</w:t>
      </w:r>
      <w:r w:rsidR="004F3A91" w:rsidRPr="00420387">
        <w:rPr>
          <w:rFonts w:ascii="Times New Roman" w:eastAsia="Times New Roman" w:hAnsi="Times New Roman" w:cs="Times New Roman"/>
          <w:sz w:val="20"/>
          <w:szCs w:val="20"/>
          <w:vertAlign w:val="superscript"/>
        </w:rPr>
        <w:t>1</w:t>
      </w:r>
      <w:r w:rsidR="004F3A91" w:rsidRPr="00420387">
        <w:rPr>
          <w:rFonts w:ascii="Times New Roman" w:eastAsia="Times New Roman" w:hAnsi="Times New Roman" w:cs="Times New Roman"/>
          <w:sz w:val="20"/>
          <w:szCs w:val="20"/>
        </w:rPr>
        <w:t xml:space="preserve"> Surgery is considered the cornerstone of treatment for gastric cancer, yet adjuvant treatment is also important to lower loco-regional recurrences.</w:t>
      </w:r>
      <w:r w:rsidR="004F3A91" w:rsidRPr="00420387">
        <w:rPr>
          <w:rFonts w:ascii="Times New Roman" w:eastAsia="Times New Roman" w:hAnsi="Times New Roman" w:cs="Times New Roman"/>
          <w:sz w:val="20"/>
          <w:szCs w:val="20"/>
          <w:vertAlign w:val="superscript"/>
        </w:rPr>
        <w:t>2</w:t>
      </w:r>
      <w:r w:rsidR="004F3A91" w:rsidRPr="00420387">
        <w:rPr>
          <w:rFonts w:ascii="Times New Roman" w:eastAsia="Times New Roman" w:hAnsi="Times New Roman" w:cs="Times New Roman"/>
          <w:sz w:val="20"/>
          <w:szCs w:val="20"/>
        </w:rPr>
        <w:t xml:space="preserve"> In the management of a resectable localized gastric cancer, two adjuvant approaches are currently used nowadays.</w:t>
      </w:r>
      <w:r w:rsidR="004F3A91" w:rsidRPr="00420387">
        <w:rPr>
          <w:rFonts w:ascii="Times New Roman" w:eastAsia="Times New Roman" w:hAnsi="Times New Roman" w:cs="Times New Roman"/>
          <w:sz w:val="20"/>
          <w:szCs w:val="20"/>
          <w:vertAlign w:val="superscript"/>
        </w:rPr>
        <w:t xml:space="preserve"> 3</w:t>
      </w:r>
      <w:r w:rsidR="004F3A91" w:rsidRPr="00420387">
        <w:rPr>
          <w:rFonts w:ascii="Times New Roman" w:eastAsia="Times New Roman" w:hAnsi="Times New Roman" w:cs="Times New Roman"/>
          <w:sz w:val="20"/>
          <w:szCs w:val="20"/>
        </w:rPr>
        <w:t xml:space="preserve"> Cunningham and his colleagues reported that </w:t>
      </w:r>
      <w:r w:rsidR="004F3A91" w:rsidRPr="00420387">
        <w:rPr>
          <w:rFonts w:ascii="Times New Roman" w:eastAsia="Times New Roman" w:hAnsi="Times New Roman" w:cs="Times New Roman"/>
          <w:sz w:val="20"/>
          <w:szCs w:val="20"/>
        </w:rPr>
        <w:lastRenderedPageBreak/>
        <w:t>administrating chemotherapy peri-operatively using epirubicin, fluorouracil and cisplatin improved both the progression-free and overall survival rates.</w:t>
      </w:r>
      <w:r w:rsidR="004F3A91" w:rsidRPr="00420387">
        <w:rPr>
          <w:rFonts w:ascii="Times New Roman" w:eastAsia="Times New Roman" w:hAnsi="Times New Roman" w:cs="Times New Roman"/>
          <w:sz w:val="20"/>
          <w:szCs w:val="20"/>
          <w:vertAlign w:val="superscript"/>
        </w:rPr>
        <w:t xml:space="preserve"> 4</w:t>
      </w:r>
      <w:r w:rsidR="004F3A91" w:rsidRPr="00420387">
        <w:rPr>
          <w:rFonts w:ascii="Times New Roman" w:eastAsia="Times New Roman" w:hAnsi="Times New Roman" w:cs="Times New Roman"/>
          <w:sz w:val="20"/>
          <w:szCs w:val="20"/>
        </w:rPr>
        <w:t xml:space="preserve"> On the contrary, Macdonald et al. observed that adjuvant chemo-radiotherapy (external-beam radiotherapy to the operative bed and draining lymphatics plus fluorouracil and leucovorin) used in the postoperative setting, had significantly improved the disease-free and overall survival rates. In the latter trial (Intergroup Trial 0116), more than one-sixth of the patients had terminated their therapy due to a high incidence of acute radiation toxicity and this was related to the use of anteroposterior-posteroanterior (AP-PA) beam orientation (two-dimensional planning).</w:t>
      </w:r>
      <w:r w:rsidR="004F3A91" w:rsidRPr="00420387">
        <w:rPr>
          <w:rFonts w:ascii="Times New Roman" w:eastAsia="Times New Roman" w:hAnsi="Times New Roman" w:cs="Times New Roman"/>
          <w:sz w:val="20"/>
          <w:szCs w:val="20"/>
          <w:vertAlign w:val="superscript"/>
        </w:rPr>
        <w:t xml:space="preserve"> 5</w:t>
      </w:r>
      <w:r w:rsidR="004F3A91" w:rsidRPr="00420387">
        <w:rPr>
          <w:rFonts w:ascii="Times New Roman" w:eastAsia="Times New Roman" w:hAnsi="Times New Roman" w:cs="Times New Roman"/>
          <w:sz w:val="20"/>
          <w:szCs w:val="20"/>
        </w:rPr>
        <w:t xml:space="preserve"> </w:t>
      </w:r>
    </w:p>
    <w:p w:rsidR="004F3A91"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A</w:t>
      </w:r>
      <w:r w:rsidR="004F3A91" w:rsidRPr="00420387">
        <w:rPr>
          <w:rFonts w:ascii="Times New Roman" w:eastAsia="Times New Roman" w:hAnsi="Times New Roman" w:cs="Times New Roman"/>
          <w:sz w:val="20"/>
          <w:szCs w:val="20"/>
        </w:rPr>
        <w:t>lthough radiation therapy is very important in the treatment of gastric cancer, yet adequate doses of radiation delivery is usually limited by the presence of sensitive normal structures in the abdomen i.e. the liver, kidneys, small intestine and spinal cord. Intensity modulated radiotherapy (IMRT) usually offers a more precise dose distribution, when compared to three-dimensional conformal radiotherapy (3DCRT), allowing a better normal tissue sparing which has the potential to decrease the toxicity without compromising the local control.</w:t>
      </w:r>
      <w:r w:rsidR="004F3A91" w:rsidRPr="00420387">
        <w:rPr>
          <w:rFonts w:ascii="Times New Roman" w:eastAsia="Times New Roman" w:hAnsi="Times New Roman" w:cs="Times New Roman"/>
          <w:sz w:val="20"/>
          <w:szCs w:val="20"/>
          <w:vertAlign w:val="superscript"/>
        </w:rPr>
        <w:t xml:space="preserve"> 6-8</w:t>
      </w:r>
      <w:r w:rsidR="004F3A91" w:rsidRPr="00420387">
        <w:rPr>
          <w:rFonts w:ascii="Times New Roman" w:eastAsia="Times New Roman" w:hAnsi="Times New Roman" w:cs="Times New Roman"/>
          <w:sz w:val="20"/>
          <w:szCs w:val="20"/>
        </w:rPr>
        <w:t xml:space="preserve"> </w:t>
      </w:r>
    </w:p>
    <w:p w:rsidR="004F3A91"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color w:val="000000"/>
          <w:sz w:val="20"/>
          <w:szCs w:val="20"/>
        </w:rPr>
        <w:t>R</w:t>
      </w:r>
      <w:r w:rsidR="004F3A91" w:rsidRPr="00420387">
        <w:rPr>
          <w:rFonts w:ascii="Times New Roman" w:eastAsia="Times New Roman" w:hAnsi="Times New Roman" w:cs="Times New Roman"/>
          <w:color w:val="000000"/>
          <w:sz w:val="20"/>
          <w:szCs w:val="20"/>
        </w:rPr>
        <w:t xml:space="preserve">apidArc (RA) is a novel form of IMRT in which radiotherapy delivery is achieved by </w:t>
      </w:r>
      <w:r w:rsidR="004F3A91" w:rsidRPr="00420387">
        <w:rPr>
          <w:rFonts w:ascii="Times New Roman" w:eastAsia="Times New Roman" w:hAnsi="Times New Roman" w:cs="Times New Roman"/>
          <w:color w:val="000000"/>
          <w:sz w:val="20"/>
          <w:szCs w:val="20"/>
        </w:rPr>
        <w:lastRenderedPageBreak/>
        <w:t>dynamically altering the speed of the gantry, shape of the multi-leaf collimator (MLC) and the dose rate resulting in superior dose distribution and shorter treatment time</w:t>
      </w:r>
      <w:r w:rsidR="004F3A91" w:rsidRPr="00420387">
        <w:rPr>
          <w:rFonts w:ascii="Times New Roman" w:eastAsia="Times New Roman" w:hAnsi="Times New Roman" w:cs="Times New Roman"/>
          <w:sz w:val="20"/>
          <w:szCs w:val="20"/>
        </w:rPr>
        <w:t>.</w:t>
      </w:r>
      <w:r w:rsidR="004F3A91" w:rsidRPr="00420387">
        <w:rPr>
          <w:rFonts w:ascii="Times New Roman" w:eastAsia="Times New Roman" w:hAnsi="Times New Roman" w:cs="Times New Roman"/>
          <w:sz w:val="20"/>
          <w:szCs w:val="20"/>
          <w:vertAlign w:val="superscript"/>
        </w:rPr>
        <w:t xml:space="preserve"> 9</w:t>
      </w:r>
      <w:r w:rsidR="004F3A91" w:rsidRPr="00420387">
        <w:rPr>
          <w:rFonts w:ascii="Times New Roman" w:eastAsia="Times New Roman" w:hAnsi="Times New Roman" w:cs="Times New Roman"/>
          <w:sz w:val="20"/>
          <w:szCs w:val="20"/>
        </w:rPr>
        <w:t xml:space="preserve"> RA can dosimetrically produce equivalent plans to conventional IMRT for cancers of the head and neck, cervix and prostate.</w:t>
      </w:r>
      <w:r w:rsidR="004F3A91" w:rsidRPr="00420387">
        <w:rPr>
          <w:rFonts w:ascii="Times New Roman" w:eastAsia="Times New Roman" w:hAnsi="Times New Roman" w:cs="Times New Roman"/>
          <w:sz w:val="20"/>
          <w:szCs w:val="20"/>
          <w:vertAlign w:val="superscript"/>
        </w:rPr>
        <w:t xml:space="preserve"> 10-12 </w:t>
      </w:r>
      <w:r w:rsidR="004F3A91" w:rsidRPr="00420387">
        <w:rPr>
          <w:rFonts w:ascii="Times New Roman" w:eastAsia="Times New Roman" w:hAnsi="Times New Roman" w:cs="Times New Roman"/>
          <w:sz w:val="20"/>
          <w:szCs w:val="20"/>
        </w:rPr>
        <w:t>On the other hand, few studies for the application of RA in gastric cancer have been reported.</w:t>
      </w:r>
      <w:r w:rsidR="004F3A91" w:rsidRPr="00420387">
        <w:rPr>
          <w:rFonts w:ascii="Times New Roman" w:eastAsia="Times New Roman" w:hAnsi="Times New Roman" w:cs="Times New Roman"/>
          <w:sz w:val="20"/>
          <w:szCs w:val="20"/>
          <w:vertAlign w:val="superscript"/>
        </w:rPr>
        <w:t xml:space="preserve"> 13</w:t>
      </w:r>
      <w:r w:rsidRPr="00420387">
        <w:rPr>
          <w:rFonts w:ascii="Times New Roman" w:eastAsia="Times New Roman" w:hAnsi="Times New Roman" w:cs="Times New Roman"/>
          <w:sz w:val="20"/>
          <w:szCs w:val="20"/>
        </w:rPr>
        <w:t xml:space="preserve"> </w:t>
      </w:r>
    </w:p>
    <w:p w:rsidR="004F3A91" w:rsidRPr="00420387" w:rsidRDefault="004F3A91" w:rsidP="008E1495">
      <w:pPr>
        <w:pStyle w:val="ListParagraph"/>
        <w:tabs>
          <w:tab w:val="left" w:pos="670"/>
        </w:tabs>
        <w:snapToGrid w:val="0"/>
        <w:spacing w:after="0" w:line="240" w:lineRule="auto"/>
        <w:ind w:left="0" w:firstLine="425"/>
        <w:jc w:val="both"/>
        <w:rPr>
          <w:rFonts w:ascii="Times New Roman" w:hAnsi="Times New Roman" w:cs="Times New Roman"/>
          <w:sz w:val="20"/>
          <w:szCs w:val="20"/>
        </w:rPr>
      </w:pPr>
      <w:r w:rsidRPr="00420387">
        <w:rPr>
          <w:rFonts w:ascii="Times New Roman" w:hAnsi="Times New Roman" w:cs="Times New Roman"/>
          <w:sz w:val="20"/>
          <w:szCs w:val="20"/>
        </w:rPr>
        <w:t>The objective of this study was to investigate a possible dosimetric benefit of RA compared to IMRT techniques with respect to target coverage and doses received by the organs at risk (OAR) in the adjuvant treatment of gastric cancers.</w:t>
      </w:r>
      <w:r w:rsidR="003C226A" w:rsidRPr="00420387">
        <w:rPr>
          <w:rFonts w:ascii="Times New Roman" w:hAnsi="Times New Roman" w:cs="Times New Roman"/>
          <w:sz w:val="20"/>
          <w:szCs w:val="20"/>
        </w:rPr>
        <w:t xml:space="preserve"> </w:t>
      </w:r>
      <w:r w:rsidRPr="00420387">
        <w:rPr>
          <w:rFonts w:ascii="Times New Roman" w:hAnsi="Times New Roman" w:cs="Times New Roman"/>
          <w:sz w:val="20"/>
          <w:szCs w:val="20"/>
        </w:rPr>
        <w:t>RA and IMRT plans were done for each patient and dose distribution parameters were compared.</w:t>
      </w:r>
    </w:p>
    <w:p w:rsidR="004F3A91" w:rsidRPr="00420387" w:rsidRDefault="004F3A91" w:rsidP="008E1495">
      <w:pPr>
        <w:snapToGrid w:val="0"/>
        <w:spacing w:after="0" w:line="240" w:lineRule="auto"/>
        <w:jc w:val="both"/>
        <w:rPr>
          <w:rFonts w:ascii="Times New Roman" w:eastAsia="Times New Roman" w:hAnsi="Times New Roman" w:cs="Times New Roman"/>
          <w:b/>
          <w:bCs/>
          <w:sz w:val="20"/>
          <w:szCs w:val="20"/>
        </w:rPr>
      </w:pPr>
    </w:p>
    <w:p w:rsidR="003C226A" w:rsidRPr="00420387" w:rsidRDefault="001C2D6D" w:rsidP="008E1495">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Methods And Materials</w:t>
      </w:r>
    </w:p>
    <w:p w:rsidR="003C226A" w:rsidRPr="00420387" w:rsidRDefault="004F3A91" w:rsidP="008E1495">
      <w:pPr>
        <w:pStyle w:val="ListParagraph"/>
        <w:tabs>
          <w:tab w:val="left" w:pos="670"/>
        </w:tabs>
        <w:snapToGrid w:val="0"/>
        <w:spacing w:after="0" w:line="240" w:lineRule="auto"/>
        <w:ind w:left="0"/>
        <w:jc w:val="both"/>
        <w:rPr>
          <w:rFonts w:ascii="Times New Roman" w:hAnsi="Times New Roman" w:cs="Times New Roman"/>
          <w:b/>
          <w:bCs/>
          <w:sz w:val="20"/>
          <w:szCs w:val="20"/>
        </w:rPr>
      </w:pPr>
      <w:r w:rsidRPr="00420387">
        <w:rPr>
          <w:rFonts w:ascii="Times New Roman" w:hAnsi="Times New Roman" w:cs="Times New Roman"/>
          <w:b/>
          <w:bCs/>
          <w:sz w:val="20"/>
          <w:szCs w:val="20"/>
        </w:rPr>
        <w:t xml:space="preserve">Patient selection </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T</w:t>
      </w:r>
      <w:r w:rsidR="004F3A91" w:rsidRPr="00420387">
        <w:rPr>
          <w:rFonts w:ascii="Times New Roman" w:eastAsia="Times New Roman" w:hAnsi="Times New Roman" w:cs="Times New Roman"/>
          <w:sz w:val="20"/>
          <w:szCs w:val="20"/>
        </w:rPr>
        <w:t>his retrospective study was accepted by the scientific and ethical committee at Kasr El-Ainy medical University hospital. A written informed consent for all participants was mandatory before inclusion in this study.</w:t>
      </w:r>
      <w:r w:rsidR="004F3A91" w:rsidRPr="00420387">
        <w:rPr>
          <w:rFonts w:ascii="Times New Roman" w:eastAsia="Times New Roman" w:hAnsi="Times New Roman" w:cs="Times New Roman"/>
          <w:b/>
          <w:bCs/>
          <w:sz w:val="20"/>
          <w:szCs w:val="20"/>
        </w:rPr>
        <w:t xml:space="preserve"> </w:t>
      </w:r>
      <w:r w:rsidR="004F3A91" w:rsidRPr="00420387">
        <w:rPr>
          <w:rFonts w:ascii="Times New Roman" w:eastAsia="Times New Roman" w:hAnsi="Times New Roman" w:cs="Times New Roman"/>
          <w:sz w:val="20"/>
          <w:szCs w:val="20"/>
        </w:rPr>
        <w:t>Between November 2015 and August 2016, twenty gastric cancer patients who had a radical gastrectomy with D2 dissection at our hospital were eligible for this study and were staged based on the 2010 AJCC manual.</w:t>
      </w:r>
      <w:r w:rsidR="004F3A91" w:rsidRPr="00420387">
        <w:rPr>
          <w:rFonts w:ascii="Times New Roman" w:eastAsia="Times New Roman" w:hAnsi="Times New Roman" w:cs="Times New Roman"/>
          <w:sz w:val="20"/>
          <w:szCs w:val="20"/>
          <w:vertAlign w:val="superscript"/>
        </w:rPr>
        <w:t xml:space="preserve"> 14</w:t>
      </w:r>
      <w:r w:rsidR="004F3A91" w:rsidRPr="00420387">
        <w:rPr>
          <w:rFonts w:ascii="Times New Roman" w:eastAsia="Times New Roman" w:hAnsi="Times New Roman" w:cs="Times New Roman"/>
          <w:sz w:val="20"/>
          <w:szCs w:val="20"/>
        </w:rPr>
        <w:t xml:space="preserve"> All patients had T2–4 and/or node positive disease.</w:t>
      </w:r>
      <w:r w:rsidR="004F3A91" w:rsidRPr="00420387">
        <w:rPr>
          <w:rFonts w:ascii="Times New Roman" w:eastAsia="Times New Roman" w:hAnsi="Times New Roman" w:cs="Times New Roman"/>
          <w:color w:val="000000"/>
          <w:sz w:val="20"/>
          <w:szCs w:val="20"/>
        </w:rPr>
        <w:t xml:space="preserve"> The patient and tumor characteristics are summarized in </w:t>
      </w:r>
      <w:r w:rsidR="004F3A91" w:rsidRPr="00420387">
        <w:rPr>
          <w:rFonts w:ascii="Times New Roman" w:eastAsia="Times New Roman" w:hAnsi="Times New Roman" w:cs="Times New Roman"/>
          <w:sz w:val="20"/>
          <w:szCs w:val="20"/>
        </w:rPr>
        <w:t>Table 1.</w:t>
      </w:r>
    </w:p>
    <w:p w:rsidR="00420387" w:rsidRDefault="00420387" w:rsidP="008E1495">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1C2D6D" w:rsidRPr="00420387" w:rsidRDefault="004F3A91" w:rsidP="008E1495">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420387">
        <w:rPr>
          <w:rFonts w:ascii="Times New Roman" w:eastAsia="Times New Roman" w:hAnsi="Times New Roman" w:cs="Times New Roman"/>
          <w:b/>
          <w:bCs/>
          <w:color w:val="000000"/>
          <w:sz w:val="20"/>
          <w:szCs w:val="20"/>
        </w:rPr>
        <w:t xml:space="preserve">Patient preparation and target volume delineation </w:t>
      </w:r>
    </w:p>
    <w:p w:rsidR="004F3A91" w:rsidRPr="00420387" w:rsidRDefault="004F3A91"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A planning computed tomography (CT) scan starting from the neck till mid-pelvic region was obtained for each patient immobilized in supine position with a support for the arms above their heads. Oral and intravenous contrasts were used and the CT sections were set to be taken every 3mm for more accurate target volume delineation. The scan was then transferred to the Aria Network (Varian system) and reconstructed in three dimensional view using the Eclipse treatment planning system (Version 8.6, Varian Medical System, Palo Alto, CA, USA). Based on the ICRU (International Commission on Radiation Units and Measurements) Report 62,</w:t>
      </w:r>
      <w:r w:rsidRPr="00420387">
        <w:rPr>
          <w:rFonts w:ascii="Times New Roman" w:eastAsia="Times New Roman" w:hAnsi="Times New Roman" w:cs="Times New Roman"/>
          <w:sz w:val="20"/>
          <w:szCs w:val="20"/>
          <w:vertAlign w:val="superscript"/>
        </w:rPr>
        <w:t xml:space="preserve"> 15</w:t>
      </w:r>
      <w:r w:rsidRPr="00420387">
        <w:rPr>
          <w:rFonts w:ascii="Times New Roman" w:eastAsia="Times New Roman" w:hAnsi="Times New Roman" w:cs="Times New Roman"/>
          <w:sz w:val="20"/>
          <w:szCs w:val="20"/>
        </w:rPr>
        <w:t xml:space="preserve"> the clinical target volume (CTV) included the gastric operative bed, regional lymph nodes and the anastomotic site with 2 cm proximal/distal margins. Delineation of the CTV was based on the information obtained from the pre-operative and pathological data. The planning target volume (PTV) consisted of CTV plus a uniform margin of 10 mm all around. The OAR included the spinal cord, liver, heart and both kidneys.</w:t>
      </w:r>
    </w:p>
    <w:p w:rsidR="00420387" w:rsidRDefault="00420387" w:rsidP="008E1495">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1C2D6D" w:rsidRPr="00420387" w:rsidRDefault="004F3A91" w:rsidP="008E1495">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420387">
        <w:rPr>
          <w:rFonts w:ascii="Times New Roman" w:eastAsia="Times New Roman" w:hAnsi="Times New Roman" w:cs="Times New Roman"/>
          <w:b/>
          <w:bCs/>
          <w:color w:val="000000"/>
          <w:sz w:val="20"/>
          <w:szCs w:val="20"/>
        </w:rPr>
        <w:t xml:space="preserve">Treatment planning, dose prescription and plan evaluation </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lastRenderedPageBreak/>
        <w:t>F</w:t>
      </w:r>
      <w:r w:rsidR="004F3A91" w:rsidRPr="00420387">
        <w:rPr>
          <w:rFonts w:ascii="Times New Roman" w:eastAsia="Times New Roman" w:hAnsi="Times New Roman" w:cs="Times New Roman"/>
          <w:sz w:val="20"/>
          <w:szCs w:val="20"/>
        </w:rPr>
        <w:t>or IMRT, a coplanar seven-field plan was performed using equidistantly spaced gantry angles which are adjusted and modified when an OAR could be avoided for better target coverage. Regarding the RapidArc, plans were done using a double arc plan consisting of 2 co-planar arcs of 360° in clockwise</w:t>
      </w:r>
      <w:r w:rsidRPr="00420387">
        <w:rPr>
          <w:rFonts w:ascii="Times New Roman" w:eastAsia="Times New Roman" w:hAnsi="Times New Roman" w:cs="Times New Roman"/>
          <w:sz w:val="20"/>
          <w:szCs w:val="20"/>
        </w:rPr>
        <w:t xml:space="preserve"> &amp; </w:t>
      </w:r>
      <w:r w:rsidR="004F3A91" w:rsidRPr="00420387">
        <w:rPr>
          <w:rFonts w:ascii="Times New Roman" w:eastAsia="Times New Roman" w:hAnsi="Times New Roman" w:cs="Times New Roman"/>
          <w:sz w:val="20"/>
          <w:szCs w:val="20"/>
        </w:rPr>
        <w:t>counter clockwise direction. Dose prescribed was 45 Gy to the PTV in 25 fractions using 6MV photons. The plans were normalized to 100% (45Gy) dose and were created in the Eclipse treatment planning system (v8.6, Varian Medical System, Palo Alto, USA).</w:t>
      </w:r>
      <w:r w:rsidRPr="00420387">
        <w:rPr>
          <w:rFonts w:ascii="Times New Roman" w:eastAsia="Times New Roman" w:hAnsi="Times New Roman" w:cs="Times New Roman"/>
          <w:sz w:val="20"/>
          <w:szCs w:val="20"/>
        </w:rPr>
        <w:t xml:space="preserve"> </w:t>
      </w:r>
    </w:p>
    <w:p w:rsidR="001C2D6D" w:rsidRPr="00420387" w:rsidRDefault="003C226A" w:rsidP="008E1495">
      <w:pPr>
        <w:pStyle w:val="ListParagraph"/>
        <w:tabs>
          <w:tab w:val="left" w:pos="670"/>
        </w:tabs>
        <w:snapToGrid w:val="0"/>
        <w:spacing w:after="0" w:line="240" w:lineRule="auto"/>
        <w:ind w:left="0" w:firstLine="425"/>
        <w:jc w:val="both"/>
        <w:rPr>
          <w:rFonts w:ascii="Times New Roman" w:hAnsi="Times New Roman" w:cs="Times New Roman"/>
          <w:sz w:val="20"/>
          <w:szCs w:val="20"/>
        </w:rPr>
      </w:pPr>
      <w:r w:rsidRPr="00420387">
        <w:rPr>
          <w:rFonts w:ascii="Times New Roman" w:hAnsi="Times New Roman" w:cs="Times New Roman"/>
          <w:sz w:val="20"/>
          <w:szCs w:val="20"/>
        </w:rPr>
        <w:t>T</w:t>
      </w:r>
      <w:r w:rsidR="004F3A91" w:rsidRPr="00420387">
        <w:rPr>
          <w:rFonts w:ascii="Times New Roman" w:hAnsi="Times New Roman" w:cs="Times New Roman"/>
          <w:sz w:val="20"/>
          <w:szCs w:val="20"/>
        </w:rPr>
        <w:t>he PTV dose coverage criteria were at least 95% of PTV received 45Gy. Other criteria used to assess PTV coverage were V107% (volume receiving 107% of dose), D</w:t>
      </w:r>
      <w:r w:rsidR="004F3A91" w:rsidRPr="00420387">
        <w:rPr>
          <w:rFonts w:ascii="Times New Roman" w:hAnsi="Times New Roman" w:cs="Times New Roman"/>
          <w:sz w:val="20"/>
          <w:szCs w:val="20"/>
          <w:vertAlign w:val="subscript"/>
        </w:rPr>
        <w:t>min</w:t>
      </w:r>
      <w:r w:rsidR="004F3A91" w:rsidRPr="00420387">
        <w:rPr>
          <w:rFonts w:ascii="Times New Roman" w:hAnsi="Times New Roman" w:cs="Times New Roman"/>
          <w:sz w:val="20"/>
          <w:szCs w:val="20"/>
        </w:rPr>
        <w:t xml:space="preserve"> (minimum dose within the PTV). The homogeneity index (HI) was calculated similar to the ICRU 83 using the equation (</w:t>
      </w:r>
      <w:r w:rsidR="004F3A91" w:rsidRPr="00420387">
        <w:rPr>
          <w:rFonts w:ascii="Times New Roman" w:hAnsi="Times New Roman" w:cs="Times New Roman"/>
          <w:i/>
          <w:iCs/>
          <w:sz w:val="20"/>
          <w:szCs w:val="20"/>
        </w:rPr>
        <w:t>D</w:t>
      </w:r>
      <w:r w:rsidR="004F3A91" w:rsidRPr="00420387">
        <w:rPr>
          <w:rFonts w:ascii="Times New Roman" w:hAnsi="Times New Roman" w:cs="Times New Roman"/>
          <w:sz w:val="20"/>
          <w:szCs w:val="20"/>
        </w:rPr>
        <w:t>2%</w:t>
      </w:r>
      <w:r w:rsidR="004F3A91" w:rsidRPr="00420387">
        <w:rPr>
          <w:rFonts w:ascii="Times New Roman" w:eastAsia="MTSY" w:hAnsi="Times New Roman" w:cs="Times New Roman"/>
          <w:sz w:val="20"/>
          <w:szCs w:val="20"/>
        </w:rPr>
        <w:t>−</w:t>
      </w:r>
      <w:r w:rsidR="004F3A91" w:rsidRPr="00420387">
        <w:rPr>
          <w:rFonts w:ascii="Times New Roman" w:hAnsi="Times New Roman" w:cs="Times New Roman"/>
          <w:sz w:val="20"/>
          <w:szCs w:val="20"/>
        </w:rPr>
        <w:t>D98%)/</w:t>
      </w:r>
      <w:r w:rsidR="004F3A91" w:rsidRPr="00420387">
        <w:rPr>
          <w:rFonts w:ascii="Times New Roman" w:hAnsi="Times New Roman" w:cs="Times New Roman"/>
          <w:i/>
          <w:iCs/>
          <w:sz w:val="20"/>
          <w:szCs w:val="20"/>
        </w:rPr>
        <w:t>D</w:t>
      </w:r>
      <w:r w:rsidR="004F3A91" w:rsidRPr="00420387">
        <w:rPr>
          <w:rFonts w:ascii="Times New Roman" w:hAnsi="Times New Roman" w:cs="Times New Roman"/>
          <w:sz w:val="20"/>
          <w:szCs w:val="20"/>
        </w:rPr>
        <w:t>50% were the D2% is the maximum dose within the PTV,</w:t>
      </w:r>
      <w:r w:rsidRPr="00420387">
        <w:rPr>
          <w:rFonts w:ascii="Times New Roman" w:hAnsi="Times New Roman" w:cs="Times New Roman"/>
          <w:sz w:val="20"/>
          <w:szCs w:val="20"/>
        </w:rPr>
        <w:t xml:space="preserve"> </w:t>
      </w:r>
      <w:r w:rsidR="004F3A91" w:rsidRPr="00420387">
        <w:rPr>
          <w:rFonts w:ascii="Times New Roman" w:hAnsi="Times New Roman" w:cs="Times New Roman"/>
          <w:sz w:val="20"/>
          <w:szCs w:val="20"/>
        </w:rPr>
        <w:t>D98% is the minimum dose within the PTV and the D50%</w:t>
      </w:r>
      <w:r w:rsidRPr="00420387">
        <w:rPr>
          <w:rFonts w:ascii="Times New Roman" w:hAnsi="Times New Roman" w:cs="Times New Roman"/>
          <w:sz w:val="20"/>
          <w:szCs w:val="20"/>
        </w:rPr>
        <w:t xml:space="preserve"> </w:t>
      </w:r>
      <w:r w:rsidR="004F3A91" w:rsidRPr="00420387">
        <w:rPr>
          <w:rFonts w:ascii="Times New Roman" w:hAnsi="Times New Roman" w:cs="Times New Roman"/>
          <w:sz w:val="20"/>
          <w:szCs w:val="20"/>
        </w:rPr>
        <w:t>or D</w:t>
      </w:r>
      <w:r w:rsidR="004F3A91" w:rsidRPr="00420387">
        <w:rPr>
          <w:rFonts w:ascii="Times New Roman" w:hAnsi="Times New Roman" w:cs="Times New Roman"/>
          <w:sz w:val="20"/>
          <w:szCs w:val="20"/>
          <w:vertAlign w:val="subscript"/>
        </w:rPr>
        <w:t>median</w:t>
      </w:r>
      <w:r w:rsidR="004F3A91" w:rsidRPr="00420387">
        <w:rPr>
          <w:rFonts w:ascii="Times New Roman" w:hAnsi="Times New Roman" w:cs="Times New Roman"/>
          <w:sz w:val="20"/>
          <w:szCs w:val="20"/>
        </w:rPr>
        <w:t xml:space="preserve"> is the absorbed dose received by 50 % of the volume. Conformity index (CI) was calculated using the following equation:</w:t>
      </w:r>
      <w:r w:rsidR="004F3A91" w:rsidRPr="00420387">
        <w:rPr>
          <w:rFonts w:ascii="Times New Roman" w:hAnsi="Times New Roman" w:cs="Times New Roman"/>
          <w:b/>
          <w:bCs/>
          <w:sz w:val="20"/>
          <w:szCs w:val="20"/>
        </w:rPr>
        <w:t xml:space="preserve"> </w:t>
      </w:r>
      <w:r w:rsidR="004F3A91" w:rsidRPr="00420387">
        <w:rPr>
          <w:rFonts w:ascii="Times New Roman" w:hAnsi="Times New Roman" w:cs="Times New Roman"/>
          <w:sz w:val="20"/>
          <w:szCs w:val="20"/>
        </w:rPr>
        <w:t>TV/PTV</w:t>
      </w:r>
      <w:r w:rsidR="004F3A91" w:rsidRPr="00420387">
        <w:rPr>
          <w:rFonts w:ascii="Times New Roman" w:hAnsi="Times New Roman" w:cs="Times New Roman"/>
          <w:b/>
          <w:bCs/>
          <w:sz w:val="20"/>
          <w:szCs w:val="20"/>
        </w:rPr>
        <w:t xml:space="preserve"> </w:t>
      </w:r>
      <w:r w:rsidR="004F3A91" w:rsidRPr="00420387">
        <w:rPr>
          <w:rFonts w:ascii="Times New Roman" w:hAnsi="Times New Roman" w:cs="Times New Roman"/>
          <w:sz w:val="20"/>
          <w:szCs w:val="20"/>
        </w:rPr>
        <w:t xml:space="preserve">where the TV is the treated volume receiving 98% of dose and PTV is planning target volume receiving 98% of dose. </w:t>
      </w:r>
      <w:r w:rsidR="004F3A91" w:rsidRPr="00420387">
        <w:rPr>
          <w:rFonts w:ascii="Times New Roman" w:eastAsia="Times New Roman" w:hAnsi="Times New Roman" w:cs="Times New Roman"/>
          <w:sz w:val="20"/>
          <w:szCs w:val="20"/>
        </w:rPr>
        <w:t xml:space="preserve">With respect to the OAR, dose constraints used in radiotherapy planning are outlined in table 2. </w:t>
      </w:r>
      <w:r w:rsidR="004F3A91" w:rsidRPr="00420387">
        <w:rPr>
          <w:rFonts w:ascii="Times New Roman" w:hAnsi="Times New Roman" w:cs="Times New Roman"/>
          <w:sz w:val="20"/>
          <w:szCs w:val="20"/>
        </w:rPr>
        <w:t>The dose-volume histogram (DVH) for target coverage and doses received by the OAR were generated. Calculation of the treatment delivery time and the total number of monitor units (MUs) for each plan was also recorded.</w:t>
      </w:r>
    </w:p>
    <w:p w:rsidR="00420387" w:rsidRDefault="00420387" w:rsidP="008E1495">
      <w:pPr>
        <w:tabs>
          <w:tab w:val="left" w:pos="670"/>
        </w:tabs>
        <w:snapToGrid w:val="0"/>
        <w:spacing w:after="0" w:line="240" w:lineRule="auto"/>
        <w:jc w:val="both"/>
        <w:rPr>
          <w:rFonts w:ascii="Times New Roman" w:hAnsi="Times New Roman" w:cs="Times New Roman"/>
          <w:b/>
          <w:bCs/>
          <w:sz w:val="20"/>
          <w:szCs w:val="20"/>
          <w:lang w:eastAsia="zh-CN" w:bidi="ar-EG"/>
        </w:rPr>
      </w:pPr>
    </w:p>
    <w:p w:rsidR="001C2D6D" w:rsidRPr="00420387" w:rsidRDefault="004F3A91" w:rsidP="008E1495">
      <w:pPr>
        <w:tabs>
          <w:tab w:val="left" w:pos="670"/>
        </w:tabs>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lang w:bidi="ar-EG"/>
        </w:rPr>
        <w:t>Statistical methods:</w:t>
      </w:r>
    </w:p>
    <w:p w:rsidR="004F3A91" w:rsidRPr="00420387" w:rsidRDefault="004F3A91" w:rsidP="008E1495">
      <w:pPr>
        <w:pStyle w:val="NormalIndent"/>
        <w:snapToGrid w:val="0"/>
        <w:spacing w:line="240" w:lineRule="auto"/>
        <w:ind w:firstLine="425"/>
        <w:jc w:val="both"/>
        <w:rPr>
          <w:sz w:val="20"/>
          <w:szCs w:val="20"/>
          <w:lang w:bidi="ar-EG"/>
        </w:rPr>
      </w:pPr>
      <w:r w:rsidRPr="00420387">
        <w:rPr>
          <w:sz w:val="20"/>
          <w:szCs w:val="20"/>
        </w:rPr>
        <w:t xml:space="preserve">Data analysis was done using SPSS (version 17.0, SPSS Inc., Chicago, IL, USA). Comparison between the study plans was done using Mann Whitney </w:t>
      </w:r>
      <w:r w:rsidRPr="00420387">
        <w:rPr>
          <w:i/>
          <w:iCs/>
          <w:sz w:val="20"/>
          <w:szCs w:val="20"/>
        </w:rPr>
        <w:t>U</w:t>
      </w:r>
      <w:r w:rsidRPr="00420387">
        <w:rPr>
          <w:sz w:val="20"/>
          <w:szCs w:val="20"/>
        </w:rPr>
        <w:t xml:space="preserve"> test for independent samples. </w:t>
      </w:r>
      <w:r w:rsidRPr="00420387">
        <w:rPr>
          <w:i/>
          <w:iCs/>
          <w:sz w:val="20"/>
          <w:szCs w:val="20"/>
        </w:rPr>
        <w:t>p-</w:t>
      </w:r>
      <w:r w:rsidRPr="00420387">
        <w:rPr>
          <w:sz w:val="20"/>
          <w:szCs w:val="20"/>
        </w:rPr>
        <w:t xml:space="preserve"> values less than 0.05 was considered statistically significant. </w:t>
      </w:r>
    </w:p>
    <w:p w:rsidR="004F3A91" w:rsidRPr="00420387" w:rsidRDefault="004F3A91" w:rsidP="008E1495">
      <w:pPr>
        <w:tabs>
          <w:tab w:val="left" w:pos="6847"/>
        </w:tabs>
        <w:snapToGrid w:val="0"/>
        <w:spacing w:after="0" w:line="240" w:lineRule="auto"/>
        <w:jc w:val="both"/>
        <w:rPr>
          <w:rFonts w:ascii="Times New Roman" w:eastAsia="Times New Roman" w:hAnsi="Times New Roman" w:cs="Times New Roman"/>
          <w:b/>
          <w:bCs/>
          <w:sz w:val="20"/>
          <w:szCs w:val="20"/>
          <w:lang w:bidi="ar-EG"/>
        </w:rPr>
      </w:pPr>
    </w:p>
    <w:p w:rsidR="004F3A91" w:rsidRPr="00420387" w:rsidRDefault="001C2D6D" w:rsidP="008E1495">
      <w:pPr>
        <w:tabs>
          <w:tab w:val="left" w:pos="6847"/>
        </w:tabs>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Results</w:t>
      </w:r>
    </w:p>
    <w:p w:rsidR="004F3A91" w:rsidRPr="00420387" w:rsidRDefault="004F3A91" w:rsidP="008E1495">
      <w:pPr>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Between November 2015 and August 2016, 20 patients with a pathological diagnosis of gastric adenocarcinoma were enrolled in our study. For each patient, two plans were done on the Eclipse planning system (version 8.6); one with doublearc RA and a second plan with IMRT i.e a total of 40 plans were done.</w:t>
      </w:r>
    </w:p>
    <w:p w:rsidR="001C2D6D" w:rsidRPr="00420387" w:rsidRDefault="004F3A91" w:rsidP="001C2D6D">
      <w:pPr>
        <w:snapToGrid w:val="0"/>
        <w:spacing w:after="0" w:line="240" w:lineRule="auto"/>
        <w:ind w:firstLine="425"/>
        <w:jc w:val="both"/>
        <w:rPr>
          <w:rFonts w:ascii="Times New Roman" w:hAnsi="Times New Roman" w:cs="Times New Roman"/>
          <w:sz w:val="20"/>
          <w:szCs w:val="20"/>
          <w:lang w:eastAsia="zh-CN"/>
        </w:rPr>
      </w:pPr>
      <w:r w:rsidRPr="00420387">
        <w:rPr>
          <w:rFonts w:ascii="Times New Roman" w:eastAsia="Times New Roman" w:hAnsi="Times New Roman" w:cs="Times New Roman"/>
          <w:sz w:val="20"/>
          <w:szCs w:val="20"/>
        </w:rPr>
        <w:t xml:space="preserve">Target coverage was similar for both techniques. The mean V95 was found to be 94.7% </w:t>
      </w:r>
      <w:r w:rsidRPr="00420387">
        <w:rPr>
          <w:rFonts w:ascii="Times New Roman" w:eastAsia="MTSY" w:hAnsi="Times New Roman" w:cs="Times New Roman"/>
          <w:sz w:val="20"/>
          <w:szCs w:val="20"/>
        </w:rPr>
        <w:t xml:space="preserve">± 4.5 </w:t>
      </w:r>
      <w:r w:rsidRPr="00420387">
        <w:rPr>
          <w:rFonts w:ascii="Times New Roman" w:eastAsia="Times New Roman" w:hAnsi="Times New Roman" w:cs="Times New Roman"/>
          <w:sz w:val="20"/>
          <w:szCs w:val="20"/>
        </w:rPr>
        <w:t>and 94.8%</w:t>
      </w:r>
      <w:r w:rsidRPr="00420387">
        <w:rPr>
          <w:rFonts w:ascii="Times New Roman" w:eastAsia="MTSY" w:hAnsi="Times New Roman" w:cs="Times New Roman"/>
          <w:sz w:val="20"/>
          <w:szCs w:val="20"/>
        </w:rPr>
        <w:t>± 4.75</w:t>
      </w:r>
      <w:r w:rsidRPr="00420387">
        <w:rPr>
          <w:rFonts w:ascii="Times New Roman" w:eastAsia="Times New Roman" w:hAnsi="Times New Roman" w:cs="Times New Roman"/>
          <w:sz w:val="20"/>
          <w:szCs w:val="20"/>
        </w:rPr>
        <w:t xml:space="preserve"> for the IMRT and RA respectively (p = 0.32). The CI for IMRT and RA were 0.93 ± 0.01</w:t>
      </w:r>
      <w:r w:rsidR="003C226A" w:rsidRPr="00420387">
        <w:rPr>
          <w:rFonts w:ascii="Times New Roman" w:eastAsia="Times New Roman" w:hAnsi="Times New Roman" w:cs="Times New Roman"/>
          <w:sz w:val="20"/>
          <w:szCs w:val="20"/>
        </w:rPr>
        <w:t xml:space="preserve"> &amp; </w:t>
      </w:r>
      <w:r w:rsidRPr="00420387">
        <w:rPr>
          <w:rFonts w:ascii="Times New Roman" w:eastAsia="Times New Roman" w:hAnsi="Times New Roman" w:cs="Times New Roman"/>
          <w:sz w:val="20"/>
          <w:szCs w:val="20"/>
        </w:rPr>
        <w:t>0.94 ± 0.01, respectively; while the HI was 1.153 ± 0.01 for IMRT</w:t>
      </w:r>
      <w:r w:rsidR="003C226A" w:rsidRPr="00420387">
        <w:rPr>
          <w:rFonts w:ascii="Times New Roman" w:eastAsia="Times New Roman" w:hAnsi="Times New Roman" w:cs="Times New Roman"/>
          <w:sz w:val="20"/>
          <w:szCs w:val="20"/>
        </w:rPr>
        <w:t xml:space="preserve"> &amp; </w:t>
      </w:r>
      <w:r w:rsidRPr="00420387">
        <w:rPr>
          <w:rFonts w:ascii="Times New Roman" w:eastAsia="Times New Roman" w:hAnsi="Times New Roman" w:cs="Times New Roman"/>
          <w:sz w:val="20"/>
          <w:szCs w:val="20"/>
        </w:rPr>
        <w:t>1.142 ± 0.02 for RA (both p &gt; 0.04). Table 3 summarizes the dosimetric parameters for PTV coverage.</w:t>
      </w:r>
    </w:p>
    <w:p w:rsidR="001C2D6D" w:rsidRPr="00420387" w:rsidRDefault="001C2D6D" w:rsidP="001C2D6D">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lastRenderedPageBreak/>
        <w:t xml:space="preserve">All plans met the required dose limitations. The maximum spinal cord dose for IMRT and RapidArc was 37.87 Gy </w:t>
      </w:r>
      <w:r w:rsidRPr="00420387">
        <w:rPr>
          <w:rFonts w:ascii="Times New Roman" w:eastAsia="MTSY" w:hAnsi="Times New Roman" w:cs="Times New Roman"/>
          <w:sz w:val="20"/>
          <w:szCs w:val="20"/>
        </w:rPr>
        <w:t xml:space="preserve">± 16.9 </w:t>
      </w:r>
      <w:r w:rsidRPr="00420387">
        <w:rPr>
          <w:rFonts w:ascii="Times New Roman" w:eastAsia="Times New Roman" w:hAnsi="Times New Roman" w:cs="Times New Roman"/>
          <w:sz w:val="20"/>
          <w:szCs w:val="20"/>
        </w:rPr>
        <w:t xml:space="preserve">vs 36.42 Gy </w:t>
      </w:r>
      <w:r w:rsidRPr="00420387">
        <w:rPr>
          <w:rFonts w:ascii="Times New Roman" w:eastAsia="MTSY" w:hAnsi="Times New Roman" w:cs="Times New Roman"/>
          <w:sz w:val="20"/>
          <w:szCs w:val="20"/>
        </w:rPr>
        <w:t>± 18.1</w:t>
      </w:r>
      <w:r w:rsidRPr="00420387">
        <w:rPr>
          <w:rFonts w:ascii="Times New Roman" w:eastAsia="Times New Roman" w:hAnsi="Times New Roman" w:cs="Times New Roman"/>
          <w:sz w:val="20"/>
          <w:szCs w:val="20"/>
        </w:rPr>
        <w:t xml:space="preserve"> (p = 0.34). For the right kidney, IMRT had significantly lower mean V20 (volume receiving 20 Gy) compared to RA (22.2% </w:t>
      </w:r>
      <w:r w:rsidRPr="00420387">
        <w:rPr>
          <w:rFonts w:ascii="Times New Roman" w:eastAsia="MTSY" w:hAnsi="Times New Roman" w:cs="Times New Roman"/>
          <w:sz w:val="20"/>
          <w:szCs w:val="20"/>
        </w:rPr>
        <w:t xml:space="preserve">± 11.6 </w:t>
      </w:r>
      <w:r w:rsidRPr="00420387">
        <w:rPr>
          <w:rFonts w:ascii="Times New Roman" w:eastAsia="Times New Roman" w:hAnsi="Times New Roman" w:cs="Times New Roman"/>
          <w:sz w:val="20"/>
          <w:szCs w:val="20"/>
        </w:rPr>
        <w:t>vs. 24.3 %</w:t>
      </w:r>
      <w:r w:rsidRPr="00420387">
        <w:rPr>
          <w:rFonts w:ascii="Times New Roman" w:eastAsia="MTSY" w:hAnsi="Times New Roman" w:cs="Times New Roman"/>
          <w:sz w:val="20"/>
          <w:szCs w:val="20"/>
        </w:rPr>
        <w:t>± 8.8</w:t>
      </w:r>
      <w:r w:rsidRPr="00420387">
        <w:rPr>
          <w:rFonts w:ascii="Times New Roman" w:eastAsia="Times New Roman" w:hAnsi="Times New Roman" w:cs="Times New Roman"/>
          <w:sz w:val="20"/>
          <w:szCs w:val="20"/>
        </w:rPr>
        <w:t xml:space="preserve">, p = 0.01). The mean V20 to the left kidney were </w:t>
      </w:r>
      <w:r w:rsidRPr="00420387">
        <w:rPr>
          <w:rFonts w:ascii="Times New Roman" w:eastAsia="MTSY" w:hAnsi="Times New Roman" w:cs="Times New Roman"/>
          <w:sz w:val="20"/>
          <w:szCs w:val="20"/>
        </w:rPr>
        <w:t>24.4% ± 15.1 and</w:t>
      </w:r>
      <w:r w:rsidRPr="00420387">
        <w:rPr>
          <w:rFonts w:ascii="Times New Roman" w:eastAsia="Times New Roman" w:hAnsi="Times New Roman" w:cs="Times New Roman"/>
          <w:sz w:val="20"/>
          <w:szCs w:val="20"/>
        </w:rPr>
        <w:t xml:space="preserve"> 23.4 % </w:t>
      </w:r>
      <w:r w:rsidRPr="00420387">
        <w:rPr>
          <w:rFonts w:ascii="Times New Roman" w:eastAsia="MTSY" w:hAnsi="Times New Roman" w:cs="Times New Roman"/>
          <w:sz w:val="20"/>
          <w:szCs w:val="20"/>
        </w:rPr>
        <w:t xml:space="preserve">± 13.2 </w:t>
      </w:r>
      <w:r w:rsidRPr="00420387">
        <w:rPr>
          <w:rFonts w:ascii="Times New Roman" w:eastAsia="Times New Roman" w:hAnsi="Times New Roman" w:cs="Times New Roman"/>
          <w:sz w:val="20"/>
          <w:szCs w:val="20"/>
        </w:rPr>
        <w:t xml:space="preserve">in the IMRT and RA plans, respectively (p = 0.01). The IMRT produced a similar liver mean V30 (volume receiving 30 Gy) (24.3% ± 13.4 vs. 23.1% ± 9.1, p = 0.52) to RA. Similarly, the mean V40 (volume </w:t>
      </w:r>
      <w:r w:rsidRPr="00420387">
        <w:rPr>
          <w:rFonts w:ascii="Times New Roman" w:eastAsia="Times New Roman" w:hAnsi="Times New Roman" w:cs="Times New Roman"/>
          <w:sz w:val="20"/>
          <w:szCs w:val="20"/>
        </w:rPr>
        <w:lastRenderedPageBreak/>
        <w:t>receiving 40 Gy) to the heart was kept within tolerance in both plans (p=0.245). Table 4 illustrates the dosimetric endpoints for the OAR. Figure 1 shows the dose distribution in an axial view illustrating both techniques for the same patient and figure 2 shows the DVH for PTV and OARs comparing the two plans.</w:t>
      </w:r>
    </w:p>
    <w:p w:rsidR="001C2D6D" w:rsidRPr="00420387" w:rsidRDefault="001C2D6D" w:rsidP="00420387">
      <w:pPr>
        <w:snapToGrid w:val="0"/>
        <w:spacing w:after="0" w:line="240" w:lineRule="auto"/>
        <w:ind w:firstLine="425"/>
        <w:jc w:val="both"/>
        <w:rPr>
          <w:rFonts w:ascii="Times New Roman" w:hAnsi="Times New Roman" w:cs="Times New Roman"/>
          <w:b/>
          <w:bCs/>
          <w:sz w:val="20"/>
          <w:szCs w:val="20"/>
          <w:lang w:eastAsia="zh-CN"/>
        </w:rPr>
      </w:pPr>
      <w:r w:rsidRPr="00420387">
        <w:rPr>
          <w:rFonts w:ascii="Times New Roman" w:eastAsia="Times New Roman" w:hAnsi="Times New Roman" w:cs="Times New Roman"/>
          <w:sz w:val="20"/>
          <w:szCs w:val="20"/>
        </w:rPr>
        <w:t>The treatment delivery time was 193.5 ± 25.0 s (range 157–230 s) to IMRT and 66.0 ± 8.7 s (range 55–77 s) to RapidArc (p = 0.002). The total monitor units (MU) for RA and IMRT were 343.0 ± 94.0 &amp; 363.0 ± 44.6 (p = 0.071), respectively.</w:t>
      </w:r>
    </w:p>
    <w:p w:rsidR="00420387" w:rsidRDefault="00420387" w:rsidP="008E1495">
      <w:pPr>
        <w:snapToGrid w:val="0"/>
        <w:spacing w:after="0" w:line="240" w:lineRule="auto"/>
        <w:jc w:val="both"/>
        <w:rPr>
          <w:rFonts w:ascii="Times New Roman" w:hAnsi="Times New Roman" w:cs="Times New Roman"/>
          <w:b/>
          <w:bCs/>
          <w:sz w:val="20"/>
          <w:szCs w:val="20"/>
          <w:lang w:eastAsia="zh-CN"/>
        </w:rPr>
        <w:sectPr w:rsidR="00420387" w:rsidSect="001C2D6D">
          <w:type w:val="continuous"/>
          <w:pgSz w:w="12240" w:h="15840" w:code="1"/>
          <w:pgMar w:top="1440" w:right="1440" w:bottom="1440" w:left="1440" w:header="720" w:footer="720" w:gutter="0"/>
          <w:cols w:num="2" w:space="550"/>
          <w:docGrid w:linePitch="360"/>
        </w:sectPr>
      </w:pPr>
    </w:p>
    <w:p w:rsidR="001C2D6D" w:rsidRDefault="001C2D6D" w:rsidP="008E1495">
      <w:pPr>
        <w:snapToGrid w:val="0"/>
        <w:spacing w:after="0" w:line="240" w:lineRule="auto"/>
        <w:jc w:val="both"/>
        <w:rPr>
          <w:rFonts w:ascii="Times New Roman" w:hAnsi="Times New Roman" w:cs="Times New Roman"/>
          <w:b/>
          <w:bCs/>
          <w:sz w:val="20"/>
          <w:szCs w:val="20"/>
          <w:lang w:eastAsia="zh-CN"/>
        </w:rPr>
      </w:pPr>
    </w:p>
    <w:p w:rsidR="00420387" w:rsidRDefault="00420387" w:rsidP="00420387">
      <w:pPr>
        <w:snapToGrid w:val="0"/>
        <w:spacing w:after="0" w:line="240" w:lineRule="auto"/>
        <w:ind w:firstLine="425"/>
        <w:jc w:val="both"/>
        <w:rPr>
          <w:rFonts w:ascii="Times New Roman" w:hAnsi="Times New Roman" w:cs="Times New Roman"/>
          <w:sz w:val="20"/>
          <w:szCs w:val="20"/>
          <w:lang w:eastAsia="zh-CN"/>
        </w:rPr>
      </w:pPr>
    </w:p>
    <w:p w:rsidR="00420387" w:rsidRDefault="00420387" w:rsidP="00420387">
      <w:pPr>
        <w:snapToGrid w:val="0"/>
        <w:spacing w:after="0" w:line="240" w:lineRule="auto"/>
        <w:ind w:firstLine="425"/>
        <w:jc w:val="both"/>
        <w:rPr>
          <w:rFonts w:ascii="Times New Roman" w:hAnsi="Times New Roman" w:cs="Times New Roman"/>
          <w:sz w:val="20"/>
          <w:szCs w:val="20"/>
          <w:lang w:eastAsia="zh-CN"/>
        </w:rPr>
      </w:pPr>
    </w:p>
    <w:p w:rsidR="00420387" w:rsidRPr="00420387" w:rsidRDefault="00420387" w:rsidP="00420387">
      <w:pPr>
        <w:snapToGrid w:val="0"/>
        <w:spacing w:after="0" w:line="240" w:lineRule="auto"/>
        <w:ind w:firstLine="425"/>
        <w:jc w:val="both"/>
        <w:rPr>
          <w:rFonts w:ascii="Times New Roman" w:hAnsi="Times New Roman" w:cs="Times New Roman"/>
          <w:sz w:val="20"/>
          <w:szCs w:val="20"/>
          <w:lang w:eastAsia="zh-CN"/>
        </w:rPr>
      </w:pPr>
    </w:p>
    <w:tbl>
      <w:tblPr>
        <w:tblW w:w="4371" w:type="pct"/>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210"/>
        <w:gridCol w:w="1105"/>
        <w:gridCol w:w="967"/>
      </w:tblGrid>
      <w:tr w:rsidR="00420387" w:rsidRPr="00420387" w:rsidTr="00420387">
        <w:trPr>
          <w:jc w:val="center"/>
        </w:trPr>
        <w:tc>
          <w:tcPr>
            <w:tcW w:w="5000" w:type="pct"/>
            <w:gridSpan w:val="3"/>
            <w:shd w:val="clear" w:color="auto" w:fill="C6D9F1"/>
            <w:vAlign w:val="center"/>
          </w:tcPr>
          <w:p w:rsidR="00420387" w:rsidRPr="00420387" w:rsidRDefault="00420387" w:rsidP="00A913A7">
            <w:pPr>
              <w:snapToGrid w:val="0"/>
              <w:spacing w:after="0" w:line="240" w:lineRule="auto"/>
              <w:jc w:val="center"/>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 xml:space="preserve">Table 1: Patients and tumor characteristics </w:t>
            </w:r>
          </w:p>
        </w:tc>
      </w:tr>
      <w:tr w:rsidR="00420387" w:rsidRPr="00420387" w:rsidTr="00420387">
        <w:trPr>
          <w:jc w:val="center"/>
        </w:trPr>
        <w:tc>
          <w:tcPr>
            <w:tcW w:w="3749" w:type="pct"/>
            <w:tcBorders>
              <w:bottom w:val="single" w:sz="4" w:space="0" w:color="auto"/>
            </w:tcBorders>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No</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w:t>
            </w:r>
          </w:p>
        </w:tc>
      </w:tr>
      <w:tr w:rsidR="00420387" w:rsidRPr="00420387" w:rsidTr="00420387">
        <w:trPr>
          <w:jc w:val="center"/>
        </w:trPr>
        <w:tc>
          <w:tcPr>
            <w:tcW w:w="3749" w:type="pct"/>
            <w:shd w:val="clear" w:color="auto" w:fill="C6D9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Age (years)</w:t>
            </w:r>
          </w:p>
        </w:tc>
        <w:tc>
          <w:tcPr>
            <w:tcW w:w="1251" w:type="pct"/>
            <w:gridSpan w:val="2"/>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 xml:space="preserve">≤ 40 </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 xml:space="preserve">41-50 </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6</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30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51-60</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9</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&gt; 60</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Sex</w:t>
            </w:r>
          </w:p>
        </w:tc>
        <w:tc>
          <w:tcPr>
            <w:tcW w:w="1251" w:type="pct"/>
            <w:gridSpan w:val="2"/>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Male</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12</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60</w:t>
            </w:r>
          </w:p>
        </w:tc>
      </w:tr>
      <w:tr w:rsidR="00420387" w:rsidRPr="00420387" w:rsidTr="00420387">
        <w:trPr>
          <w:jc w:val="center"/>
        </w:trPr>
        <w:tc>
          <w:tcPr>
            <w:tcW w:w="3749" w:type="pct"/>
            <w:tcBorders>
              <w:bottom w:val="single" w:sz="4" w:space="0" w:color="auto"/>
            </w:tcBorders>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Female</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8</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40</w:t>
            </w:r>
          </w:p>
        </w:tc>
      </w:tr>
      <w:tr w:rsidR="00420387" w:rsidRPr="00420387" w:rsidTr="00420387">
        <w:trPr>
          <w:jc w:val="center"/>
        </w:trPr>
        <w:tc>
          <w:tcPr>
            <w:tcW w:w="3749" w:type="pct"/>
            <w:shd w:val="clear" w:color="auto" w:fill="C6D9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Performance status</w:t>
            </w:r>
          </w:p>
        </w:tc>
        <w:tc>
          <w:tcPr>
            <w:tcW w:w="1251" w:type="pct"/>
            <w:gridSpan w:val="2"/>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12</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60</w:t>
            </w:r>
          </w:p>
        </w:tc>
      </w:tr>
      <w:tr w:rsidR="00420387" w:rsidRPr="00420387" w:rsidTr="00420387">
        <w:trPr>
          <w:jc w:val="center"/>
        </w:trPr>
        <w:tc>
          <w:tcPr>
            <w:tcW w:w="3749" w:type="pct"/>
            <w:tcBorders>
              <w:bottom w:val="single" w:sz="4" w:space="0" w:color="auto"/>
            </w:tcBorders>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20</w:t>
            </w:r>
          </w:p>
        </w:tc>
      </w:tr>
      <w:tr w:rsidR="00420387" w:rsidRPr="00420387" w:rsidTr="00420387">
        <w:trPr>
          <w:jc w:val="center"/>
        </w:trPr>
        <w:tc>
          <w:tcPr>
            <w:tcW w:w="3749" w:type="pct"/>
            <w:shd w:val="clear" w:color="auto" w:fill="C6D9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T-stage</w:t>
            </w:r>
          </w:p>
        </w:tc>
        <w:tc>
          <w:tcPr>
            <w:tcW w:w="1251" w:type="pct"/>
            <w:gridSpan w:val="2"/>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T1</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T2</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5</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T3</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9</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T4a</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6</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30</w:t>
            </w:r>
          </w:p>
        </w:tc>
      </w:tr>
      <w:tr w:rsidR="00420387" w:rsidRPr="00420387" w:rsidTr="00420387">
        <w:trPr>
          <w:jc w:val="center"/>
        </w:trPr>
        <w:tc>
          <w:tcPr>
            <w:tcW w:w="3749" w:type="pct"/>
            <w:tcBorders>
              <w:bottom w:val="single" w:sz="4" w:space="0" w:color="auto"/>
            </w:tcBorders>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T4b</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r>
      <w:tr w:rsidR="00420387" w:rsidRPr="00420387" w:rsidTr="00420387">
        <w:trPr>
          <w:jc w:val="center"/>
        </w:trPr>
        <w:tc>
          <w:tcPr>
            <w:tcW w:w="3749" w:type="pct"/>
            <w:shd w:val="clear" w:color="auto" w:fill="C6D9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N-stage</w:t>
            </w:r>
          </w:p>
        </w:tc>
        <w:tc>
          <w:tcPr>
            <w:tcW w:w="1251" w:type="pct"/>
            <w:gridSpan w:val="2"/>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N0</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N1</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3</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N2</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11</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55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N3a</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20</w:t>
            </w:r>
          </w:p>
        </w:tc>
      </w:tr>
      <w:tr w:rsidR="00420387" w:rsidRPr="00420387" w:rsidTr="00420387">
        <w:trPr>
          <w:jc w:val="center"/>
        </w:trPr>
        <w:tc>
          <w:tcPr>
            <w:tcW w:w="3749" w:type="pct"/>
            <w:tcBorders>
              <w:bottom w:val="single" w:sz="4" w:space="0" w:color="auto"/>
            </w:tcBorders>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N3b</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10</w:t>
            </w:r>
          </w:p>
        </w:tc>
      </w:tr>
      <w:tr w:rsidR="00420387" w:rsidRPr="00420387" w:rsidTr="00420387">
        <w:trPr>
          <w:jc w:val="center"/>
        </w:trPr>
        <w:tc>
          <w:tcPr>
            <w:tcW w:w="3749" w:type="pct"/>
            <w:shd w:val="clear" w:color="auto" w:fill="C6D9F1"/>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b/>
                <w:bCs/>
                <w:sz w:val="20"/>
                <w:szCs w:val="20"/>
              </w:rPr>
              <w:t>Pathological grade (WHO)</w:t>
            </w:r>
          </w:p>
        </w:tc>
        <w:tc>
          <w:tcPr>
            <w:tcW w:w="1251" w:type="pct"/>
            <w:gridSpan w:val="2"/>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II</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8</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40</w:t>
            </w:r>
          </w:p>
        </w:tc>
      </w:tr>
      <w:tr w:rsidR="00420387" w:rsidRPr="00420387" w:rsidTr="00420387">
        <w:trPr>
          <w:jc w:val="center"/>
        </w:trPr>
        <w:tc>
          <w:tcPr>
            <w:tcW w:w="3749" w:type="pct"/>
            <w:tcBorders>
              <w:bottom w:val="single" w:sz="4" w:space="0" w:color="auto"/>
            </w:tcBorders>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III</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12</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60</w:t>
            </w:r>
          </w:p>
        </w:tc>
      </w:tr>
      <w:tr w:rsidR="00420387" w:rsidRPr="00420387" w:rsidTr="00420387">
        <w:trPr>
          <w:jc w:val="center"/>
        </w:trPr>
        <w:tc>
          <w:tcPr>
            <w:tcW w:w="3749" w:type="pct"/>
            <w:shd w:val="clear" w:color="auto" w:fill="C6D9F1"/>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b/>
                <w:bCs/>
                <w:sz w:val="20"/>
                <w:szCs w:val="20"/>
              </w:rPr>
              <w:t>Disease stage</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II</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6</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30</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III</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9</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45</w:t>
            </w:r>
          </w:p>
        </w:tc>
      </w:tr>
      <w:tr w:rsidR="00420387" w:rsidRPr="00420387" w:rsidTr="00420387">
        <w:trPr>
          <w:jc w:val="center"/>
        </w:trPr>
        <w:tc>
          <w:tcPr>
            <w:tcW w:w="3749" w:type="pct"/>
            <w:shd w:val="clear" w:color="auto" w:fill="auto"/>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IV</w:t>
            </w:r>
          </w:p>
        </w:tc>
        <w:tc>
          <w:tcPr>
            <w:tcW w:w="667"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5</w:t>
            </w:r>
          </w:p>
        </w:tc>
        <w:tc>
          <w:tcPr>
            <w:tcW w:w="58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25</w:t>
            </w:r>
          </w:p>
        </w:tc>
      </w:tr>
    </w:tbl>
    <w:p w:rsidR="00420387" w:rsidRPr="00420387" w:rsidRDefault="00420387" w:rsidP="00420387">
      <w:pPr>
        <w:snapToGrid w:val="0"/>
        <w:spacing w:after="0" w:line="240" w:lineRule="auto"/>
        <w:jc w:val="both"/>
        <w:rPr>
          <w:rFonts w:ascii="Times New Roman" w:hAnsi="Times New Roman" w:cs="Times New Roman"/>
          <w:sz w:val="20"/>
          <w:szCs w:val="20"/>
          <w:lang w:eastAsia="zh-CN"/>
        </w:rPr>
      </w:pPr>
      <w:r w:rsidRPr="00420387">
        <w:rPr>
          <w:rStyle w:val="A6"/>
          <w:rFonts w:ascii="Times New Roman" w:hAnsi="Times New Roman" w:cs="Times New Roman"/>
          <w:sz w:val="20"/>
          <w:szCs w:val="20"/>
        </w:rPr>
        <w:t>†</w:t>
      </w:r>
      <w:r w:rsidRPr="00420387">
        <w:rPr>
          <w:rFonts w:ascii="Times New Roman" w:hAnsi="Times New Roman" w:cs="Times New Roman"/>
          <w:sz w:val="20"/>
          <w:szCs w:val="20"/>
        </w:rPr>
        <w:t>: WHO= World Health Organization</w:t>
      </w:r>
    </w:p>
    <w:p w:rsidR="00420387" w:rsidRDefault="00420387" w:rsidP="008E1495">
      <w:pPr>
        <w:snapToGrid w:val="0"/>
        <w:spacing w:after="0" w:line="240" w:lineRule="auto"/>
        <w:jc w:val="both"/>
        <w:rPr>
          <w:rFonts w:ascii="Times New Roman" w:hAnsi="Times New Roman" w:cs="Times New Roman"/>
          <w:b/>
          <w:bCs/>
          <w:sz w:val="20"/>
          <w:szCs w:val="20"/>
          <w:lang w:eastAsia="zh-CN"/>
        </w:rPr>
      </w:pPr>
    </w:p>
    <w:p w:rsidR="00420387" w:rsidRPr="00420387" w:rsidRDefault="00420387" w:rsidP="008E1495">
      <w:pPr>
        <w:snapToGrid w:val="0"/>
        <w:spacing w:after="0" w:line="240" w:lineRule="auto"/>
        <w:jc w:val="both"/>
        <w:rPr>
          <w:rFonts w:ascii="Times New Roman" w:hAnsi="Times New Roman" w:cs="Times New Roman"/>
          <w:b/>
          <w:bCs/>
          <w:sz w:val="20"/>
          <w:szCs w:val="20"/>
          <w:lang w:eastAsia="zh-CN"/>
        </w:rPr>
      </w:pPr>
    </w:p>
    <w:p w:rsidR="001C2D6D" w:rsidRDefault="001C2D6D" w:rsidP="008E1495">
      <w:pPr>
        <w:snapToGrid w:val="0"/>
        <w:spacing w:after="0" w:line="240" w:lineRule="auto"/>
        <w:jc w:val="both"/>
        <w:rPr>
          <w:rFonts w:ascii="Times New Roman" w:hAnsi="Times New Roman" w:cs="Times New Roman"/>
          <w:b/>
          <w:bCs/>
          <w:sz w:val="20"/>
          <w:szCs w:val="20"/>
          <w:lang w:eastAsia="zh-CN"/>
        </w:rPr>
      </w:pPr>
    </w:p>
    <w:p w:rsidR="00420387" w:rsidRDefault="00420387" w:rsidP="008E1495">
      <w:pPr>
        <w:snapToGrid w:val="0"/>
        <w:spacing w:after="0" w:line="240" w:lineRule="auto"/>
        <w:jc w:val="both"/>
        <w:rPr>
          <w:rFonts w:ascii="Times New Roman" w:hAnsi="Times New Roman" w:cs="Times New Roman"/>
          <w:b/>
          <w:bCs/>
          <w:sz w:val="20"/>
          <w:szCs w:val="20"/>
          <w:lang w:eastAsia="zh-CN"/>
        </w:rPr>
      </w:pPr>
    </w:p>
    <w:p w:rsidR="001C2D6D" w:rsidRPr="00420387" w:rsidRDefault="001C2D6D" w:rsidP="008E1495">
      <w:pPr>
        <w:snapToGrid w:val="0"/>
        <w:spacing w:after="0" w:line="240" w:lineRule="auto"/>
        <w:jc w:val="both"/>
        <w:rPr>
          <w:rFonts w:ascii="Times New Roman" w:eastAsia="Times New Roman" w:hAnsi="Times New Roman" w:cs="Times New Roman"/>
          <w:b/>
          <w:bCs/>
          <w:sz w:val="20"/>
          <w:szCs w:val="20"/>
          <w:u w:val="single"/>
        </w:rPr>
      </w:pPr>
    </w:p>
    <w:p w:rsidR="00B04213" w:rsidRPr="00420387" w:rsidRDefault="00575CE2" w:rsidP="008E1495">
      <w:pPr>
        <w:autoSpaceDE w:val="0"/>
        <w:autoSpaceDN w:val="0"/>
        <w:adjustRightInd w:val="0"/>
        <w:snapToGrid w:val="0"/>
        <w:spacing w:after="0" w:line="240" w:lineRule="auto"/>
        <w:jc w:val="center"/>
        <w:rPr>
          <w:rFonts w:ascii="Times New Roman" w:hAnsi="Times New Roman" w:cs="Times New Roman"/>
          <w:sz w:val="20"/>
          <w:szCs w:val="20"/>
          <w:lang w:eastAsia="zh-CN" w:bidi="ar-EG"/>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85.95pt;margin-top:4.3pt;width:18.8pt;height:19.9pt;z-index:251657216;mso-width-relative:margin;mso-height-relative:margin">
            <v:textbox>
              <w:txbxContent>
                <w:p w:rsidR="00B04213" w:rsidRDefault="00B04213" w:rsidP="00B04213">
                  <w:r>
                    <w:t>a</w:t>
                  </w:r>
                </w:p>
              </w:txbxContent>
            </v:textbox>
          </v:shape>
        </w:pict>
      </w:r>
      <w:r w:rsidR="00B04213" w:rsidRPr="00420387">
        <w:rPr>
          <w:rFonts w:ascii="Times New Roman" w:hAnsi="Times New Roman" w:cs="Times New Roman"/>
          <w:noProof/>
          <w:sz w:val="20"/>
          <w:szCs w:val="20"/>
          <w:lang w:eastAsia="zh-CN"/>
        </w:rPr>
        <w:drawing>
          <wp:inline distT="0" distB="0" distL="0" distR="0">
            <wp:extent cx="3780100" cy="336340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781425" cy="3364581"/>
                    </a:xfrm>
                    <a:prstGeom prst="rect">
                      <a:avLst/>
                    </a:prstGeom>
                    <a:noFill/>
                    <a:ln w="9525">
                      <a:noFill/>
                      <a:miter lim="800000"/>
                      <a:headEnd/>
                      <a:tailEnd/>
                    </a:ln>
                  </pic:spPr>
                </pic:pic>
              </a:graphicData>
            </a:graphic>
          </wp:inline>
        </w:drawing>
      </w:r>
    </w:p>
    <w:p w:rsidR="001C2D6D" w:rsidRPr="00420387" w:rsidRDefault="001C2D6D" w:rsidP="008E1495">
      <w:pPr>
        <w:autoSpaceDE w:val="0"/>
        <w:autoSpaceDN w:val="0"/>
        <w:adjustRightInd w:val="0"/>
        <w:snapToGrid w:val="0"/>
        <w:spacing w:after="0" w:line="240" w:lineRule="auto"/>
        <w:jc w:val="center"/>
        <w:rPr>
          <w:rFonts w:ascii="Times New Roman" w:hAnsi="Times New Roman" w:cs="Times New Roman"/>
          <w:sz w:val="20"/>
          <w:szCs w:val="20"/>
          <w:lang w:eastAsia="zh-CN" w:bidi="ar-EG"/>
        </w:rPr>
      </w:pPr>
    </w:p>
    <w:p w:rsidR="00B04213" w:rsidRPr="00420387" w:rsidRDefault="00575CE2" w:rsidP="008E1495">
      <w:pPr>
        <w:tabs>
          <w:tab w:val="left" w:pos="7470"/>
        </w:tabs>
        <w:autoSpaceDE w:val="0"/>
        <w:autoSpaceDN w:val="0"/>
        <w:adjustRightInd w:val="0"/>
        <w:snapToGrid w:val="0"/>
        <w:spacing w:after="0" w:line="240" w:lineRule="auto"/>
        <w:jc w:val="center"/>
        <w:rPr>
          <w:rFonts w:ascii="Times New Roman" w:hAnsi="Times New Roman" w:cs="Times New Roman"/>
          <w:sz w:val="20"/>
          <w:szCs w:val="20"/>
          <w:lang w:bidi="ar-EG"/>
        </w:rPr>
      </w:pPr>
      <w:r>
        <w:rPr>
          <w:rFonts w:ascii="Times New Roman" w:hAnsi="Times New Roman" w:cs="Times New Roman"/>
          <w:noProof/>
          <w:sz w:val="20"/>
          <w:szCs w:val="20"/>
        </w:rPr>
        <w:pict>
          <v:shape id="_x0000_s1029" type="#_x0000_t202" style="position:absolute;left:0;text-align:left;margin-left:85.95pt;margin-top:5.15pt;width:22.7pt;height:23.1pt;z-index:251658240;mso-width-relative:margin;mso-height-relative:margin">
            <v:textbox>
              <w:txbxContent>
                <w:p w:rsidR="00B04213" w:rsidRDefault="00B04213" w:rsidP="00B04213">
                  <w:r>
                    <w:t>b</w:t>
                  </w:r>
                </w:p>
              </w:txbxContent>
            </v:textbox>
          </v:shape>
        </w:pict>
      </w:r>
      <w:r w:rsidR="00B04213" w:rsidRPr="00420387">
        <w:rPr>
          <w:rFonts w:ascii="Times New Roman" w:hAnsi="Times New Roman" w:cs="Times New Roman"/>
          <w:noProof/>
          <w:sz w:val="20"/>
          <w:szCs w:val="20"/>
          <w:lang w:eastAsia="zh-CN"/>
        </w:rPr>
        <w:drawing>
          <wp:inline distT="0" distB="0" distL="0" distR="0">
            <wp:extent cx="3781425" cy="340995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81425" cy="3409950"/>
                    </a:xfrm>
                    <a:prstGeom prst="rect">
                      <a:avLst/>
                    </a:prstGeom>
                    <a:noFill/>
                    <a:ln w="9525">
                      <a:noFill/>
                      <a:miter lim="800000"/>
                      <a:headEnd/>
                      <a:tailEnd/>
                    </a:ln>
                  </pic:spPr>
                </pic:pic>
              </a:graphicData>
            </a:graphic>
          </wp:inline>
        </w:drawing>
      </w:r>
    </w:p>
    <w:p w:rsidR="00B04213" w:rsidRPr="00420387" w:rsidRDefault="00B04213" w:rsidP="001C2D6D">
      <w:pPr>
        <w:autoSpaceDE w:val="0"/>
        <w:autoSpaceDN w:val="0"/>
        <w:adjustRightInd w:val="0"/>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b/>
          <w:bCs/>
          <w:sz w:val="20"/>
          <w:szCs w:val="20"/>
        </w:rPr>
        <w:t>Figure 1</w:t>
      </w:r>
      <w:r w:rsidR="003C226A" w:rsidRPr="00420387">
        <w:rPr>
          <w:rFonts w:ascii="Times New Roman" w:hAnsi="Times New Roman" w:cs="Times New Roman"/>
          <w:b/>
          <w:bCs/>
          <w:sz w:val="20"/>
          <w:szCs w:val="20"/>
        </w:rPr>
        <w:t>:</w:t>
      </w:r>
      <w:r w:rsidRPr="00420387">
        <w:rPr>
          <w:rFonts w:ascii="Times New Roman" w:hAnsi="Times New Roman" w:cs="Times New Roman"/>
          <w:sz w:val="20"/>
          <w:szCs w:val="20"/>
        </w:rPr>
        <w:t xml:space="preserve"> Dose distribution in an axial view created by doublearc RA plan </w:t>
      </w:r>
      <w:r w:rsidRPr="00420387">
        <w:rPr>
          <w:rFonts w:ascii="Times New Roman" w:hAnsi="Times New Roman" w:cs="Times New Roman"/>
          <w:b/>
          <w:bCs/>
          <w:sz w:val="20"/>
          <w:szCs w:val="20"/>
        </w:rPr>
        <w:t>( a)</w:t>
      </w:r>
      <w:r w:rsidRPr="00420387">
        <w:rPr>
          <w:rFonts w:ascii="Times New Roman" w:hAnsi="Times New Roman" w:cs="Times New Roman"/>
          <w:sz w:val="20"/>
          <w:szCs w:val="20"/>
        </w:rPr>
        <w:t xml:space="preserve"> and</w:t>
      </w:r>
      <w:r w:rsidR="003C226A" w:rsidRPr="00420387">
        <w:rPr>
          <w:rFonts w:ascii="Times New Roman" w:hAnsi="Times New Roman" w:cs="Times New Roman"/>
          <w:sz w:val="20"/>
          <w:szCs w:val="20"/>
        </w:rPr>
        <w:t xml:space="preserve"> </w:t>
      </w:r>
      <w:r w:rsidRPr="00420387">
        <w:rPr>
          <w:rFonts w:ascii="Times New Roman" w:hAnsi="Times New Roman" w:cs="Times New Roman"/>
          <w:sz w:val="20"/>
          <w:szCs w:val="20"/>
        </w:rPr>
        <w:t xml:space="preserve">similar CT cut planned by IMRT </w:t>
      </w:r>
      <w:r w:rsidRPr="00420387">
        <w:rPr>
          <w:rFonts w:ascii="Times New Roman" w:hAnsi="Times New Roman" w:cs="Times New Roman"/>
          <w:b/>
          <w:bCs/>
          <w:sz w:val="20"/>
          <w:szCs w:val="20"/>
        </w:rPr>
        <w:t>(b)</w:t>
      </w:r>
    </w:p>
    <w:p w:rsidR="00B04213" w:rsidRDefault="00B04213" w:rsidP="008E1495">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ar-EG"/>
        </w:rPr>
      </w:pPr>
    </w:p>
    <w:p w:rsidR="00420387" w:rsidRDefault="00420387" w:rsidP="008E1495">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ar-EG"/>
        </w:rPr>
      </w:pPr>
    </w:p>
    <w:p w:rsidR="00420387" w:rsidRPr="00420387" w:rsidRDefault="00420387" w:rsidP="008E1495">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ar-EG"/>
        </w:rPr>
      </w:pPr>
    </w:p>
    <w:p w:rsidR="00B04213" w:rsidRPr="00420387" w:rsidRDefault="00B04213" w:rsidP="008E1495">
      <w:pPr>
        <w:autoSpaceDE w:val="0"/>
        <w:autoSpaceDN w:val="0"/>
        <w:adjustRightInd w:val="0"/>
        <w:snapToGrid w:val="0"/>
        <w:spacing w:after="0" w:line="240" w:lineRule="auto"/>
        <w:jc w:val="center"/>
        <w:rPr>
          <w:rFonts w:ascii="Times New Roman" w:hAnsi="Times New Roman" w:cs="Times New Roman"/>
          <w:sz w:val="20"/>
          <w:szCs w:val="20"/>
          <w:lang w:bidi="ar-EG"/>
        </w:rPr>
      </w:pPr>
      <w:r w:rsidRPr="00420387">
        <w:rPr>
          <w:rFonts w:ascii="Times New Roman" w:hAnsi="Times New Roman" w:cs="Times New Roman"/>
          <w:noProof/>
          <w:sz w:val="20"/>
          <w:szCs w:val="20"/>
          <w:lang w:eastAsia="zh-CN"/>
        </w:rPr>
        <w:lastRenderedPageBreak/>
        <w:drawing>
          <wp:inline distT="0" distB="0" distL="0" distR="0">
            <wp:extent cx="4552950" cy="30003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552950" cy="3000375"/>
                    </a:xfrm>
                    <a:prstGeom prst="rect">
                      <a:avLst/>
                    </a:prstGeom>
                    <a:noFill/>
                    <a:ln w="9525">
                      <a:noFill/>
                      <a:miter lim="800000"/>
                      <a:headEnd/>
                      <a:tailEnd/>
                    </a:ln>
                  </pic:spPr>
                </pic:pic>
              </a:graphicData>
            </a:graphic>
          </wp:inline>
        </w:drawing>
      </w:r>
    </w:p>
    <w:p w:rsidR="00B04213" w:rsidRPr="00420387" w:rsidRDefault="00B04213" w:rsidP="001C2D6D">
      <w:pPr>
        <w:autoSpaceDE w:val="0"/>
        <w:autoSpaceDN w:val="0"/>
        <w:adjustRightInd w:val="0"/>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b/>
          <w:bCs/>
          <w:sz w:val="20"/>
          <w:szCs w:val="20"/>
        </w:rPr>
        <w:t>Figure 2</w:t>
      </w:r>
      <w:r w:rsidR="003C226A" w:rsidRPr="00420387">
        <w:rPr>
          <w:rFonts w:ascii="Times New Roman" w:hAnsi="Times New Roman" w:cs="Times New Roman"/>
          <w:sz w:val="20"/>
          <w:szCs w:val="20"/>
        </w:rPr>
        <w:t>:</w:t>
      </w:r>
      <w:r w:rsidRPr="00420387">
        <w:rPr>
          <w:rFonts w:ascii="Times New Roman" w:hAnsi="Times New Roman" w:cs="Times New Roman"/>
          <w:sz w:val="20"/>
          <w:szCs w:val="20"/>
        </w:rPr>
        <w:t xml:space="preserve"> A Comparative DVHs for PTV coverage and doses to OAR for</w:t>
      </w:r>
      <w:r w:rsidR="003C226A" w:rsidRPr="00420387">
        <w:rPr>
          <w:rFonts w:ascii="Times New Roman" w:hAnsi="Times New Roman" w:cs="Times New Roman"/>
          <w:sz w:val="20"/>
          <w:szCs w:val="20"/>
        </w:rPr>
        <w:t xml:space="preserve"> </w:t>
      </w:r>
      <w:r w:rsidRPr="00420387">
        <w:rPr>
          <w:rFonts w:ascii="Times New Roman" w:hAnsi="Times New Roman" w:cs="Times New Roman"/>
          <w:sz w:val="20"/>
          <w:szCs w:val="20"/>
        </w:rPr>
        <w:t xml:space="preserve">IMRT (squares) and double arc RA (triangles). </w:t>
      </w:r>
    </w:p>
    <w:p w:rsidR="00B04213" w:rsidRDefault="00B04213" w:rsidP="008E1495">
      <w:pPr>
        <w:tabs>
          <w:tab w:val="left" w:pos="6847"/>
        </w:tabs>
        <w:snapToGrid w:val="0"/>
        <w:spacing w:after="0" w:line="240" w:lineRule="auto"/>
        <w:jc w:val="both"/>
        <w:rPr>
          <w:rFonts w:ascii="Times New Roman" w:hAnsi="Times New Roman" w:cs="Times New Roman"/>
          <w:b/>
          <w:bCs/>
          <w:sz w:val="20"/>
          <w:szCs w:val="20"/>
          <w:lang w:eastAsia="zh-CN"/>
        </w:rPr>
      </w:pPr>
    </w:p>
    <w:p w:rsidR="00420387" w:rsidRPr="00420387" w:rsidRDefault="00420387" w:rsidP="00420387">
      <w:pPr>
        <w:snapToGrid w:val="0"/>
        <w:spacing w:after="0" w:line="240" w:lineRule="auto"/>
        <w:jc w:val="both"/>
        <w:rPr>
          <w:rFonts w:ascii="Times New Roman" w:hAnsi="Times New Roman" w:cs="Times New Roman"/>
          <w:b/>
          <w:bCs/>
          <w:sz w:val="20"/>
          <w:szCs w:val="20"/>
          <w:lang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319"/>
        <w:gridCol w:w="4915"/>
        <w:gridCol w:w="2240"/>
      </w:tblGrid>
      <w:tr w:rsidR="00420387" w:rsidRPr="00420387" w:rsidTr="00A913A7">
        <w:trPr>
          <w:jc w:val="center"/>
        </w:trPr>
        <w:tc>
          <w:tcPr>
            <w:tcW w:w="5000" w:type="pct"/>
            <w:gridSpan w:val="3"/>
            <w:tcBorders>
              <w:bottom w:val="single" w:sz="4" w:space="0" w:color="000000"/>
            </w:tcBorders>
            <w:shd w:val="clear" w:color="auto" w:fill="C6D9F1"/>
            <w:vAlign w:val="center"/>
          </w:tcPr>
          <w:p w:rsidR="00420387" w:rsidRPr="00420387" w:rsidRDefault="00420387" w:rsidP="00A913A7">
            <w:pPr>
              <w:snapToGrid w:val="0"/>
              <w:spacing w:after="0" w:line="240" w:lineRule="auto"/>
              <w:jc w:val="center"/>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Table 2: Dose constraints for radiotherapy planning</w:t>
            </w:r>
          </w:p>
        </w:tc>
      </w:tr>
      <w:tr w:rsidR="00420387" w:rsidRPr="00420387" w:rsidTr="00A913A7">
        <w:trPr>
          <w:jc w:val="center"/>
        </w:trPr>
        <w:tc>
          <w:tcPr>
            <w:tcW w:w="1224" w:type="pct"/>
            <w:tcBorders>
              <w:bottom w:val="single" w:sz="4" w:space="0" w:color="000000"/>
            </w:tcBorders>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sz w:val="20"/>
                <w:szCs w:val="20"/>
              </w:rPr>
              <w:t>Structure</w:t>
            </w:r>
          </w:p>
        </w:tc>
        <w:tc>
          <w:tcPr>
            <w:tcW w:w="259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sz w:val="20"/>
                <w:szCs w:val="20"/>
              </w:rPr>
              <w:t>Constraint</w:t>
            </w:r>
          </w:p>
        </w:tc>
        <w:tc>
          <w:tcPr>
            <w:tcW w:w="1182"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Priority</w:t>
            </w:r>
          </w:p>
        </w:tc>
      </w:tr>
      <w:tr w:rsidR="00420387" w:rsidRPr="00420387" w:rsidTr="00A913A7">
        <w:trPr>
          <w:jc w:val="center"/>
        </w:trPr>
        <w:tc>
          <w:tcPr>
            <w:tcW w:w="1224"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Spinal cord</w:t>
            </w:r>
          </w:p>
        </w:tc>
        <w:tc>
          <w:tcPr>
            <w:tcW w:w="259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Max. &lt; 45 Gy</w:t>
            </w:r>
          </w:p>
        </w:tc>
        <w:tc>
          <w:tcPr>
            <w:tcW w:w="1182"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High</w:t>
            </w:r>
          </w:p>
        </w:tc>
      </w:tr>
      <w:tr w:rsidR="00420387" w:rsidRPr="00420387" w:rsidTr="00A913A7">
        <w:trPr>
          <w:jc w:val="center"/>
        </w:trPr>
        <w:tc>
          <w:tcPr>
            <w:tcW w:w="1224"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Right kidney</w:t>
            </w:r>
          </w:p>
        </w:tc>
        <w:tc>
          <w:tcPr>
            <w:tcW w:w="2594"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lang w:eastAsia="zh-CN"/>
              </w:rPr>
            </w:pPr>
            <w:r w:rsidRPr="00420387">
              <w:rPr>
                <w:rFonts w:ascii="Times New Roman" w:eastAsia="Times New Roman" w:hAnsi="Times New Roman" w:cs="Times New Roman"/>
                <w:sz w:val="20"/>
                <w:szCs w:val="20"/>
              </w:rPr>
              <w:t>Mean&lt; 20Gy or V20 &lt;25 %</w:t>
            </w:r>
          </w:p>
        </w:tc>
        <w:tc>
          <w:tcPr>
            <w:tcW w:w="1182"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Intermediate</w:t>
            </w:r>
          </w:p>
        </w:tc>
      </w:tr>
      <w:tr w:rsidR="00420387" w:rsidRPr="00420387" w:rsidTr="00A913A7">
        <w:trPr>
          <w:jc w:val="center"/>
        </w:trPr>
        <w:tc>
          <w:tcPr>
            <w:tcW w:w="1224"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Left kidney</w:t>
            </w:r>
          </w:p>
        </w:tc>
        <w:tc>
          <w:tcPr>
            <w:tcW w:w="2594"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lang w:eastAsia="zh-CN"/>
              </w:rPr>
            </w:pPr>
            <w:r w:rsidRPr="00420387">
              <w:rPr>
                <w:rFonts w:ascii="Times New Roman" w:eastAsia="Times New Roman" w:hAnsi="Times New Roman" w:cs="Times New Roman"/>
                <w:sz w:val="20"/>
                <w:szCs w:val="20"/>
              </w:rPr>
              <w:t>Mean&lt; 20Gy or V20 &lt;25 %</w:t>
            </w:r>
          </w:p>
        </w:tc>
        <w:tc>
          <w:tcPr>
            <w:tcW w:w="1182"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i/>
                <w:iCs/>
                <w:sz w:val="20"/>
                <w:szCs w:val="20"/>
              </w:rPr>
            </w:pPr>
            <w:r w:rsidRPr="00420387">
              <w:rPr>
                <w:rFonts w:ascii="Times New Roman" w:eastAsia="Times New Roman" w:hAnsi="Times New Roman" w:cs="Times New Roman"/>
                <w:sz w:val="20"/>
                <w:szCs w:val="20"/>
              </w:rPr>
              <w:t>Intermediate</w:t>
            </w:r>
          </w:p>
        </w:tc>
      </w:tr>
      <w:tr w:rsidR="00420387" w:rsidRPr="00420387" w:rsidTr="00A913A7">
        <w:trPr>
          <w:jc w:val="center"/>
        </w:trPr>
        <w:tc>
          <w:tcPr>
            <w:tcW w:w="1224"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Liver</w:t>
            </w:r>
          </w:p>
        </w:tc>
        <w:tc>
          <w:tcPr>
            <w:tcW w:w="2594"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lang w:eastAsia="zh-CN"/>
              </w:rPr>
            </w:pPr>
            <w:r w:rsidRPr="00420387">
              <w:rPr>
                <w:rFonts w:ascii="Times New Roman" w:eastAsia="Times New Roman" w:hAnsi="Times New Roman" w:cs="Times New Roman"/>
                <w:sz w:val="20"/>
                <w:szCs w:val="20"/>
              </w:rPr>
              <w:t xml:space="preserve">mean </w:t>
            </w:r>
            <w:r w:rsidRPr="00420387">
              <w:rPr>
                <w:rFonts w:ascii="Times New Roman" w:eastAsia="Calibri" w:hAnsi="Times New Roman" w:cs="Times New Roman"/>
                <w:sz w:val="20"/>
                <w:szCs w:val="20"/>
              </w:rPr>
              <w:t>&lt; 30 Gy</w:t>
            </w:r>
            <w:r w:rsidRPr="00420387">
              <w:rPr>
                <w:rFonts w:ascii="Times New Roman" w:eastAsia="Times New Roman" w:hAnsi="Times New Roman" w:cs="Times New Roman"/>
                <w:sz w:val="20"/>
                <w:szCs w:val="20"/>
              </w:rPr>
              <w:t xml:space="preserve"> or </w:t>
            </w:r>
            <w:r w:rsidRPr="00420387">
              <w:rPr>
                <w:rFonts w:ascii="Times New Roman" w:eastAsia="Calibri" w:hAnsi="Times New Roman" w:cs="Times New Roman"/>
                <w:sz w:val="20"/>
                <w:szCs w:val="20"/>
              </w:rPr>
              <w:t>V30 &lt; 60%</w:t>
            </w:r>
          </w:p>
        </w:tc>
        <w:tc>
          <w:tcPr>
            <w:tcW w:w="1182"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i/>
                <w:iCs/>
                <w:sz w:val="20"/>
                <w:szCs w:val="20"/>
              </w:rPr>
            </w:pPr>
            <w:r w:rsidRPr="00420387">
              <w:rPr>
                <w:rFonts w:ascii="Times New Roman" w:eastAsia="Times New Roman" w:hAnsi="Times New Roman" w:cs="Times New Roman"/>
                <w:sz w:val="20"/>
                <w:szCs w:val="20"/>
              </w:rPr>
              <w:t>Intermediate</w:t>
            </w:r>
          </w:p>
        </w:tc>
      </w:tr>
      <w:tr w:rsidR="00420387" w:rsidRPr="00420387" w:rsidTr="00A913A7">
        <w:trPr>
          <w:jc w:val="center"/>
        </w:trPr>
        <w:tc>
          <w:tcPr>
            <w:tcW w:w="1224"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Heart</w:t>
            </w:r>
          </w:p>
        </w:tc>
        <w:tc>
          <w:tcPr>
            <w:tcW w:w="259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Mean &lt; 26 Gy or V40 &lt; 30%</w:t>
            </w:r>
          </w:p>
        </w:tc>
        <w:tc>
          <w:tcPr>
            <w:tcW w:w="1182"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i/>
                <w:iCs/>
                <w:sz w:val="20"/>
                <w:szCs w:val="20"/>
              </w:rPr>
            </w:pPr>
            <w:r w:rsidRPr="00420387">
              <w:rPr>
                <w:rFonts w:ascii="Times New Roman" w:eastAsia="Times New Roman" w:hAnsi="Times New Roman" w:cs="Times New Roman"/>
                <w:sz w:val="20"/>
                <w:szCs w:val="20"/>
              </w:rPr>
              <w:t>Intermediate</w:t>
            </w:r>
          </w:p>
        </w:tc>
      </w:tr>
    </w:tbl>
    <w:p w:rsidR="00420387" w:rsidRPr="00420387" w:rsidRDefault="00420387" w:rsidP="00420387">
      <w:pPr>
        <w:snapToGrid w:val="0"/>
        <w:spacing w:after="0" w:line="240" w:lineRule="auto"/>
        <w:jc w:val="both"/>
        <w:rPr>
          <w:rFonts w:ascii="Times New Roman" w:hAnsi="Times New Roman" w:cs="Times New Roman"/>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216"/>
        <w:gridCol w:w="2495"/>
        <w:gridCol w:w="3079"/>
        <w:gridCol w:w="1684"/>
      </w:tblGrid>
      <w:tr w:rsidR="00420387" w:rsidRPr="00420387" w:rsidTr="00A913A7">
        <w:trPr>
          <w:jc w:val="center"/>
        </w:trPr>
        <w:tc>
          <w:tcPr>
            <w:tcW w:w="5000" w:type="pct"/>
            <w:gridSpan w:val="4"/>
            <w:shd w:val="clear" w:color="auto" w:fill="DBE5F1"/>
            <w:vAlign w:val="center"/>
          </w:tcPr>
          <w:p w:rsidR="00420387" w:rsidRPr="00420387" w:rsidRDefault="00420387" w:rsidP="00A913A7">
            <w:pPr>
              <w:snapToGrid w:val="0"/>
              <w:spacing w:after="0" w:line="240" w:lineRule="auto"/>
              <w:jc w:val="center"/>
              <w:rPr>
                <w:rFonts w:ascii="Times New Roman" w:hAnsi="Times New Roman" w:cs="Times New Roman"/>
                <w:b/>
                <w:bCs/>
                <w:i/>
                <w:iCs/>
                <w:sz w:val="20"/>
                <w:szCs w:val="20"/>
              </w:rPr>
            </w:pPr>
            <w:r w:rsidRPr="00420387">
              <w:rPr>
                <w:rFonts w:ascii="Times New Roman" w:hAnsi="Times New Roman" w:cs="Times New Roman"/>
                <w:b/>
                <w:bCs/>
                <w:sz w:val="20"/>
                <w:szCs w:val="20"/>
              </w:rPr>
              <w:t>Table 3 – Dosimetric outcomes for the PTV</w:t>
            </w:r>
          </w:p>
        </w:tc>
      </w:tr>
      <w:tr w:rsidR="00420387" w:rsidRPr="00420387" w:rsidTr="00A913A7">
        <w:trPr>
          <w:jc w:val="center"/>
        </w:trPr>
        <w:tc>
          <w:tcPr>
            <w:tcW w:w="1169" w:type="pct"/>
            <w:tcBorders>
              <w:bottom w:val="single" w:sz="4" w:space="0" w:color="000000"/>
            </w:tcBorders>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Parameter</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sz w:val="20"/>
                <w:szCs w:val="20"/>
              </w:rPr>
              <w:t>IMRT plan</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b/>
                <w:bCs/>
                <w:sz w:val="20"/>
                <w:szCs w:val="20"/>
              </w:rPr>
            </w:pPr>
            <w:r w:rsidRPr="00420387">
              <w:rPr>
                <w:rFonts w:ascii="Times New Roman" w:hAnsi="Times New Roman" w:cs="Times New Roman"/>
                <w:b/>
                <w:bCs/>
                <w:sz w:val="20"/>
                <w:szCs w:val="20"/>
              </w:rPr>
              <w:t>RapidArc plan</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b/>
                <w:bCs/>
                <w:color w:val="231F20"/>
                <w:sz w:val="20"/>
                <w:szCs w:val="20"/>
              </w:rPr>
            </w:pPr>
            <w:r w:rsidRPr="00420387">
              <w:rPr>
                <w:rFonts w:ascii="Times New Roman" w:hAnsi="Times New Roman" w:cs="Times New Roman"/>
                <w:b/>
                <w:bCs/>
                <w:i/>
                <w:iCs/>
                <w:sz w:val="20"/>
                <w:szCs w:val="20"/>
              </w:rPr>
              <w:t>P</w:t>
            </w:r>
            <w:r w:rsidRPr="00420387">
              <w:rPr>
                <w:rFonts w:ascii="Times New Roman" w:hAnsi="Times New Roman" w:cs="Times New Roman"/>
                <w:b/>
                <w:bCs/>
                <w:color w:val="231F20"/>
                <w:sz w:val="20"/>
                <w:szCs w:val="20"/>
              </w:rPr>
              <w:t>-value</w:t>
            </w:r>
          </w:p>
        </w:tc>
      </w:tr>
      <w:tr w:rsidR="00420387" w:rsidRPr="00420387" w:rsidTr="00A913A7">
        <w:trPr>
          <w:jc w:val="center"/>
        </w:trPr>
        <w:tc>
          <w:tcPr>
            <w:tcW w:w="1169" w:type="pct"/>
            <w:shd w:val="clear" w:color="auto" w:fill="DBE5F1"/>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V95%</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sz w:val="20"/>
                <w:szCs w:val="20"/>
              </w:rPr>
              <w:t xml:space="preserve">94.7 </w:t>
            </w:r>
            <w:r w:rsidRPr="00420387">
              <w:rPr>
                <w:rFonts w:ascii="Times New Roman" w:eastAsia="MTSY" w:hAnsi="Times New Roman" w:cs="Times New Roman"/>
                <w:sz w:val="20"/>
                <w:szCs w:val="20"/>
              </w:rPr>
              <w:t>± 4.5</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sz w:val="20"/>
                <w:szCs w:val="20"/>
              </w:rPr>
              <w:t xml:space="preserve">94.8 </w:t>
            </w:r>
            <w:r w:rsidRPr="00420387">
              <w:rPr>
                <w:rFonts w:ascii="Times New Roman" w:eastAsia="MTSY" w:hAnsi="Times New Roman" w:cs="Times New Roman"/>
                <w:sz w:val="20"/>
                <w:szCs w:val="20"/>
              </w:rPr>
              <w:t>± 4.75</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sz w:val="20"/>
                <w:szCs w:val="20"/>
              </w:rPr>
              <w:t>0.320</w:t>
            </w:r>
          </w:p>
        </w:tc>
      </w:tr>
      <w:tr w:rsidR="00420387" w:rsidRPr="00420387" w:rsidTr="00A913A7">
        <w:trPr>
          <w:jc w:val="center"/>
        </w:trPr>
        <w:tc>
          <w:tcPr>
            <w:tcW w:w="1169" w:type="pct"/>
            <w:shd w:val="clear" w:color="auto" w:fill="DBE5F1"/>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V107%</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sz w:val="20"/>
                <w:szCs w:val="20"/>
              </w:rPr>
              <w:t xml:space="preserve">1.31 </w:t>
            </w:r>
            <w:r w:rsidRPr="00420387">
              <w:rPr>
                <w:rFonts w:ascii="Times New Roman" w:eastAsia="MTSY" w:hAnsi="Times New Roman" w:cs="Times New Roman"/>
                <w:sz w:val="20"/>
                <w:szCs w:val="20"/>
              </w:rPr>
              <w:t>± 1.63</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sz w:val="20"/>
                <w:szCs w:val="20"/>
              </w:rPr>
              <w:t xml:space="preserve">1.08 </w:t>
            </w:r>
            <w:r w:rsidRPr="00420387">
              <w:rPr>
                <w:rFonts w:ascii="Times New Roman" w:eastAsia="MTSY" w:hAnsi="Times New Roman" w:cs="Times New Roman"/>
                <w:sz w:val="20"/>
                <w:szCs w:val="20"/>
              </w:rPr>
              <w:t>± 0.11</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sz w:val="20"/>
                <w:szCs w:val="20"/>
              </w:rPr>
            </w:pPr>
            <w:r w:rsidRPr="00420387">
              <w:rPr>
                <w:rFonts w:ascii="Times New Roman" w:hAnsi="Times New Roman" w:cs="Times New Roman"/>
                <w:sz w:val="20"/>
                <w:szCs w:val="20"/>
              </w:rPr>
              <w:t>0.326</w:t>
            </w:r>
          </w:p>
        </w:tc>
      </w:tr>
      <w:tr w:rsidR="00420387" w:rsidRPr="00420387" w:rsidTr="00A913A7">
        <w:trPr>
          <w:jc w:val="center"/>
        </w:trPr>
        <w:tc>
          <w:tcPr>
            <w:tcW w:w="1169" w:type="pct"/>
            <w:shd w:val="clear" w:color="auto" w:fill="DBE5F1"/>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Dmin (Gy)</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43.98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0.39</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43.54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1.21</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0.104</w:t>
            </w:r>
          </w:p>
        </w:tc>
      </w:tr>
      <w:tr w:rsidR="00420387" w:rsidRPr="00420387" w:rsidTr="00A913A7">
        <w:trPr>
          <w:jc w:val="center"/>
        </w:trPr>
        <w:tc>
          <w:tcPr>
            <w:tcW w:w="1169" w:type="pct"/>
            <w:shd w:val="clear" w:color="auto" w:fill="DBE5F1"/>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CI95%</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0.93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0.01</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0.94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0.01</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0.040</w:t>
            </w:r>
          </w:p>
        </w:tc>
      </w:tr>
      <w:tr w:rsidR="00420387" w:rsidRPr="00420387" w:rsidTr="00A913A7">
        <w:trPr>
          <w:jc w:val="center"/>
        </w:trPr>
        <w:tc>
          <w:tcPr>
            <w:tcW w:w="1169" w:type="pct"/>
            <w:shd w:val="clear" w:color="auto" w:fill="DBE5F1"/>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HI</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0.153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0.01</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0.142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0.01</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0.040</w:t>
            </w:r>
          </w:p>
        </w:tc>
      </w:tr>
      <w:tr w:rsidR="00420387" w:rsidRPr="00420387" w:rsidTr="00A913A7">
        <w:trPr>
          <w:jc w:val="center"/>
        </w:trPr>
        <w:tc>
          <w:tcPr>
            <w:tcW w:w="1169" w:type="pct"/>
            <w:shd w:val="clear" w:color="auto" w:fill="DBE5F1"/>
            <w:vAlign w:val="center"/>
          </w:tcPr>
          <w:p w:rsidR="00420387" w:rsidRPr="00420387" w:rsidRDefault="00420387" w:rsidP="00A913A7">
            <w:pPr>
              <w:snapToGrid w:val="0"/>
              <w:spacing w:after="0" w:line="240" w:lineRule="auto"/>
              <w:jc w:val="both"/>
              <w:rPr>
                <w:rFonts w:ascii="Times New Roman" w:hAnsi="Times New Roman" w:cs="Times New Roman"/>
                <w:b/>
                <w:bCs/>
                <w:i/>
                <w:iCs/>
                <w:sz w:val="20"/>
                <w:szCs w:val="20"/>
              </w:rPr>
            </w:pPr>
            <w:r w:rsidRPr="00420387">
              <w:rPr>
                <w:rFonts w:ascii="Times New Roman" w:hAnsi="Times New Roman" w:cs="Times New Roman"/>
                <w:b/>
                <w:bCs/>
                <w:i/>
                <w:iCs/>
                <w:sz w:val="20"/>
                <w:szCs w:val="20"/>
              </w:rPr>
              <w:t>MU</w:t>
            </w:r>
          </w:p>
        </w:tc>
        <w:tc>
          <w:tcPr>
            <w:tcW w:w="1317"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 xml:space="preserve">363 </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44.6</w:t>
            </w:r>
          </w:p>
        </w:tc>
        <w:tc>
          <w:tcPr>
            <w:tcW w:w="1625"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343</w:t>
            </w:r>
            <w:r w:rsidRPr="00420387">
              <w:rPr>
                <w:rFonts w:ascii="Times New Roman" w:eastAsia="MTSY" w:hAnsi="Times New Roman" w:cs="Times New Roman"/>
                <w:sz w:val="20"/>
                <w:szCs w:val="20"/>
              </w:rPr>
              <w:t xml:space="preserve">± </w:t>
            </w:r>
            <w:r w:rsidRPr="00420387">
              <w:rPr>
                <w:rFonts w:ascii="Times New Roman" w:hAnsi="Times New Roman" w:cs="Times New Roman"/>
                <w:sz w:val="20"/>
                <w:szCs w:val="20"/>
              </w:rPr>
              <w:t>94.4</w:t>
            </w:r>
          </w:p>
        </w:tc>
        <w:tc>
          <w:tcPr>
            <w:tcW w:w="889" w:type="pct"/>
            <w:vAlign w:val="center"/>
          </w:tcPr>
          <w:p w:rsidR="00420387" w:rsidRPr="00420387" w:rsidRDefault="00420387" w:rsidP="00A913A7">
            <w:pPr>
              <w:snapToGrid w:val="0"/>
              <w:spacing w:after="0" w:line="240" w:lineRule="auto"/>
              <w:jc w:val="both"/>
              <w:rPr>
                <w:rFonts w:ascii="Times New Roman" w:hAnsi="Times New Roman" w:cs="Times New Roman"/>
                <w:i/>
                <w:iCs/>
                <w:sz w:val="20"/>
                <w:szCs w:val="20"/>
              </w:rPr>
            </w:pPr>
            <w:r w:rsidRPr="00420387">
              <w:rPr>
                <w:rFonts w:ascii="Times New Roman" w:hAnsi="Times New Roman" w:cs="Times New Roman"/>
                <w:sz w:val="20"/>
                <w:szCs w:val="20"/>
              </w:rPr>
              <w:t>0.071</w:t>
            </w:r>
          </w:p>
        </w:tc>
      </w:tr>
    </w:tbl>
    <w:p w:rsidR="00420387" w:rsidRPr="00420387" w:rsidRDefault="00420387" w:rsidP="00420387">
      <w:pPr>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916"/>
        <w:gridCol w:w="2179"/>
        <w:gridCol w:w="1849"/>
        <w:gridCol w:w="2281"/>
        <w:gridCol w:w="1249"/>
      </w:tblGrid>
      <w:tr w:rsidR="00420387" w:rsidRPr="00420387" w:rsidTr="00A913A7">
        <w:trPr>
          <w:jc w:val="center"/>
        </w:trPr>
        <w:tc>
          <w:tcPr>
            <w:tcW w:w="5000" w:type="pct"/>
            <w:gridSpan w:val="5"/>
            <w:shd w:val="clear" w:color="auto" w:fill="DBE5F1"/>
            <w:vAlign w:val="center"/>
          </w:tcPr>
          <w:p w:rsidR="00420387" w:rsidRPr="00420387" w:rsidRDefault="00420387" w:rsidP="00A913A7">
            <w:pPr>
              <w:snapToGrid w:val="0"/>
              <w:spacing w:after="0" w:line="240" w:lineRule="auto"/>
              <w:jc w:val="center"/>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sz w:val="20"/>
                <w:szCs w:val="20"/>
              </w:rPr>
              <w:t>Table 4 – Dosimetric outcomes for the organs at risk</w:t>
            </w:r>
          </w:p>
        </w:tc>
      </w:tr>
      <w:tr w:rsidR="00420387" w:rsidRPr="00420387" w:rsidTr="00A913A7">
        <w:trPr>
          <w:jc w:val="center"/>
        </w:trPr>
        <w:tc>
          <w:tcPr>
            <w:tcW w:w="1011" w:type="pct"/>
            <w:tcBorders>
              <w:bottom w:val="single" w:sz="4" w:space="0" w:color="000000"/>
            </w:tcBorders>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Organ</w:t>
            </w:r>
          </w:p>
        </w:tc>
        <w:tc>
          <w:tcPr>
            <w:tcW w:w="1150"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Parameter</w:t>
            </w:r>
          </w:p>
        </w:tc>
        <w:tc>
          <w:tcPr>
            <w:tcW w:w="976"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IMRT plan</w:t>
            </w:r>
          </w:p>
        </w:tc>
        <w:tc>
          <w:tcPr>
            <w:tcW w:w="120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RapidArc plan</w:t>
            </w:r>
          </w:p>
        </w:tc>
        <w:tc>
          <w:tcPr>
            <w:tcW w:w="659"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color w:val="231F20"/>
                <w:sz w:val="20"/>
                <w:szCs w:val="20"/>
              </w:rPr>
            </w:pPr>
            <w:r w:rsidRPr="00420387">
              <w:rPr>
                <w:rFonts w:ascii="Times New Roman" w:eastAsia="Times New Roman" w:hAnsi="Times New Roman" w:cs="Times New Roman"/>
                <w:b/>
                <w:bCs/>
                <w:sz w:val="20"/>
                <w:szCs w:val="20"/>
              </w:rPr>
              <w:t>P</w:t>
            </w:r>
            <w:r w:rsidRPr="00420387">
              <w:rPr>
                <w:rFonts w:ascii="Times New Roman" w:eastAsia="Times New Roman" w:hAnsi="Times New Roman" w:cs="Times New Roman"/>
                <w:b/>
                <w:bCs/>
                <w:color w:val="231F20"/>
                <w:sz w:val="20"/>
                <w:szCs w:val="20"/>
              </w:rPr>
              <w:t>-value</w:t>
            </w:r>
          </w:p>
        </w:tc>
      </w:tr>
      <w:tr w:rsidR="00420387" w:rsidRPr="00420387" w:rsidTr="00A913A7">
        <w:trPr>
          <w:jc w:val="center"/>
        </w:trPr>
        <w:tc>
          <w:tcPr>
            <w:tcW w:w="1011"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Spinal cord</w:t>
            </w:r>
          </w:p>
        </w:tc>
        <w:tc>
          <w:tcPr>
            <w:tcW w:w="1150"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Max.dose (Gy)</w:t>
            </w:r>
          </w:p>
        </w:tc>
        <w:tc>
          <w:tcPr>
            <w:tcW w:w="976"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MTSY" w:hAnsi="Times New Roman" w:cs="Times New Roman"/>
                <w:sz w:val="20"/>
                <w:szCs w:val="20"/>
              </w:rPr>
              <w:t>37.87 ± 16.9</w:t>
            </w:r>
          </w:p>
        </w:tc>
        <w:tc>
          <w:tcPr>
            <w:tcW w:w="120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MTSY" w:hAnsi="Times New Roman" w:cs="Times New Roman"/>
                <w:sz w:val="20"/>
                <w:szCs w:val="20"/>
              </w:rPr>
              <w:t>36.42 ± 18.1</w:t>
            </w:r>
          </w:p>
        </w:tc>
        <w:tc>
          <w:tcPr>
            <w:tcW w:w="659"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0.340</w:t>
            </w:r>
          </w:p>
        </w:tc>
      </w:tr>
      <w:tr w:rsidR="00420387" w:rsidRPr="00420387" w:rsidTr="00A913A7">
        <w:trPr>
          <w:jc w:val="center"/>
        </w:trPr>
        <w:tc>
          <w:tcPr>
            <w:tcW w:w="1011"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Right kidney</w:t>
            </w:r>
          </w:p>
        </w:tc>
        <w:tc>
          <w:tcPr>
            <w:tcW w:w="1150"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V20 (%)</w:t>
            </w:r>
          </w:p>
        </w:tc>
        <w:tc>
          <w:tcPr>
            <w:tcW w:w="976"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MTSY" w:hAnsi="Times New Roman" w:cs="Times New Roman"/>
                <w:sz w:val="20"/>
                <w:szCs w:val="20"/>
              </w:rPr>
              <w:t>22.2 ± 11.6</w:t>
            </w:r>
          </w:p>
        </w:tc>
        <w:tc>
          <w:tcPr>
            <w:tcW w:w="120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 xml:space="preserve">24.3 </w:t>
            </w:r>
            <w:r w:rsidRPr="00420387">
              <w:rPr>
                <w:rFonts w:ascii="Times New Roman" w:eastAsia="MTSY" w:hAnsi="Times New Roman" w:cs="Times New Roman"/>
                <w:sz w:val="20"/>
                <w:szCs w:val="20"/>
              </w:rPr>
              <w:t>± 8.8</w:t>
            </w:r>
          </w:p>
        </w:tc>
        <w:tc>
          <w:tcPr>
            <w:tcW w:w="659"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0.010</w:t>
            </w:r>
          </w:p>
        </w:tc>
      </w:tr>
      <w:tr w:rsidR="00420387" w:rsidRPr="00420387" w:rsidTr="00A913A7">
        <w:trPr>
          <w:jc w:val="center"/>
        </w:trPr>
        <w:tc>
          <w:tcPr>
            <w:tcW w:w="1011"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Left kidney</w:t>
            </w:r>
          </w:p>
        </w:tc>
        <w:tc>
          <w:tcPr>
            <w:tcW w:w="1150"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V20 (%)</w:t>
            </w:r>
          </w:p>
        </w:tc>
        <w:tc>
          <w:tcPr>
            <w:tcW w:w="976"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MTSY" w:hAnsi="Times New Roman" w:cs="Times New Roman"/>
                <w:sz w:val="20"/>
                <w:szCs w:val="20"/>
              </w:rPr>
              <w:t>24.4 ± 15.1</w:t>
            </w:r>
          </w:p>
        </w:tc>
        <w:tc>
          <w:tcPr>
            <w:tcW w:w="120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 xml:space="preserve">23.4 </w:t>
            </w:r>
            <w:r w:rsidRPr="00420387">
              <w:rPr>
                <w:rFonts w:ascii="Times New Roman" w:eastAsia="MTSY" w:hAnsi="Times New Roman" w:cs="Times New Roman"/>
                <w:sz w:val="20"/>
                <w:szCs w:val="20"/>
              </w:rPr>
              <w:t>± 13.2</w:t>
            </w:r>
          </w:p>
        </w:tc>
        <w:tc>
          <w:tcPr>
            <w:tcW w:w="659"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0.010</w:t>
            </w:r>
          </w:p>
        </w:tc>
      </w:tr>
      <w:tr w:rsidR="00420387" w:rsidRPr="00420387" w:rsidTr="00A913A7">
        <w:trPr>
          <w:jc w:val="center"/>
        </w:trPr>
        <w:tc>
          <w:tcPr>
            <w:tcW w:w="1011"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Liver</w:t>
            </w:r>
          </w:p>
        </w:tc>
        <w:tc>
          <w:tcPr>
            <w:tcW w:w="1150"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V30 (%)</w:t>
            </w:r>
          </w:p>
        </w:tc>
        <w:tc>
          <w:tcPr>
            <w:tcW w:w="976"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24.3 ± 13.4</w:t>
            </w:r>
          </w:p>
        </w:tc>
        <w:tc>
          <w:tcPr>
            <w:tcW w:w="120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23.1 ± 9.1</w:t>
            </w:r>
          </w:p>
        </w:tc>
        <w:tc>
          <w:tcPr>
            <w:tcW w:w="659"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0.521</w:t>
            </w:r>
          </w:p>
        </w:tc>
      </w:tr>
      <w:tr w:rsidR="00420387" w:rsidRPr="00420387" w:rsidTr="00A913A7">
        <w:trPr>
          <w:jc w:val="center"/>
        </w:trPr>
        <w:tc>
          <w:tcPr>
            <w:tcW w:w="1011" w:type="pct"/>
            <w:shd w:val="clear" w:color="auto" w:fill="DBE5F1"/>
            <w:vAlign w:val="center"/>
          </w:tcPr>
          <w:p w:rsidR="00420387" w:rsidRPr="00420387" w:rsidRDefault="00420387" w:rsidP="00A913A7">
            <w:pPr>
              <w:snapToGrid w:val="0"/>
              <w:spacing w:after="0" w:line="240" w:lineRule="auto"/>
              <w:jc w:val="both"/>
              <w:rPr>
                <w:rFonts w:ascii="Times New Roman" w:eastAsia="Times New Roman" w:hAnsi="Times New Roman" w:cs="Times New Roman"/>
                <w:b/>
                <w:bCs/>
                <w:i/>
                <w:iCs/>
                <w:sz w:val="20"/>
                <w:szCs w:val="20"/>
              </w:rPr>
            </w:pPr>
            <w:r w:rsidRPr="00420387">
              <w:rPr>
                <w:rFonts w:ascii="Times New Roman" w:eastAsia="Times New Roman" w:hAnsi="Times New Roman" w:cs="Times New Roman"/>
                <w:b/>
                <w:bCs/>
                <w:i/>
                <w:iCs/>
                <w:sz w:val="20"/>
                <w:szCs w:val="20"/>
              </w:rPr>
              <w:t>Heart</w:t>
            </w:r>
          </w:p>
        </w:tc>
        <w:tc>
          <w:tcPr>
            <w:tcW w:w="1150"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V40 (%)</w:t>
            </w:r>
          </w:p>
        </w:tc>
        <w:tc>
          <w:tcPr>
            <w:tcW w:w="976"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14.4 ± 21.1</w:t>
            </w:r>
          </w:p>
        </w:tc>
        <w:tc>
          <w:tcPr>
            <w:tcW w:w="1204"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13.3 ± 15.9</w:t>
            </w:r>
          </w:p>
        </w:tc>
        <w:tc>
          <w:tcPr>
            <w:tcW w:w="659" w:type="pct"/>
            <w:vAlign w:val="center"/>
          </w:tcPr>
          <w:p w:rsidR="00420387" w:rsidRPr="00420387" w:rsidRDefault="00420387" w:rsidP="00A913A7">
            <w:pPr>
              <w:snapToGrid w:val="0"/>
              <w:spacing w:after="0" w:line="240" w:lineRule="auto"/>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0.245</w:t>
            </w:r>
          </w:p>
        </w:tc>
      </w:tr>
    </w:tbl>
    <w:p w:rsidR="00420387" w:rsidRPr="00420387" w:rsidRDefault="00420387" w:rsidP="00420387">
      <w:pPr>
        <w:snapToGrid w:val="0"/>
        <w:spacing w:after="0" w:line="240" w:lineRule="auto"/>
        <w:ind w:firstLine="425"/>
        <w:jc w:val="both"/>
        <w:rPr>
          <w:rFonts w:ascii="Times New Roman" w:eastAsia="Times New Roman" w:hAnsi="Times New Roman" w:cs="Times New Roman"/>
          <w:sz w:val="20"/>
          <w:szCs w:val="20"/>
        </w:rPr>
      </w:pPr>
    </w:p>
    <w:p w:rsidR="00420387" w:rsidRPr="00420387" w:rsidRDefault="00420387" w:rsidP="008E1495">
      <w:pPr>
        <w:tabs>
          <w:tab w:val="left" w:pos="6847"/>
        </w:tabs>
        <w:snapToGrid w:val="0"/>
        <w:spacing w:after="0" w:line="240" w:lineRule="auto"/>
        <w:jc w:val="both"/>
        <w:rPr>
          <w:rFonts w:ascii="Times New Roman" w:hAnsi="Times New Roman" w:cs="Times New Roman"/>
          <w:b/>
          <w:bCs/>
          <w:sz w:val="20"/>
          <w:szCs w:val="20"/>
          <w:lang w:eastAsia="zh-CN"/>
        </w:rPr>
      </w:pPr>
    </w:p>
    <w:p w:rsidR="001C2D6D" w:rsidRPr="00420387" w:rsidRDefault="001C2D6D" w:rsidP="008E1495">
      <w:pPr>
        <w:tabs>
          <w:tab w:val="left" w:pos="6847"/>
        </w:tabs>
        <w:snapToGrid w:val="0"/>
        <w:spacing w:after="0" w:line="240" w:lineRule="auto"/>
        <w:jc w:val="both"/>
        <w:rPr>
          <w:rFonts w:ascii="Times New Roman" w:eastAsia="Times New Roman" w:hAnsi="Times New Roman" w:cs="Times New Roman"/>
          <w:b/>
          <w:bCs/>
          <w:sz w:val="20"/>
          <w:szCs w:val="20"/>
        </w:rPr>
        <w:sectPr w:rsidR="001C2D6D" w:rsidRPr="00420387" w:rsidSect="003C226A">
          <w:type w:val="continuous"/>
          <w:pgSz w:w="12240" w:h="15840" w:code="1"/>
          <w:pgMar w:top="1440" w:right="1440" w:bottom="1440" w:left="1440" w:header="720" w:footer="720" w:gutter="0"/>
          <w:cols w:space="720"/>
          <w:docGrid w:linePitch="360"/>
        </w:sectPr>
      </w:pPr>
    </w:p>
    <w:p w:rsidR="003C226A" w:rsidRPr="00420387" w:rsidRDefault="001C2D6D" w:rsidP="008E1495">
      <w:pPr>
        <w:tabs>
          <w:tab w:val="left" w:pos="6847"/>
        </w:tabs>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lastRenderedPageBreak/>
        <w:t>Discussion</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w:t>
      </w:r>
      <w:r w:rsidR="004F3A91" w:rsidRPr="00420387">
        <w:rPr>
          <w:rFonts w:ascii="Times New Roman" w:eastAsia="Times New Roman" w:hAnsi="Times New Roman" w:cs="Times New Roman"/>
          <w:sz w:val="20"/>
          <w:szCs w:val="20"/>
        </w:rPr>
        <w:t xml:space="preserve">n this study, we compared two different radiation treatment planning approaches for the management of gastric cancer. After reviewing the </w:t>
      </w:r>
      <w:r w:rsidR="004F3A91" w:rsidRPr="00420387">
        <w:rPr>
          <w:rFonts w:ascii="Times New Roman" w:eastAsia="Times New Roman" w:hAnsi="Times New Roman" w:cs="Times New Roman"/>
          <w:sz w:val="20"/>
          <w:szCs w:val="20"/>
        </w:rPr>
        <w:lastRenderedPageBreak/>
        <w:t>data published in many studies addressing the dosimetric superiority of IMRT compared to 3D-CRT in the treatment of gastric carcinoma,</w:t>
      </w:r>
      <w:r w:rsidR="004F3A91" w:rsidRPr="00420387">
        <w:rPr>
          <w:rFonts w:ascii="Times New Roman" w:eastAsia="Times New Roman" w:hAnsi="Times New Roman" w:cs="Times New Roman"/>
          <w:sz w:val="20"/>
          <w:szCs w:val="20"/>
          <w:vertAlign w:val="superscript"/>
        </w:rPr>
        <w:t xml:space="preserve"> 16, 17</w:t>
      </w:r>
      <w:r w:rsidR="004F3A91" w:rsidRPr="00420387">
        <w:rPr>
          <w:rFonts w:ascii="Times New Roman" w:eastAsia="Times New Roman" w:hAnsi="Times New Roman" w:cs="Times New Roman"/>
          <w:sz w:val="20"/>
          <w:szCs w:val="20"/>
        </w:rPr>
        <w:t xml:space="preserve"> our center became interested in adopting IMRT/VMAT into our </w:t>
      </w:r>
      <w:r w:rsidR="004F3A91" w:rsidRPr="00420387">
        <w:rPr>
          <w:rFonts w:ascii="Times New Roman" w:eastAsia="Times New Roman" w:hAnsi="Times New Roman" w:cs="Times New Roman"/>
          <w:sz w:val="20"/>
          <w:szCs w:val="20"/>
        </w:rPr>
        <w:lastRenderedPageBreak/>
        <w:t>routine clinical practice. Though our initial clinical experience was mainly in treating head and neck and prostate cancers, yet we intend to expand the applications of IMRT and RA in different tumor subsites. The initial problem that we faced was how to precisely delineate the CTV and how to adopt a suitable radiation therapy technique that would provide adequate coverage of this volume while reducing the dose to the adjacent risk structures. Defining the high-risk sites that should be adequately included in the radiation fields (tumor bed, anastomoses and regional lymph nodes) in relation to the OAR (spinal cord</w:t>
      </w:r>
      <w:r w:rsidRPr="00420387">
        <w:rPr>
          <w:rFonts w:ascii="Times New Roman" w:eastAsia="Times New Roman" w:hAnsi="Times New Roman" w:cs="Times New Roman"/>
          <w:sz w:val="20"/>
          <w:szCs w:val="20"/>
        </w:rPr>
        <w:t>,</w:t>
      </w:r>
      <w:r w:rsidR="004F3A91" w:rsidRPr="00420387">
        <w:rPr>
          <w:rFonts w:ascii="Times New Roman" w:eastAsia="Times New Roman" w:hAnsi="Times New Roman" w:cs="Times New Roman"/>
          <w:sz w:val="20"/>
          <w:szCs w:val="20"/>
        </w:rPr>
        <w:t xml:space="preserve"> kidneys and liver) was the most important issue in most of the reports published addressing postoperative radiotherapy for gastric cancer.</w:t>
      </w:r>
      <w:r w:rsidR="004F3A91" w:rsidRPr="00420387">
        <w:rPr>
          <w:rFonts w:ascii="Times New Roman" w:eastAsia="Times New Roman" w:hAnsi="Times New Roman" w:cs="Times New Roman"/>
          <w:sz w:val="20"/>
          <w:szCs w:val="20"/>
          <w:vertAlign w:val="superscript"/>
        </w:rPr>
        <w:t xml:space="preserve"> 18, 19</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20387">
        <w:rPr>
          <w:rFonts w:ascii="Times New Roman" w:eastAsia="Times New Roman" w:hAnsi="Times New Roman" w:cs="Times New Roman"/>
          <w:sz w:val="20"/>
          <w:szCs w:val="20"/>
        </w:rPr>
        <w:t xml:space="preserve"> </w:t>
      </w:r>
      <w:r w:rsidR="004F3A91" w:rsidRPr="00420387">
        <w:rPr>
          <w:rFonts w:ascii="Times New Roman" w:eastAsia="Times New Roman" w:hAnsi="Times New Roman" w:cs="Times New Roman"/>
          <w:sz w:val="20"/>
          <w:szCs w:val="20"/>
        </w:rPr>
        <w:t>IMRT has potential disadvantages that should be taken in consideration. An IMRT plan increases the low dose areas outside the treatment volume due to higher scattered dose of radiation, raising the risk of secondary malignancies to occur with a suggested increase from 1% to 1.75%.</w:t>
      </w:r>
      <w:r w:rsidR="004F3A91" w:rsidRPr="00420387">
        <w:rPr>
          <w:rFonts w:ascii="Times New Roman" w:eastAsia="Times New Roman" w:hAnsi="Times New Roman" w:cs="Times New Roman"/>
          <w:sz w:val="20"/>
          <w:szCs w:val="20"/>
          <w:vertAlign w:val="superscript"/>
        </w:rPr>
        <w:t>20, 21</w:t>
      </w:r>
      <w:r w:rsidR="004F3A91" w:rsidRPr="00420387">
        <w:rPr>
          <w:rFonts w:ascii="Times New Roman" w:eastAsia="Times New Roman" w:hAnsi="Times New Roman" w:cs="Times New Roman"/>
          <w:sz w:val="20"/>
          <w:szCs w:val="20"/>
        </w:rPr>
        <w:t xml:space="preserve"> However, further data is needed to accurately estimate the incidence of IMRT induced secondary malignancies compared to other techniques.</w:t>
      </w:r>
      <w:r w:rsidR="004F3A91" w:rsidRPr="00420387">
        <w:rPr>
          <w:rFonts w:ascii="Times New Roman" w:eastAsia="Times New Roman" w:hAnsi="Times New Roman" w:cs="Times New Roman"/>
          <w:color w:val="000000"/>
          <w:sz w:val="20"/>
          <w:szCs w:val="20"/>
        </w:rPr>
        <w:t xml:space="preserve"> Other limitations of IMRT are the longer delivery time and higher number of MUs which might have an impact on the outcome of treatment, especially for tumors with a low alpha/beta ratio.</w:t>
      </w:r>
      <w:r w:rsidR="004F3A91" w:rsidRPr="00420387">
        <w:rPr>
          <w:rFonts w:ascii="Times New Roman" w:eastAsia="Times New Roman" w:hAnsi="Times New Roman" w:cs="Times New Roman"/>
          <w:sz w:val="20"/>
          <w:szCs w:val="20"/>
          <w:vertAlign w:val="superscript"/>
        </w:rPr>
        <w:t xml:space="preserve"> 22</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420387">
        <w:rPr>
          <w:rFonts w:ascii="Times New Roman" w:eastAsia="Times New Roman" w:hAnsi="Times New Roman" w:cs="Times New Roman"/>
          <w:color w:val="000000"/>
          <w:sz w:val="20"/>
          <w:szCs w:val="20"/>
        </w:rPr>
        <w:t xml:space="preserve"> </w:t>
      </w:r>
      <w:r w:rsidR="004F3A91" w:rsidRPr="00420387">
        <w:rPr>
          <w:rFonts w:ascii="Times New Roman" w:eastAsia="Times New Roman" w:hAnsi="Times New Roman" w:cs="Times New Roman"/>
          <w:color w:val="000000"/>
          <w:sz w:val="20"/>
          <w:szCs w:val="20"/>
        </w:rPr>
        <w:t>Planning studies of RA technology in a wide variety of tumors has suggested that the quality of plans were comparable to conventional IMRT with a shorter delivery time and lower number of MU.</w:t>
      </w:r>
      <w:r w:rsidR="004F3A91" w:rsidRPr="00420387">
        <w:rPr>
          <w:rFonts w:ascii="Times New Roman" w:eastAsia="Times New Roman" w:hAnsi="Times New Roman" w:cs="Times New Roman"/>
          <w:sz w:val="20"/>
          <w:szCs w:val="20"/>
          <w:vertAlign w:val="superscript"/>
        </w:rPr>
        <w:t xml:space="preserve"> 23-26</w:t>
      </w:r>
      <w:r w:rsidR="004F3A91" w:rsidRPr="00420387">
        <w:rPr>
          <w:rFonts w:ascii="Times New Roman" w:eastAsia="Times New Roman" w:hAnsi="Times New Roman" w:cs="Times New Roman"/>
          <w:color w:val="000000"/>
          <w:sz w:val="20"/>
          <w:szCs w:val="20"/>
        </w:rPr>
        <w:t xml:space="preserve"> An improvement of dose uniformity to the target and lowering the exposure to OAR was observed in these studies. Moreover, double arc plans dosimetrically had additional advantages when compared to IMRT and single arc plans.</w:t>
      </w:r>
      <w:r w:rsidR="004F3A91" w:rsidRPr="00420387">
        <w:rPr>
          <w:rFonts w:ascii="Times New Roman" w:eastAsia="Times New Roman" w:hAnsi="Times New Roman" w:cs="Times New Roman"/>
          <w:sz w:val="20"/>
          <w:szCs w:val="20"/>
          <w:vertAlign w:val="superscript"/>
        </w:rPr>
        <w:t xml:space="preserve"> 27, 28</w:t>
      </w:r>
      <w:r w:rsidR="004F3A91" w:rsidRPr="00420387">
        <w:rPr>
          <w:rFonts w:ascii="Times New Roman" w:eastAsia="Times New Roman" w:hAnsi="Times New Roman" w:cs="Times New Roman"/>
          <w:color w:val="000000"/>
          <w:sz w:val="20"/>
          <w:szCs w:val="20"/>
        </w:rPr>
        <w:t xml:space="preserve"> A possible explanation for this finding is that summating the two arcs can reduce the hot spots in the target volume and suboptimal dosing by the first arc is compensated by the second one. For gastric cancers irradiation, irregularity of the target volumes and low tolerance for the surrounding risk structures raises the question whether volumetric modulated radiation therapy (VMAT) would be of real benefit for adjuvant radiotherapy. To our own knowledge, few studies in literature investigated the potential benefit of applying VMAT in the treatment of gastric cancers in the adjuvant setting.</w:t>
      </w:r>
      <w:r w:rsidR="004F3A91" w:rsidRPr="00420387">
        <w:rPr>
          <w:rFonts w:ascii="Times New Roman" w:eastAsia="Times New Roman" w:hAnsi="Times New Roman" w:cs="Times New Roman"/>
          <w:sz w:val="20"/>
          <w:szCs w:val="20"/>
          <w:vertAlign w:val="superscript"/>
        </w:rPr>
        <w:t xml:space="preserve"> 29</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I</w:t>
      </w:r>
      <w:r w:rsidR="004F3A91" w:rsidRPr="00420387">
        <w:rPr>
          <w:rFonts w:ascii="Times New Roman" w:eastAsia="Times New Roman" w:hAnsi="Times New Roman" w:cs="Times New Roman"/>
          <w:sz w:val="20"/>
          <w:szCs w:val="20"/>
        </w:rPr>
        <w:t>n a study by Weigang Hu and his colleagues comparing RA to IMRT based on a novel beam angle and multicriteria optimization technique (BAMCO). They concluded that BAMCO IMRT provided an equivalent OAR sparing and target volume coverage when compared to RA.</w:t>
      </w:r>
      <w:r w:rsidRPr="00420387">
        <w:rPr>
          <w:rFonts w:ascii="Times New Roman" w:eastAsia="Times New Roman" w:hAnsi="Times New Roman" w:cs="Times New Roman"/>
          <w:sz w:val="20"/>
          <w:szCs w:val="20"/>
        </w:rPr>
        <w:t xml:space="preserve"> </w:t>
      </w:r>
      <w:r w:rsidR="004F3A91" w:rsidRPr="00420387">
        <w:rPr>
          <w:rFonts w:ascii="Times New Roman" w:eastAsia="Times New Roman" w:hAnsi="Times New Roman" w:cs="Times New Roman"/>
          <w:sz w:val="20"/>
          <w:szCs w:val="20"/>
        </w:rPr>
        <w:t>However, delivery time with the BAMCO technique was longer than RA (189.3 ± 26.0 s vs 65.0 ± 9.7 s), respectively.</w:t>
      </w:r>
      <w:r w:rsidR="004F3A91" w:rsidRPr="00420387">
        <w:rPr>
          <w:rFonts w:ascii="Times New Roman" w:eastAsia="Times New Roman" w:hAnsi="Times New Roman" w:cs="Times New Roman"/>
          <w:sz w:val="20"/>
          <w:szCs w:val="20"/>
          <w:vertAlign w:val="superscript"/>
        </w:rPr>
        <w:t xml:space="preserve"> 30</w:t>
      </w:r>
      <w:r w:rsidR="004F3A91" w:rsidRPr="00420387">
        <w:rPr>
          <w:rFonts w:ascii="Times New Roman" w:eastAsia="Times New Roman" w:hAnsi="Times New Roman" w:cs="Times New Roman"/>
          <w:sz w:val="20"/>
          <w:szCs w:val="20"/>
        </w:rPr>
        <w:t xml:space="preserve"> Similarly, </w:t>
      </w:r>
      <w:r w:rsidR="004F3A91" w:rsidRPr="00420387">
        <w:rPr>
          <w:rFonts w:ascii="Times New Roman" w:eastAsia="Times New Roman" w:hAnsi="Times New Roman" w:cs="Times New Roman"/>
          <w:sz w:val="20"/>
          <w:szCs w:val="20"/>
          <w:shd w:val="clear" w:color="auto" w:fill="FFFFFF"/>
        </w:rPr>
        <w:lastRenderedPageBreak/>
        <w:t>Zhiping Li et al investigated four different techniques in the adjuvant treatment of gastric cancer (five and seven fields IMRT in addition to single and doublearc VMAT plans). Their results showed faster treatment delivery with the VMAT plans with the</w:t>
      </w:r>
      <w:r w:rsidR="004F3A91" w:rsidRPr="00420387">
        <w:rPr>
          <w:rFonts w:ascii="Times New Roman" w:eastAsia="Times New Roman" w:hAnsi="Times New Roman" w:cs="Times New Roman"/>
          <w:color w:val="000000"/>
          <w:sz w:val="20"/>
          <w:szCs w:val="20"/>
        </w:rPr>
        <w:t xml:space="preserve"> doublearc VMAT show</w:t>
      </w:r>
      <w:r w:rsidR="004F3A91" w:rsidRPr="00420387">
        <w:rPr>
          <w:rFonts w:ascii="Times New Roman" w:eastAsia="Times New Roman" w:hAnsi="Times New Roman" w:cs="Times New Roman"/>
          <w:sz w:val="20"/>
          <w:szCs w:val="20"/>
        </w:rPr>
        <w:t>ing</w:t>
      </w:r>
      <w:r w:rsidR="004F3A91" w:rsidRPr="00420387">
        <w:rPr>
          <w:rFonts w:ascii="Times New Roman" w:eastAsia="Times New Roman" w:hAnsi="Times New Roman" w:cs="Times New Roman"/>
          <w:color w:val="000000"/>
          <w:sz w:val="20"/>
          <w:szCs w:val="20"/>
        </w:rPr>
        <w:t xml:space="preserve"> a better HI (0.10±0.01) and CI (0.87±0.03) when compared to other techniques</w:t>
      </w:r>
      <w:r w:rsidR="004F3A91" w:rsidRPr="00420387">
        <w:rPr>
          <w:rFonts w:ascii="Times New Roman" w:eastAsia="Times New Roman" w:hAnsi="Times New Roman" w:cs="Times New Roman"/>
          <w:sz w:val="20"/>
          <w:szCs w:val="20"/>
        </w:rPr>
        <w:t>. Regarding the OAR sparing, IMRT plans were marginally better than VMAT.</w:t>
      </w:r>
      <w:r w:rsidR="004F3A91" w:rsidRPr="00420387">
        <w:rPr>
          <w:rFonts w:ascii="Times New Roman" w:eastAsia="Times New Roman" w:hAnsi="Times New Roman" w:cs="Times New Roman"/>
          <w:sz w:val="20"/>
          <w:szCs w:val="20"/>
          <w:vertAlign w:val="superscript"/>
        </w:rPr>
        <w:t xml:space="preserve"> 31</w:t>
      </w:r>
      <w:r w:rsidR="004F3A91" w:rsidRPr="00420387">
        <w:rPr>
          <w:rFonts w:ascii="Times New Roman" w:eastAsia="Times New Roman" w:hAnsi="Times New Roman" w:cs="Times New Roman"/>
          <w:sz w:val="20"/>
          <w:szCs w:val="20"/>
        </w:rPr>
        <w:t xml:space="preserve"> Tao Zhang and his colleagues compared doublearc VMAT to static IMRT and 3D-CRT techniques. They reported that a better PTV coverage was achieved by both the RA and IMRT plans when compared to 3D-CRT. Moreover, the VMAT plans provided lower doses to OAR and better dosimetric endpoints than 3D-CRT and IMRT plans.</w:t>
      </w:r>
      <w:r w:rsidR="004F3A91" w:rsidRPr="00420387">
        <w:rPr>
          <w:rFonts w:ascii="Times New Roman" w:eastAsia="Times New Roman" w:hAnsi="Times New Roman" w:cs="Times New Roman"/>
          <w:sz w:val="20"/>
          <w:szCs w:val="20"/>
          <w:vertAlign w:val="superscript"/>
        </w:rPr>
        <w:t xml:space="preserve"> 32</w:t>
      </w:r>
    </w:p>
    <w:p w:rsidR="001C2D6D"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 xml:space="preserve"> </w:t>
      </w:r>
      <w:r w:rsidR="004F3A91" w:rsidRPr="00420387">
        <w:rPr>
          <w:rFonts w:ascii="Times New Roman" w:eastAsia="Times New Roman" w:hAnsi="Times New Roman" w:cs="Times New Roman"/>
          <w:sz w:val="20"/>
          <w:szCs w:val="20"/>
        </w:rPr>
        <w:t>In treating upper abdominal malignancies, there are many challenges to improve the radiotherapy delivery including patient immobilization, advances in diagnostic imaging, as well as image-guided radiotherapy and organ motion management. More and above, a better knowledge of the normal tissues tolerance is mandatory to optimize the radiotherapy treatment planning.</w:t>
      </w:r>
      <w:r w:rsidR="004F3A91" w:rsidRPr="00420387">
        <w:rPr>
          <w:rFonts w:ascii="Times New Roman" w:eastAsia="Times New Roman" w:hAnsi="Times New Roman" w:cs="Times New Roman"/>
          <w:sz w:val="20"/>
          <w:szCs w:val="20"/>
          <w:vertAlign w:val="superscript"/>
        </w:rPr>
        <w:t xml:space="preserve"> 33-35</w:t>
      </w:r>
      <w:r w:rsidR="004F3A91" w:rsidRPr="00420387">
        <w:rPr>
          <w:rFonts w:ascii="Times New Roman" w:eastAsia="Times New Roman" w:hAnsi="Times New Roman" w:cs="Times New Roman"/>
          <w:sz w:val="20"/>
          <w:szCs w:val="20"/>
        </w:rPr>
        <w:t xml:space="preserve"> However, limitations of our study should be addressed and considered as well. First of all, the study did not evaluate clinical toxicity and was performed on a small number of patients. Moreover, respiratory gating was not used in our study which might influence the accuracy of the dose distribution. Therefore, more studies are needed to evaluate and confirm the feasibility of RA in the management of gastric cancers. </w:t>
      </w:r>
    </w:p>
    <w:p w:rsidR="00ED545A" w:rsidRPr="00420387" w:rsidRDefault="00ED545A" w:rsidP="008E1495">
      <w:pPr>
        <w:tabs>
          <w:tab w:val="left" w:pos="6847"/>
        </w:tabs>
        <w:snapToGrid w:val="0"/>
        <w:spacing w:after="0" w:line="240" w:lineRule="auto"/>
        <w:jc w:val="both"/>
        <w:rPr>
          <w:rFonts w:ascii="Times New Roman" w:eastAsia="Times New Roman" w:hAnsi="Times New Roman" w:cs="Times New Roman"/>
          <w:b/>
          <w:bCs/>
          <w:sz w:val="20"/>
          <w:szCs w:val="20"/>
        </w:rPr>
      </w:pPr>
    </w:p>
    <w:p w:rsidR="003C226A" w:rsidRPr="00420387" w:rsidRDefault="001C2D6D" w:rsidP="008E1495">
      <w:pPr>
        <w:tabs>
          <w:tab w:val="left" w:pos="6847"/>
        </w:tabs>
        <w:snapToGrid w:val="0"/>
        <w:spacing w:after="0" w:line="240" w:lineRule="auto"/>
        <w:jc w:val="both"/>
        <w:rPr>
          <w:rFonts w:ascii="Times New Roman" w:eastAsia="Times New Roman" w:hAnsi="Times New Roman" w:cs="Times New Roman"/>
          <w:b/>
          <w:bCs/>
          <w:sz w:val="20"/>
          <w:szCs w:val="20"/>
        </w:rPr>
      </w:pPr>
      <w:r w:rsidRPr="00420387">
        <w:rPr>
          <w:rFonts w:ascii="Times New Roman" w:eastAsia="Times New Roman" w:hAnsi="Times New Roman" w:cs="Times New Roman"/>
          <w:b/>
          <w:bCs/>
          <w:sz w:val="20"/>
          <w:szCs w:val="20"/>
        </w:rPr>
        <w:t>Conclusion</w:t>
      </w:r>
    </w:p>
    <w:p w:rsidR="004F3A91" w:rsidRPr="00420387" w:rsidRDefault="003C226A" w:rsidP="008E149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420387">
        <w:rPr>
          <w:rFonts w:ascii="Times New Roman" w:eastAsia="Times New Roman" w:hAnsi="Times New Roman" w:cs="Times New Roman"/>
          <w:sz w:val="20"/>
          <w:szCs w:val="20"/>
        </w:rPr>
        <w:t>A</w:t>
      </w:r>
      <w:r w:rsidR="004F3A91" w:rsidRPr="00420387">
        <w:rPr>
          <w:rFonts w:ascii="Times New Roman" w:eastAsia="Times New Roman" w:hAnsi="Times New Roman" w:cs="Times New Roman"/>
          <w:sz w:val="20"/>
          <w:szCs w:val="20"/>
        </w:rPr>
        <w:t>t our institution with early arc delivery experience, RapidArc obtained similar dosimetric outcomes to IMRT plans regarding target coverage</w:t>
      </w:r>
      <w:r w:rsidRPr="00420387">
        <w:rPr>
          <w:rFonts w:ascii="Times New Roman" w:eastAsia="Times New Roman" w:hAnsi="Times New Roman" w:cs="Times New Roman"/>
          <w:sz w:val="20"/>
          <w:szCs w:val="20"/>
        </w:rPr>
        <w:t xml:space="preserve"> &amp; </w:t>
      </w:r>
      <w:r w:rsidR="004F3A91" w:rsidRPr="00420387">
        <w:rPr>
          <w:rFonts w:ascii="Times New Roman" w:eastAsia="Times New Roman" w:hAnsi="Times New Roman" w:cs="Times New Roman"/>
          <w:sz w:val="20"/>
          <w:szCs w:val="20"/>
        </w:rPr>
        <w:t>OAR sparing with an advantage of shorter delivery time</w:t>
      </w:r>
      <w:r w:rsidRPr="00420387">
        <w:rPr>
          <w:rFonts w:ascii="Times New Roman" w:eastAsia="Times New Roman" w:hAnsi="Times New Roman" w:cs="Times New Roman"/>
          <w:sz w:val="20"/>
          <w:szCs w:val="20"/>
        </w:rPr>
        <w:t xml:space="preserve"> &amp; </w:t>
      </w:r>
      <w:r w:rsidR="004F3A91" w:rsidRPr="00420387">
        <w:rPr>
          <w:rFonts w:ascii="Times New Roman" w:eastAsia="Times New Roman" w:hAnsi="Times New Roman" w:cs="Times New Roman"/>
          <w:sz w:val="20"/>
          <w:szCs w:val="20"/>
        </w:rPr>
        <w:t>lower number of MU.</w:t>
      </w:r>
    </w:p>
    <w:p w:rsidR="001C2D6D" w:rsidRPr="00420387" w:rsidRDefault="001C2D6D" w:rsidP="008E1495">
      <w:pPr>
        <w:snapToGrid w:val="0"/>
        <w:spacing w:after="0" w:line="240" w:lineRule="auto"/>
        <w:jc w:val="both"/>
        <w:rPr>
          <w:rStyle w:val="A6"/>
          <w:rFonts w:ascii="Times New Roman" w:hAnsi="Times New Roman" w:cs="Times New Roman"/>
          <w:b/>
          <w:bCs/>
          <w:sz w:val="20"/>
          <w:szCs w:val="20"/>
        </w:rPr>
      </w:pPr>
    </w:p>
    <w:p w:rsidR="001C2D6D" w:rsidRPr="00420387" w:rsidRDefault="004F3A91" w:rsidP="008E1495">
      <w:pPr>
        <w:snapToGrid w:val="0"/>
        <w:spacing w:after="0" w:line="240" w:lineRule="auto"/>
        <w:jc w:val="both"/>
        <w:rPr>
          <w:rStyle w:val="A6"/>
          <w:rFonts w:ascii="Times New Roman" w:hAnsi="Times New Roman" w:cs="Times New Roman"/>
          <w:b/>
          <w:bCs/>
          <w:sz w:val="20"/>
          <w:szCs w:val="20"/>
        </w:rPr>
      </w:pPr>
      <w:r w:rsidRPr="00420387">
        <w:rPr>
          <w:rStyle w:val="A6"/>
          <w:rFonts w:ascii="Times New Roman" w:hAnsi="Times New Roman" w:cs="Times New Roman"/>
          <w:b/>
          <w:bCs/>
          <w:sz w:val="20"/>
          <w:szCs w:val="20"/>
        </w:rPr>
        <w:t xml:space="preserve">Acknowledgments: </w:t>
      </w:r>
    </w:p>
    <w:p w:rsidR="004F3A91" w:rsidRPr="00420387" w:rsidRDefault="004F3A91" w:rsidP="008E1495">
      <w:pPr>
        <w:snapToGrid w:val="0"/>
        <w:spacing w:after="0" w:line="240" w:lineRule="auto"/>
        <w:ind w:firstLine="425"/>
        <w:jc w:val="both"/>
        <w:rPr>
          <w:rStyle w:val="A6"/>
          <w:rFonts w:ascii="Times New Roman" w:hAnsi="Times New Roman" w:cs="Times New Roman"/>
          <w:sz w:val="20"/>
          <w:szCs w:val="20"/>
        </w:rPr>
      </w:pPr>
      <w:r w:rsidRPr="00420387">
        <w:rPr>
          <w:rStyle w:val="A6"/>
          <w:rFonts w:ascii="Times New Roman" w:hAnsi="Times New Roman" w:cs="Times New Roman"/>
          <w:sz w:val="20"/>
          <w:szCs w:val="20"/>
        </w:rPr>
        <w:t>We would like to thank our ethical committee for approving this piece of work. Our gratitude also goes to our junior residents who were really helpful.</w:t>
      </w:r>
    </w:p>
    <w:p w:rsidR="00ED545A" w:rsidRPr="00420387" w:rsidRDefault="00ED545A" w:rsidP="008E1495">
      <w:pPr>
        <w:snapToGrid w:val="0"/>
        <w:spacing w:after="0" w:line="240" w:lineRule="auto"/>
        <w:jc w:val="both"/>
        <w:rPr>
          <w:rStyle w:val="A6"/>
          <w:rFonts w:ascii="Times New Roman" w:hAnsi="Times New Roman" w:cs="Times New Roman"/>
          <w:b/>
          <w:bCs/>
          <w:sz w:val="20"/>
          <w:szCs w:val="20"/>
        </w:rPr>
      </w:pPr>
    </w:p>
    <w:p w:rsidR="004F3A91" w:rsidRPr="00420387" w:rsidRDefault="00B04213" w:rsidP="008E1495">
      <w:pPr>
        <w:snapToGrid w:val="0"/>
        <w:spacing w:after="0" w:line="240" w:lineRule="auto"/>
        <w:jc w:val="both"/>
        <w:rPr>
          <w:rStyle w:val="A6"/>
          <w:rFonts w:ascii="Times New Roman" w:hAnsi="Times New Roman" w:cs="Times New Roman"/>
          <w:b/>
          <w:bCs/>
          <w:sz w:val="20"/>
          <w:szCs w:val="20"/>
        </w:rPr>
      </w:pPr>
      <w:r w:rsidRPr="00420387">
        <w:rPr>
          <w:rStyle w:val="A6"/>
          <w:rFonts w:ascii="Times New Roman" w:hAnsi="Times New Roman" w:cs="Times New Roman" w:hint="eastAsia"/>
          <w:b/>
          <w:bCs/>
          <w:sz w:val="20"/>
          <w:szCs w:val="20"/>
          <w:lang w:eastAsia="zh-CN"/>
        </w:rPr>
        <w:t>Di</w:t>
      </w:r>
      <w:r w:rsidR="004F3A91" w:rsidRPr="00420387">
        <w:rPr>
          <w:rStyle w:val="A6"/>
          <w:rFonts w:ascii="Times New Roman" w:hAnsi="Times New Roman" w:cs="Times New Roman"/>
          <w:b/>
          <w:bCs/>
          <w:sz w:val="20"/>
          <w:szCs w:val="20"/>
        </w:rPr>
        <w:t>sclosure:</w:t>
      </w:r>
    </w:p>
    <w:p w:rsidR="004F3A91" w:rsidRDefault="004F3A91" w:rsidP="008E149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20387">
        <w:rPr>
          <w:rFonts w:ascii="Times New Roman" w:hAnsi="Times New Roman" w:cs="Times New Roman"/>
          <w:sz w:val="20"/>
          <w:szCs w:val="20"/>
        </w:rPr>
        <w:t>On behalf of all authors, the corresponding author states that there is no conflict of interest.</w:t>
      </w:r>
    </w:p>
    <w:p w:rsidR="00420387" w:rsidRPr="00420387" w:rsidRDefault="00420387" w:rsidP="008E149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20387">
        <w:rPr>
          <w:rFonts w:ascii="Times New Roman" w:hAnsi="Times New Roman" w:cs="Times New Roman"/>
          <w:sz w:val="20"/>
          <w:szCs w:val="20"/>
          <w:lang w:bidi="ar-EG"/>
        </w:rPr>
        <w:t>Paper is submitted as our experience</w:t>
      </w:r>
    </w:p>
    <w:p w:rsidR="001C2D6D" w:rsidRPr="00420387" w:rsidRDefault="001C2D6D" w:rsidP="001C2D6D">
      <w:pPr>
        <w:snapToGrid w:val="0"/>
        <w:spacing w:after="0" w:line="240" w:lineRule="auto"/>
        <w:jc w:val="both"/>
        <w:rPr>
          <w:rFonts w:ascii="Times New Roman" w:hAnsi="Times New Roman" w:cs="Times New Roman"/>
          <w:b/>
          <w:bCs/>
          <w:sz w:val="20"/>
          <w:szCs w:val="20"/>
          <w:lang w:eastAsia="zh-CN" w:bidi="ar-EG"/>
        </w:rPr>
      </w:pPr>
    </w:p>
    <w:p w:rsidR="00B04213" w:rsidRPr="00420387" w:rsidRDefault="00B04213" w:rsidP="001C2D6D">
      <w:pPr>
        <w:snapToGrid w:val="0"/>
        <w:spacing w:after="0" w:line="240" w:lineRule="auto"/>
        <w:jc w:val="both"/>
        <w:rPr>
          <w:rFonts w:ascii="Times New Roman" w:hAnsi="Times New Roman" w:cs="Times New Roman"/>
          <w:b/>
          <w:bCs/>
          <w:sz w:val="20"/>
          <w:szCs w:val="20"/>
          <w:lang w:bidi="ar-EG"/>
        </w:rPr>
      </w:pPr>
      <w:r w:rsidRPr="00420387">
        <w:rPr>
          <w:rFonts w:ascii="Times New Roman" w:hAnsi="Times New Roman" w:cs="Times New Roman"/>
          <w:b/>
          <w:bCs/>
          <w:sz w:val="20"/>
          <w:szCs w:val="20"/>
          <w:lang w:bidi="ar-EG"/>
        </w:rPr>
        <w:t>Corresponding Author:</w:t>
      </w:r>
    </w:p>
    <w:p w:rsidR="00B04213" w:rsidRPr="00420387" w:rsidRDefault="00B04213" w:rsidP="001C2D6D">
      <w:pPr>
        <w:snapToGrid w:val="0"/>
        <w:spacing w:after="0" w:line="240" w:lineRule="auto"/>
        <w:jc w:val="both"/>
        <w:rPr>
          <w:rFonts w:ascii="Times New Roman" w:hAnsi="Times New Roman" w:cs="Times New Roman"/>
          <w:b/>
          <w:bCs/>
          <w:i/>
          <w:iCs/>
          <w:sz w:val="20"/>
          <w:szCs w:val="20"/>
          <w:lang w:bidi="ar-EG"/>
        </w:rPr>
      </w:pPr>
      <w:r w:rsidRPr="00420387">
        <w:rPr>
          <w:rFonts w:ascii="Times New Roman" w:hAnsi="Times New Roman" w:cs="Times New Roman"/>
          <w:sz w:val="20"/>
          <w:szCs w:val="20"/>
          <w:lang w:bidi="ar-EG"/>
        </w:rPr>
        <w:t>Karim Nabil Mashhour</w:t>
      </w:r>
    </w:p>
    <w:p w:rsidR="00B04213" w:rsidRPr="00420387" w:rsidRDefault="00B04213" w:rsidP="001C2D6D">
      <w:pPr>
        <w:snapToGrid w:val="0"/>
        <w:spacing w:after="0" w:line="240" w:lineRule="auto"/>
        <w:jc w:val="both"/>
        <w:rPr>
          <w:rFonts w:ascii="Times New Roman" w:hAnsi="Times New Roman" w:cs="Times New Roman"/>
          <w:color w:val="000000"/>
          <w:sz w:val="20"/>
          <w:szCs w:val="20"/>
        </w:rPr>
      </w:pPr>
      <w:r w:rsidRPr="00420387">
        <w:rPr>
          <w:rFonts w:ascii="Times New Roman" w:hAnsi="Times New Roman" w:cs="Times New Roman"/>
          <w:color w:val="000000"/>
          <w:sz w:val="20"/>
          <w:szCs w:val="20"/>
        </w:rPr>
        <w:t>Kasr Al-Ainy school of medicine</w:t>
      </w:r>
      <w:r w:rsidR="001C2D6D" w:rsidRPr="00420387">
        <w:rPr>
          <w:rFonts w:ascii="Times New Roman" w:hAnsi="Times New Roman" w:cs="Times New Roman"/>
          <w:color w:val="000000"/>
          <w:sz w:val="20"/>
          <w:szCs w:val="20"/>
        </w:rPr>
        <w:t>, c</w:t>
      </w:r>
      <w:r w:rsidRPr="00420387">
        <w:rPr>
          <w:rFonts w:ascii="Times New Roman" w:hAnsi="Times New Roman" w:cs="Times New Roman"/>
          <w:color w:val="000000"/>
          <w:sz w:val="20"/>
          <w:szCs w:val="20"/>
        </w:rPr>
        <w:t>linical oncology department, Cairo University</w:t>
      </w:r>
    </w:p>
    <w:p w:rsidR="00B04213" w:rsidRPr="00420387" w:rsidRDefault="00B04213" w:rsidP="001C2D6D">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color w:val="000000"/>
          <w:sz w:val="20"/>
          <w:szCs w:val="20"/>
        </w:rPr>
        <w:t>Cairo, 11553, Egypt</w:t>
      </w:r>
      <w:r w:rsidRPr="00420387">
        <w:rPr>
          <w:rFonts w:ascii="Times New Roman" w:hAnsi="Times New Roman" w:cs="Times New Roman"/>
          <w:b/>
          <w:bCs/>
          <w:i/>
          <w:iCs/>
          <w:sz w:val="20"/>
          <w:szCs w:val="20"/>
          <w:lang w:bidi="ar-EG"/>
        </w:rPr>
        <w:t xml:space="preserve"> </w:t>
      </w:r>
    </w:p>
    <w:p w:rsidR="00B04213" w:rsidRPr="00420387" w:rsidRDefault="00B04213" w:rsidP="001C2D6D">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Fax number</w:t>
      </w:r>
      <w:r w:rsidR="003C226A" w:rsidRPr="00420387">
        <w:rPr>
          <w:rFonts w:ascii="Times New Roman" w:hAnsi="Times New Roman" w:cs="Times New Roman"/>
          <w:sz w:val="20"/>
          <w:szCs w:val="20"/>
          <w:lang w:bidi="ar-EG"/>
        </w:rPr>
        <w:t>:</w:t>
      </w:r>
      <w:r w:rsidRPr="00420387">
        <w:rPr>
          <w:rFonts w:ascii="Times New Roman" w:hAnsi="Times New Roman" w:cs="Times New Roman"/>
          <w:sz w:val="20"/>
          <w:szCs w:val="20"/>
          <w:lang w:bidi="ar-EG"/>
        </w:rPr>
        <w:t xml:space="preserve"> 37606512</w:t>
      </w:r>
      <w:r w:rsidR="003C226A" w:rsidRPr="00420387">
        <w:rPr>
          <w:rFonts w:ascii="Times New Roman" w:hAnsi="Times New Roman" w:cs="Times New Roman"/>
          <w:sz w:val="20"/>
          <w:szCs w:val="20"/>
          <w:lang w:bidi="ar-EG"/>
        </w:rPr>
        <w:t xml:space="preserve"> </w:t>
      </w:r>
      <w:r w:rsidRPr="00420387">
        <w:rPr>
          <w:rFonts w:ascii="Times New Roman" w:hAnsi="Times New Roman" w:cs="Times New Roman"/>
          <w:sz w:val="20"/>
          <w:szCs w:val="20"/>
          <w:lang w:bidi="ar-EG"/>
        </w:rPr>
        <w:t>-</w:t>
      </w:r>
      <w:r w:rsidR="003C226A" w:rsidRPr="00420387">
        <w:rPr>
          <w:rFonts w:ascii="Times New Roman" w:hAnsi="Times New Roman" w:cs="Times New Roman"/>
          <w:sz w:val="20"/>
          <w:szCs w:val="20"/>
          <w:lang w:bidi="ar-EG"/>
        </w:rPr>
        <w:t xml:space="preserve"> </w:t>
      </w:r>
      <w:r w:rsidRPr="00420387">
        <w:rPr>
          <w:rFonts w:ascii="Times New Roman" w:hAnsi="Times New Roman" w:cs="Times New Roman"/>
          <w:sz w:val="20"/>
          <w:szCs w:val="20"/>
          <w:lang w:bidi="ar-EG"/>
        </w:rPr>
        <w:t>37490002</w:t>
      </w:r>
    </w:p>
    <w:p w:rsidR="00B04213" w:rsidRPr="00420387" w:rsidRDefault="00B04213" w:rsidP="001C2D6D">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lastRenderedPageBreak/>
        <w:t xml:space="preserve">E-mail: </w:t>
      </w:r>
      <w:hyperlink r:id="rId16" w:history="1">
        <w:r w:rsidRPr="00420387">
          <w:rPr>
            <w:rStyle w:val="Hyperlink"/>
            <w:rFonts w:ascii="Times New Roman" w:hAnsi="Times New Roman" w:cs="Times New Roman"/>
            <w:sz w:val="20"/>
            <w:szCs w:val="20"/>
            <w:lang w:bidi="ar-EG"/>
          </w:rPr>
          <w:t>karim.mashhour.81@gmail.com</w:t>
        </w:r>
      </w:hyperlink>
    </w:p>
    <w:p w:rsidR="00B04213" w:rsidRPr="00420387" w:rsidRDefault="00B04213" w:rsidP="001C2D6D">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Tel.</w:t>
      </w:r>
      <w:r w:rsidR="003C226A" w:rsidRPr="00420387">
        <w:rPr>
          <w:rFonts w:ascii="Times New Roman" w:hAnsi="Times New Roman" w:cs="Times New Roman"/>
          <w:sz w:val="20"/>
          <w:szCs w:val="20"/>
          <w:lang w:bidi="ar-EG"/>
        </w:rPr>
        <w:t xml:space="preserve"> </w:t>
      </w:r>
      <w:r w:rsidRPr="00420387">
        <w:rPr>
          <w:rFonts w:ascii="Times New Roman" w:hAnsi="Times New Roman" w:cs="Times New Roman"/>
          <w:sz w:val="20"/>
          <w:szCs w:val="20"/>
          <w:lang w:bidi="ar-EG"/>
        </w:rPr>
        <w:t>(+20) 1006086827</w:t>
      </w:r>
    </w:p>
    <w:p w:rsidR="001C2D6D" w:rsidRPr="00420387" w:rsidRDefault="001C2D6D" w:rsidP="008E1495">
      <w:pPr>
        <w:snapToGrid w:val="0"/>
        <w:spacing w:after="0" w:line="240" w:lineRule="auto"/>
        <w:jc w:val="both"/>
        <w:rPr>
          <w:rFonts w:ascii="Times New Roman" w:hAnsi="Times New Roman" w:cs="Times New Roman"/>
          <w:b/>
          <w:bCs/>
          <w:sz w:val="20"/>
          <w:szCs w:val="20"/>
          <w:lang w:eastAsia="zh-CN" w:bidi="ar-EG"/>
        </w:rPr>
      </w:pPr>
    </w:p>
    <w:p w:rsidR="00B04213" w:rsidRPr="00420387" w:rsidRDefault="00B04213" w:rsidP="008E1495">
      <w:pPr>
        <w:snapToGrid w:val="0"/>
        <w:spacing w:after="0" w:line="240" w:lineRule="auto"/>
        <w:jc w:val="both"/>
        <w:rPr>
          <w:rFonts w:ascii="Times New Roman" w:hAnsi="Times New Roman" w:cs="Times New Roman"/>
          <w:b/>
          <w:bCs/>
          <w:sz w:val="20"/>
          <w:szCs w:val="20"/>
          <w:lang w:bidi="ar-EG"/>
        </w:rPr>
      </w:pPr>
      <w:r w:rsidRPr="00420387">
        <w:rPr>
          <w:rFonts w:ascii="Times New Roman" w:hAnsi="Times New Roman" w:cs="Times New Roman"/>
          <w:b/>
          <w:bCs/>
          <w:sz w:val="20"/>
          <w:szCs w:val="20"/>
          <w:lang w:bidi="ar-EG"/>
        </w:rPr>
        <w:t>Author Contribution:</w:t>
      </w:r>
    </w:p>
    <w:p w:rsidR="00B04213" w:rsidRPr="00420387" w:rsidRDefault="00B04213" w:rsidP="008E1495">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K</w:t>
      </w:r>
      <w:r w:rsidR="001C2D6D" w:rsidRPr="00420387">
        <w:rPr>
          <w:rFonts w:ascii="Times New Roman" w:hAnsi="Times New Roman" w:cs="Times New Roman"/>
          <w:sz w:val="20"/>
          <w:szCs w:val="20"/>
          <w:lang w:bidi="ar-EG"/>
        </w:rPr>
        <w:t>. M</w:t>
      </w:r>
      <w:r w:rsidRPr="00420387">
        <w:rPr>
          <w:rFonts w:ascii="Times New Roman" w:hAnsi="Times New Roman" w:cs="Times New Roman"/>
          <w:sz w:val="20"/>
          <w:szCs w:val="20"/>
          <w:lang w:bidi="ar-EG"/>
        </w:rPr>
        <w:t>ashhour was the principle radiation oncologist involved in delineation and plan acceptance.</w:t>
      </w:r>
    </w:p>
    <w:p w:rsidR="00B04213" w:rsidRPr="00420387" w:rsidRDefault="00B04213" w:rsidP="008E1495">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W. Hashem was involved in contouring of cases in addition to manuscript writing</w:t>
      </w:r>
    </w:p>
    <w:p w:rsidR="00B04213" w:rsidRPr="00420387" w:rsidRDefault="00B04213" w:rsidP="008E1495">
      <w:pPr>
        <w:snapToGrid w:val="0"/>
        <w:spacing w:after="0" w:line="240" w:lineRule="auto"/>
        <w:jc w:val="both"/>
        <w:rPr>
          <w:rFonts w:ascii="Times New Roman" w:hAnsi="Times New Roman" w:cs="Times New Roman"/>
          <w:sz w:val="20"/>
          <w:szCs w:val="20"/>
          <w:lang w:bidi="ar-EG"/>
        </w:rPr>
      </w:pPr>
      <w:r w:rsidRPr="00420387">
        <w:rPr>
          <w:rFonts w:ascii="Times New Roman" w:hAnsi="Times New Roman" w:cs="Times New Roman"/>
          <w:sz w:val="20"/>
          <w:szCs w:val="20"/>
          <w:lang w:bidi="ar-EG"/>
        </w:rPr>
        <w:t xml:space="preserve">H. Abdelghany was the medical radiation physicist who generated all plans in this research study </w:t>
      </w:r>
    </w:p>
    <w:p w:rsidR="00ED545A" w:rsidRPr="00420387" w:rsidRDefault="00ED545A" w:rsidP="008E1495">
      <w:pPr>
        <w:snapToGrid w:val="0"/>
        <w:spacing w:after="0" w:line="240" w:lineRule="auto"/>
        <w:ind w:firstLine="425"/>
        <w:jc w:val="both"/>
        <w:rPr>
          <w:rFonts w:ascii="Times New Roman" w:hAnsi="Times New Roman" w:cs="Times New Roman"/>
          <w:sz w:val="20"/>
          <w:szCs w:val="20"/>
        </w:rPr>
      </w:pPr>
    </w:p>
    <w:p w:rsidR="001C2D6D" w:rsidRPr="00420387" w:rsidRDefault="004F3A91" w:rsidP="008E1495">
      <w:pPr>
        <w:snapToGrid w:val="0"/>
        <w:spacing w:after="0" w:line="240" w:lineRule="auto"/>
        <w:jc w:val="both"/>
        <w:rPr>
          <w:rStyle w:val="A6"/>
          <w:rFonts w:ascii="Times New Roman" w:hAnsi="Times New Roman" w:cs="Times New Roman"/>
          <w:bCs/>
          <w:sz w:val="20"/>
          <w:szCs w:val="20"/>
        </w:rPr>
      </w:pPr>
      <w:r w:rsidRPr="00420387">
        <w:rPr>
          <w:rStyle w:val="A6"/>
          <w:rFonts w:ascii="Times New Roman" w:hAnsi="Times New Roman" w:cs="Times New Roman"/>
          <w:b/>
          <w:bCs/>
          <w:sz w:val="20"/>
          <w:szCs w:val="20"/>
        </w:rPr>
        <w:t>References</w:t>
      </w:r>
      <w:r w:rsidR="007C3133" w:rsidRPr="00420387">
        <w:rPr>
          <w:rStyle w:val="A6"/>
          <w:rFonts w:ascii="Times New Roman" w:hAnsi="Times New Roman" w:cs="Times New Roman"/>
          <w:b/>
          <w:bCs/>
          <w:sz w:val="20"/>
          <w:szCs w:val="20"/>
        </w:rPr>
        <w:t>:</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P</w:t>
      </w:r>
      <w:r w:rsidR="007C3133" w:rsidRPr="00420387">
        <w:rPr>
          <w:rFonts w:ascii="Times New Roman" w:hAnsi="Times New Roman" w:cs="Times New Roman"/>
          <w:sz w:val="20"/>
          <w:szCs w:val="20"/>
        </w:rPr>
        <w:t>arkin DM, Bray F, Ferlay J, et al. Global cancer statistics. CA Cancer J Clin 2005; 55:74–108.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L</w:t>
      </w:r>
      <w:r w:rsidR="007C3133" w:rsidRPr="00420387">
        <w:rPr>
          <w:rFonts w:ascii="Times New Roman" w:hAnsi="Times New Roman" w:cs="Times New Roman"/>
          <w:sz w:val="20"/>
          <w:szCs w:val="20"/>
        </w:rPr>
        <w:t>ilford RJ, Pauker SG, Barunholtz DA, et al. Decision analysis and the implementation of research findings. BMJ 1998; 317: 405 – 409.</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M</w:t>
      </w:r>
      <w:r w:rsidR="007C3133" w:rsidRPr="00420387">
        <w:rPr>
          <w:rFonts w:ascii="Times New Roman" w:hAnsi="Times New Roman" w:cs="Times New Roman"/>
          <w:sz w:val="20"/>
          <w:szCs w:val="20"/>
        </w:rPr>
        <w:t>acDonald JS. Gastric cancer: New therapeutic options. N Engl J Med 2006; 355: 76–77.</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C</w:t>
      </w:r>
      <w:r w:rsidR="007C3133" w:rsidRPr="00420387">
        <w:rPr>
          <w:rFonts w:ascii="Times New Roman" w:hAnsi="Times New Roman" w:cs="Times New Roman"/>
          <w:sz w:val="20"/>
          <w:szCs w:val="20"/>
        </w:rPr>
        <w:t>unningham D, Allum WH, Stenning S, et al. Perioperative chemotherapy versus surgery alone for respectable gastroesophageal cancer. N Engl J Med 2006; 355:11–20.</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M</w:t>
      </w:r>
      <w:r w:rsidR="007C3133" w:rsidRPr="00420387">
        <w:rPr>
          <w:rFonts w:ascii="Times New Roman" w:hAnsi="Times New Roman" w:cs="Times New Roman"/>
          <w:sz w:val="20"/>
          <w:szCs w:val="20"/>
        </w:rPr>
        <w:t>acDonald JS, Smalley SR, Benedetti J, et al. Chemoradiotherapy after surgery compared with surgery alone for adenocarcinoma of the stomach or gastro-esophageal cancer. N Engl J Med 2001; 10: 725–730.</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T</w:t>
      </w:r>
      <w:r w:rsidR="007C3133" w:rsidRPr="00420387">
        <w:rPr>
          <w:rFonts w:ascii="Times New Roman" w:hAnsi="Times New Roman" w:cs="Times New Roman"/>
          <w:sz w:val="20"/>
          <w:szCs w:val="20"/>
        </w:rPr>
        <w:t>aremi M, Ringash J, Dawson LA: Upper abdominal malignancies: intensity-modulated radiation therapy. Front Radiat Ther Oncol 2007, 40:272–28</w:t>
      </w:r>
      <w:r w:rsidRPr="00420387">
        <w:rPr>
          <w:rFonts w:ascii="Times New Roman" w:hAnsi="Times New Roman" w:cs="Times New Roman"/>
          <w:sz w:val="20"/>
          <w:szCs w:val="20"/>
        </w:rPr>
        <w:t>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M</w:t>
      </w:r>
      <w:r w:rsidR="007C3133" w:rsidRPr="00420387">
        <w:rPr>
          <w:rFonts w:ascii="Times New Roman" w:hAnsi="Times New Roman" w:cs="Times New Roman"/>
          <w:sz w:val="20"/>
          <w:szCs w:val="20"/>
        </w:rPr>
        <w:t>ilano MT, Garofalo MC, Chmura SJ, et al. Intensity modulated radiation therapy in the treatment of gastric cancer: early clinical outcome and dosimetric comparison with conventional techniques. Br J Radiol 2006;79:497–503.</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R</w:t>
      </w:r>
      <w:r w:rsidR="007C3133" w:rsidRPr="00420387">
        <w:rPr>
          <w:rFonts w:ascii="Times New Roman" w:hAnsi="Times New Roman" w:cs="Times New Roman"/>
          <w:sz w:val="20"/>
          <w:szCs w:val="20"/>
        </w:rPr>
        <w:t>ingash J, Perkins G, Brierley J, et al. IMRT for adjuvant radiation in gastric cancer: a preferred plan? Int J Radiat Oncol Biol Phys 2005;63:732–8.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O</w:t>
      </w:r>
      <w:r w:rsidR="007C3133" w:rsidRPr="00420387">
        <w:rPr>
          <w:rFonts w:ascii="Times New Roman" w:hAnsi="Times New Roman" w:cs="Times New Roman"/>
          <w:sz w:val="20"/>
          <w:szCs w:val="20"/>
        </w:rPr>
        <w:t>tto K. Volumetric modulated arc therapy: IMRT in a single gantry arc. Med Phys. 2008;35(1):310–7.</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20387">
        <w:rPr>
          <w:rFonts w:ascii="Times New Roman" w:hAnsi="Times New Roman" w:cs="Times New Roman"/>
          <w:color w:val="000000"/>
          <w:sz w:val="20"/>
          <w:szCs w:val="20"/>
        </w:rPr>
        <w:t>W</w:t>
      </w:r>
      <w:r w:rsidR="007C3133" w:rsidRPr="00420387">
        <w:rPr>
          <w:rFonts w:ascii="Times New Roman" w:hAnsi="Times New Roman" w:cs="Times New Roman"/>
          <w:color w:val="000000"/>
          <w:sz w:val="20"/>
          <w:szCs w:val="20"/>
        </w:rPr>
        <w:t>olff D, Stieler F, Welzel G, et al. Volumetric modulated arc therapy (VMAT) vs</w:t>
      </w:r>
      <w:r w:rsidRPr="00420387">
        <w:rPr>
          <w:rFonts w:ascii="Times New Roman" w:hAnsi="Times New Roman" w:cs="Times New Roman"/>
          <w:color w:val="000000"/>
          <w:sz w:val="20"/>
          <w:szCs w:val="20"/>
        </w:rPr>
        <w:t>. s</w:t>
      </w:r>
      <w:r w:rsidR="007C3133" w:rsidRPr="00420387">
        <w:rPr>
          <w:rFonts w:ascii="Times New Roman" w:hAnsi="Times New Roman" w:cs="Times New Roman"/>
          <w:color w:val="000000"/>
          <w:sz w:val="20"/>
          <w:szCs w:val="20"/>
        </w:rPr>
        <w:t xml:space="preserve">erial tomotherapy, step-and-shoot IMRT and 3D-conformal RT for treatment of prostate cancer. Radiother Oncol,2009, 93(2):226–233. </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color w:val="2C5CFB"/>
          <w:sz w:val="20"/>
          <w:szCs w:val="20"/>
        </w:rPr>
      </w:pPr>
      <w:r w:rsidRPr="00420387">
        <w:rPr>
          <w:rFonts w:ascii="Times New Roman" w:hAnsi="Times New Roman" w:cs="Times New Roman"/>
          <w:color w:val="000000"/>
          <w:sz w:val="20"/>
          <w:szCs w:val="20"/>
        </w:rPr>
        <w:t>W</w:t>
      </w:r>
      <w:r w:rsidR="007C3133" w:rsidRPr="00420387">
        <w:rPr>
          <w:rFonts w:ascii="Times New Roman" w:hAnsi="Times New Roman" w:cs="Times New Roman"/>
          <w:color w:val="000000"/>
          <w:sz w:val="20"/>
          <w:szCs w:val="20"/>
        </w:rPr>
        <w:t>agner D, Christiansen H, Wolff H, et al. Radiotherapy of malignant gliomas</w:t>
      </w:r>
      <w:r w:rsidRPr="00420387">
        <w:rPr>
          <w:rFonts w:ascii="Times New Roman" w:hAnsi="Times New Roman" w:cs="Times New Roman"/>
          <w:color w:val="000000"/>
          <w:sz w:val="20"/>
          <w:szCs w:val="20"/>
        </w:rPr>
        <w:t>: C</w:t>
      </w:r>
      <w:r w:rsidR="007C3133" w:rsidRPr="00420387">
        <w:rPr>
          <w:rFonts w:ascii="Times New Roman" w:hAnsi="Times New Roman" w:cs="Times New Roman"/>
          <w:color w:val="000000"/>
          <w:sz w:val="20"/>
          <w:szCs w:val="20"/>
        </w:rPr>
        <w:t>omparison of volumetric single arc techniqu</w:t>
      </w:r>
      <w:r w:rsidR="003C226A" w:rsidRPr="00420387">
        <w:rPr>
          <w:rFonts w:ascii="Times New Roman" w:hAnsi="Times New Roman" w:cs="Times New Roman"/>
          <w:color w:val="000000"/>
          <w:sz w:val="20"/>
          <w:szCs w:val="20"/>
        </w:rPr>
        <w:t>e (</w:t>
      </w:r>
      <w:r w:rsidR="007C3133" w:rsidRPr="00420387">
        <w:rPr>
          <w:rFonts w:ascii="Times New Roman" w:hAnsi="Times New Roman" w:cs="Times New Roman"/>
          <w:color w:val="000000"/>
          <w:sz w:val="20"/>
          <w:szCs w:val="20"/>
        </w:rPr>
        <w:t>RapidArc)</w:t>
      </w:r>
      <w:r w:rsidRPr="00420387">
        <w:rPr>
          <w:rFonts w:ascii="Times New Roman" w:hAnsi="Times New Roman" w:cs="Times New Roman"/>
          <w:color w:val="000000"/>
          <w:sz w:val="20"/>
          <w:szCs w:val="20"/>
        </w:rPr>
        <w:t>, d</w:t>
      </w:r>
      <w:r w:rsidR="007C3133" w:rsidRPr="00420387">
        <w:rPr>
          <w:rFonts w:ascii="Times New Roman" w:hAnsi="Times New Roman" w:cs="Times New Roman"/>
          <w:color w:val="000000"/>
          <w:sz w:val="20"/>
          <w:szCs w:val="20"/>
        </w:rPr>
        <w:t>ynamic intensity-modulated technique and 3D conformal technique.</w:t>
      </w:r>
      <w:r w:rsidRPr="00420387">
        <w:rPr>
          <w:rFonts w:ascii="Times New Roman" w:hAnsi="Times New Roman" w:cs="Times New Roman" w:hint="eastAsia"/>
          <w:color w:val="000000"/>
          <w:sz w:val="20"/>
          <w:szCs w:val="20"/>
          <w:lang w:eastAsia="zh-CN"/>
        </w:rPr>
        <w:t xml:space="preserve"> </w:t>
      </w:r>
      <w:r w:rsidR="007C3133" w:rsidRPr="00420387">
        <w:rPr>
          <w:rFonts w:ascii="Times New Roman" w:hAnsi="Times New Roman" w:cs="Times New Roman"/>
          <w:color w:val="000000"/>
          <w:sz w:val="20"/>
          <w:szCs w:val="20"/>
        </w:rPr>
        <w:t xml:space="preserve">Radiother Oncol,2009, 93(3):593–596. </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20387">
        <w:rPr>
          <w:rFonts w:ascii="Times New Roman" w:hAnsi="Times New Roman" w:cs="Times New Roman"/>
          <w:color w:val="000000"/>
          <w:sz w:val="20"/>
          <w:szCs w:val="20"/>
        </w:rPr>
        <w:lastRenderedPageBreak/>
        <w:t>B</w:t>
      </w:r>
      <w:r w:rsidR="007C3133" w:rsidRPr="00420387">
        <w:rPr>
          <w:rFonts w:ascii="Times New Roman" w:hAnsi="Times New Roman" w:cs="Times New Roman"/>
          <w:color w:val="000000"/>
          <w:sz w:val="20"/>
          <w:szCs w:val="20"/>
        </w:rPr>
        <w:t>ertelsen A, Hansen CR, Johansen J, et al. Single Arc Volumetric Modulated Arc Therapy of head</w:t>
      </w:r>
      <w:r w:rsidRPr="00420387">
        <w:rPr>
          <w:rFonts w:ascii="Times New Roman" w:hAnsi="Times New Roman" w:cs="Times New Roman" w:hint="eastAsia"/>
          <w:color w:val="000000"/>
          <w:sz w:val="20"/>
          <w:szCs w:val="20"/>
          <w:lang w:eastAsia="zh-CN"/>
        </w:rPr>
        <w:t xml:space="preserve"> </w:t>
      </w:r>
      <w:r w:rsidR="007C3133" w:rsidRPr="00420387">
        <w:rPr>
          <w:rFonts w:ascii="Times New Roman" w:hAnsi="Times New Roman" w:cs="Times New Roman"/>
          <w:color w:val="000000"/>
          <w:sz w:val="20"/>
          <w:szCs w:val="20"/>
        </w:rPr>
        <w:t>and neck cancer</w:t>
      </w:r>
      <w:r w:rsidRPr="00420387">
        <w:rPr>
          <w:rFonts w:ascii="Times New Roman" w:hAnsi="Times New Roman" w:cs="Times New Roman"/>
          <w:color w:val="000000"/>
          <w:sz w:val="20"/>
          <w:szCs w:val="20"/>
        </w:rPr>
        <w:t>. R</w:t>
      </w:r>
      <w:r w:rsidR="007C3133" w:rsidRPr="00420387">
        <w:rPr>
          <w:rFonts w:ascii="Times New Roman" w:hAnsi="Times New Roman" w:cs="Times New Roman"/>
          <w:color w:val="000000"/>
          <w:sz w:val="20"/>
          <w:szCs w:val="20"/>
        </w:rPr>
        <w:t>adiother Oncol,2010, 95(2):142–148.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W</w:t>
      </w:r>
      <w:r w:rsidR="007C3133" w:rsidRPr="00420387">
        <w:rPr>
          <w:rFonts w:ascii="Times New Roman" w:hAnsi="Times New Roman" w:cs="Times New Roman"/>
          <w:sz w:val="20"/>
          <w:szCs w:val="20"/>
        </w:rPr>
        <w:t>ang X, Li G, Zhang Y, et al. Single-arc volumetric modulated arc therapy (sVMAT) as adjuvant treatment for gastric cancer: Dosimetric comparisons with three-dimensional conformal radiotherapy</w:t>
      </w:r>
      <w:r w:rsidRPr="00420387">
        <w:rPr>
          <w:rFonts w:ascii="Times New Roman" w:hAnsi="Times New Roman" w:cs="Times New Roman" w:hint="eastAsia"/>
          <w:sz w:val="20"/>
          <w:szCs w:val="20"/>
          <w:lang w:eastAsia="zh-CN"/>
        </w:rPr>
        <w:t xml:space="preserve"> </w:t>
      </w:r>
      <w:r w:rsidR="007C3133" w:rsidRPr="00420387">
        <w:rPr>
          <w:rFonts w:ascii="Times New Roman" w:hAnsi="Times New Roman" w:cs="Times New Roman"/>
          <w:sz w:val="20"/>
          <w:szCs w:val="20"/>
        </w:rPr>
        <w:t>(3D-CRT) and intensity-modulated radiotherapy (IMRT). Med Dosim.2013;38(4):395–400.</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E</w:t>
      </w:r>
      <w:r w:rsidR="007C3133" w:rsidRPr="00420387">
        <w:rPr>
          <w:rFonts w:ascii="Times New Roman" w:hAnsi="Times New Roman" w:cs="Times New Roman"/>
          <w:sz w:val="20"/>
          <w:szCs w:val="20"/>
        </w:rPr>
        <w:t>gner JR. AJCC cancer staging manual. JAMA. 2010;304(15):1726–7.</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C</w:t>
      </w:r>
      <w:r w:rsidR="007C3133" w:rsidRPr="00420387">
        <w:rPr>
          <w:rFonts w:ascii="Times New Roman" w:hAnsi="Times New Roman" w:cs="Times New Roman"/>
          <w:sz w:val="20"/>
          <w:szCs w:val="20"/>
        </w:rPr>
        <w:t>havaudra J, Bridier A. Definition of volumes in external radiotherapy: ICRU reports 50 and 62. Cancer Radiother. 2001;5(5):472–8.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W</w:t>
      </w:r>
      <w:r w:rsidR="007C3133" w:rsidRPr="00420387">
        <w:rPr>
          <w:rFonts w:ascii="Times New Roman" w:hAnsi="Times New Roman" w:cs="Times New Roman"/>
          <w:sz w:val="20"/>
          <w:szCs w:val="20"/>
        </w:rPr>
        <w:t>ieland P, Dobler B, Mai S, et al. IMRT for postoperative treatment of gastric cancer: Covering large target volumes in the upper abdomen: A comparison of a step-and-shoot and an arc therapy approach. Int J Radiat Oncol Biol Phys 2004;59:1236–1244.</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H</w:t>
      </w:r>
      <w:r w:rsidR="007C3133" w:rsidRPr="00420387">
        <w:rPr>
          <w:rFonts w:ascii="Times New Roman" w:hAnsi="Times New Roman" w:cs="Times New Roman"/>
          <w:sz w:val="20"/>
          <w:szCs w:val="20"/>
        </w:rPr>
        <w:t>ants T. Chung, Brian Lee, et al. Can all centers plan intensity – modulated radiotherapy (IMRT) effectively? An external audit of dosimetric comparisons between three-dimensional radiotherapy and IMRT for adjuvant chemo radiation for gastric cancer. Int. J. Radiation Oncology Biol. Phys., Vol. 71, No. 4, pp. 1167–1174, 2008.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S</w:t>
      </w:r>
      <w:r w:rsidR="007C3133" w:rsidRPr="00420387">
        <w:rPr>
          <w:rFonts w:ascii="Times New Roman" w:hAnsi="Times New Roman" w:cs="Times New Roman"/>
          <w:sz w:val="20"/>
          <w:szCs w:val="20"/>
        </w:rPr>
        <w:t>malley SR, Gunderson L, Tepper J, et al. Gastric surgical adjuvant radiotherapy consensus report: rationale and treatment implementation. Int J Radiat Oncol Biol Phys 2002;52:283–93.</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T</w:t>
      </w:r>
      <w:r w:rsidR="007C3133" w:rsidRPr="00420387">
        <w:rPr>
          <w:rFonts w:ascii="Times New Roman" w:hAnsi="Times New Roman" w:cs="Times New Roman"/>
          <w:sz w:val="20"/>
          <w:szCs w:val="20"/>
        </w:rPr>
        <w:t>epper JE, Gunderson LL. Radiation treatment parameters in the adjuvant postoperative therapy of gastric cancer. Semin Radiat Oncol 2002; 12:187–95.</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W</w:t>
      </w:r>
      <w:r w:rsidR="007C3133" w:rsidRPr="00420387">
        <w:rPr>
          <w:rFonts w:ascii="Times New Roman" w:hAnsi="Times New Roman" w:cs="Times New Roman"/>
          <w:sz w:val="20"/>
          <w:szCs w:val="20"/>
        </w:rPr>
        <w:t>illiams PC, Hounsell AR. X-ray linkage considerations fo</w:t>
      </w:r>
      <w:r w:rsidR="00755C23" w:rsidRPr="00420387">
        <w:rPr>
          <w:rFonts w:ascii="Times New Roman" w:hAnsi="Times New Roman" w:cs="Times New Roman"/>
          <w:sz w:val="20"/>
          <w:szCs w:val="20"/>
        </w:rPr>
        <w:t>r I</w:t>
      </w:r>
      <w:r w:rsidR="007C3133" w:rsidRPr="00420387">
        <w:rPr>
          <w:rFonts w:ascii="Times New Roman" w:hAnsi="Times New Roman" w:cs="Times New Roman"/>
          <w:sz w:val="20"/>
          <w:szCs w:val="20"/>
        </w:rPr>
        <w:t xml:space="preserve">MRT. </w:t>
      </w:r>
      <w:r w:rsidR="007C3133" w:rsidRPr="00420387">
        <w:rPr>
          <w:rFonts w:ascii="Times New Roman" w:hAnsi="Times New Roman" w:cs="Times New Roman"/>
          <w:i/>
          <w:iCs/>
          <w:sz w:val="20"/>
          <w:szCs w:val="20"/>
        </w:rPr>
        <w:t xml:space="preserve">Br J Radiol </w:t>
      </w:r>
      <w:r w:rsidR="007C3133" w:rsidRPr="00420387">
        <w:rPr>
          <w:rFonts w:ascii="Times New Roman" w:hAnsi="Times New Roman" w:cs="Times New Roman"/>
          <w:sz w:val="20"/>
          <w:szCs w:val="20"/>
        </w:rPr>
        <w:t>2001;</w:t>
      </w:r>
      <w:r w:rsidR="007C3133" w:rsidRPr="00420387">
        <w:rPr>
          <w:rFonts w:ascii="Times New Roman" w:hAnsi="Times New Roman" w:cs="Times New Roman"/>
          <w:bCs/>
          <w:sz w:val="20"/>
          <w:szCs w:val="20"/>
        </w:rPr>
        <w:t>74</w:t>
      </w:r>
      <w:r w:rsidR="007C3133" w:rsidRPr="00420387">
        <w:rPr>
          <w:rFonts w:ascii="Times New Roman" w:hAnsi="Times New Roman" w:cs="Times New Roman"/>
          <w:sz w:val="20"/>
          <w:szCs w:val="20"/>
        </w:rPr>
        <w:t>:98–100.</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H</w:t>
      </w:r>
      <w:r w:rsidR="007C3133" w:rsidRPr="00420387">
        <w:rPr>
          <w:rFonts w:ascii="Times New Roman" w:hAnsi="Times New Roman" w:cs="Times New Roman"/>
          <w:sz w:val="20"/>
          <w:szCs w:val="20"/>
        </w:rPr>
        <w:t xml:space="preserve">all EJ, Wuu CS. Radiation induced second cancers: theimpact of 3D-CRT and IMRT. </w:t>
      </w:r>
      <w:r w:rsidR="007C3133" w:rsidRPr="00420387">
        <w:rPr>
          <w:rFonts w:ascii="Times New Roman" w:hAnsi="Times New Roman" w:cs="Times New Roman"/>
          <w:i/>
          <w:iCs/>
          <w:sz w:val="20"/>
          <w:szCs w:val="20"/>
        </w:rPr>
        <w:t>Int J Radiat Oncol Biol Phys</w:t>
      </w:r>
      <w:r w:rsidR="007C3133" w:rsidRPr="00420387">
        <w:rPr>
          <w:rFonts w:ascii="Times New Roman" w:hAnsi="Times New Roman" w:cs="Times New Roman"/>
          <w:sz w:val="20"/>
          <w:szCs w:val="20"/>
        </w:rPr>
        <w:t>2003;</w:t>
      </w:r>
      <w:r w:rsidR="007C3133" w:rsidRPr="00420387">
        <w:rPr>
          <w:rFonts w:ascii="Times New Roman" w:hAnsi="Times New Roman" w:cs="Times New Roman"/>
          <w:bCs/>
          <w:sz w:val="20"/>
          <w:szCs w:val="20"/>
        </w:rPr>
        <w:t>56</w:t>
      </w:r>
      <w:r w:rsidR="007C3133" w:rsidRPr="00420387">
        <w:rPr>
          <w:rFonts w:ascii="Times New Roman" w:hAnsi="Times New Roman" w:cs="Times New Roman"/>
          <w:sz w:val="20"/>
          <w:szCs w:val="20"/>
        </w:rPr>
        <w:t>:83–8.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W</w:t>
      </w:r>
      <w:r w:rsidR="007C3133" w:rsidRPr="00420387">
        <w:rPr>
          <w:rFonts w:ascii="Times New Roman" w:hAnsi="Times New Roman" w:cs="Times New Roman"/>
          <w:sz w:val="20"/>
          <w:szCs w:val="20"/>
        </w:rPr>
        <w:t xml:space="preserve">ang Jian Z, Allen Li, D’Souza et al. Impact of prolonged fraction delivery times on tumor control: a note of caution for intensity modulated radiation therapy (IMRT). </w:t>
      </w:r>
      <w:r w:rsidR="007C3133" w:rsidRPr="00420387">
        <w:rPr>
          <w:rFonts w:ascii="Times New Roman" w:hAnsi="Times New Roman" w:cs="Times New Roman"/>
          <w:i/>
          <w:iCs/>
          <w:sz w:val="20"/>
          <w:szCs w:val="20"/>
        </w:rPr>
        <w:t xml:space="preserve">Int J Radiat Oncol Biol Phys </w:t>
      </w:r>
      <w:r w:rsidR="007C3133" w:rsidRPr="00420387">
        <w:rPr>
          <w:rFonts w:ascii="Times New Roman" w:hAnsi="Times New Roman" w:cs="Times New Roman"/>
          <w:sz w:val="20"/>
          <w:szCs w:val="20"/>
        </w:rPr>
        <w:t>2003;57:543–52.</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V</w:t>
      </w:r>
      <w:r w:rsidR="007C3133" w:rsidRPr="00420387">
        <w:rPr>
          <w:rFonts w:ascii="Times New Roman" w:hAnsi="Times New Roman" w:cs="Times New Roman"/>
          <w:sz w:val="20"/>
          <w:szCs w:val="20"/>
        </w:rPr>
        <w:t>erbakel WF, Cuijpers JP, Hoffmans D, et al. Volumetric intensity- modulated arc therapy vs. conventional IMRT in head-and neck cancer: A comparative planning and dosimetric study. Int J</w:t>
      </w:r>
      <w:r w:rsidRPr="00420387">
        <w:rPr>
          <w:rFonts w:ascii="Times New Roman" w:hAnsi="Times New Roman" w:cs="Times New Roman" w:hint="eastAsia"/>
          <w:sz w:val="20"/>
          <w:szCs w:val="20"/>
          <w:lang w:eastAsia="zh-CN"/>
        </w:rPr>
        <w:t xml:space="preserve"> </w:t>
      </w:r>
      <w:r w:rsidR="007C3133" w:rsidRPr="00420387">
        <w:rPr>
          <w:rFonts w:ascii="Times New Roman" w:hAnsi="Times New Roman" w:cs="Times New Roman"/>
          <w:sz w:val="20"/>
          <w:szCs w:val="20"/>
        </w:rPr>
        <w:t>Radiat Oncol Biol Phys 2009;74:252–259.</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L</w:t>
      </w:r>
      <w:r w:rsidR="007C3133" w:rsidRPr="00420387">
        <w:rPr>
          <w:rFonts w:ascii="Times New Roman" w:hAnsi="Times New Roman" w:cs="Times New Roman"/>
          <w:sz w:val="20"/>
          <w:szCs w:val="20"/>
        </w:rPr>
        <w:t xml:space="preserve">agerwaard FJ, Meijer OW, van der Hoorn EA, et al. Volumetric modulated arc radiotherapy for </w:t>
      </w:r>
      <w:r w:rsidR="007C3133" w:rsidRPr="00420387">
        <w:rPr>
          <w:rFonts w:ascii="Times New Roman" w:hAnsi="Times New Roman" w:cs="Times New Roman"/>
          <w:sz w:val="20"/>
          <w:szCs w:val="20"/>
        </w:rPr>
        <w:lastRenderedPageBreak/>
        <w:t>vestibular schwannomas. Int J Radiat Oncol Biol Phys 2009;74:610–615.</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K</w:t>
      </w:r>
      <w:r w:rsidR="007C3133" w:rsidRPr="00420387">
        <w:rPr>
          <w:rFonts w:ascii="Times New Roman" w:hAnsi="Times New Roman" w:cs="Times New Roman"/>
          <w:sz w:val="20"/>
          <w:szCs w:val="20"/>
        </w:rPr>
        <w:t>jaer-Kristoffersen F, Ohlhues L, Medin J, et al. RapidArc volumetric modulated therapy planning for prostate cancer patients. Acta Oncol 2009;48:227–232.</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K</w:t>
      </w:r>
      <w:r w:rsidR="007C3133" w:rsidRPr="00420387">
        <w:rPr>
          <w:rFonts w:ascii="Times New Roman" w:hAnsi="Times New Roman" w:cs="Times New Roman"/>
          <w:sz w:val="20"/>
          <w:szCs w:val="20"/>
        </w:rPr>
        <w:t>orreman S, Medin J, Kjaer-Kristoffersen F. Dosimetric verification of RapidArc treatment delivery. Acta Oncol 2009;48:185–191.</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P</w:t>
      </w:r>
      <w:r w:rsidR="007C3133" w:rsidRPr="00420387">
        <w:rPr>
          <w:rFonts w:ascii="Times New Roman" w:hAnsi="Times New Roman" w:cs="Times New Roman"/>
          <w:sz w:val="20"/>
          <w:szCs w:val="20"/>
        </w:rPr>
        <w:t>alma D, Vollans E, James K, et al. Volumetric modulated arc therapy for delivery of prostate radiotherapy: comparison with intensity-modulated radiotherapy and three-dimensional conformal radiotherapy. Int J Radiat Oncol Biol Phys. 2008;72(4):996–1001.</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B</w:t>
      </w:r>
      <w:r w:rsidR="007C3133" w:rsidRPr="00420387">
        <w:rPr>
          <w:rFonts w:ascii="Times New Roman" w:hAnsi="Times New Roman" w:cs="Times New Roman"/>
          <w:sz w:val="20"/>
          <w:szCs w:val="20"/>
        </w:rPr>
        <w:t>ree I, van Hinsberg MG, van Veelen LR. High-dose radiotherapy in inoperable nonsmall cell lung cancer: comparison of volumetric modulated arc therapy, dynamic IMRT and 3D conformal radiotherapy. Med Dosim. 2012;37(4):353–7.</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color w:val="000000"/>
          <w:sz w:val="20"/>
          <w:szCs w:val="20"/>
        </w:rPr>
        <w:t>L</w:t>
      </w:r>
      <w:r w:rsidR="007C3133" w:rsidRPr="00420387">
        <w:rPr>
          <w:rFonts w:ascii="Times New Roman" w:hAnsi="Times New Roman" w:cs="Times New Roman"/>
          <w:color w:val="000000"/>
          <w:sz w:val="20"/>
          <w:szCs w:val="20"/>
        </w:rPr>
        <w:t>iu GF, Bair RJ, Bair E, et al. Clinical outcomes for gastric cancer following adjuvant chemoradiation utilizing intensity modulated versus three</w:t>
      </w:r>
      <w:r w:rsidR="007C3133" w:rsidRPr="00420387">
        <w:rPr>
          <w:rFonts w:ascii="Times New Roman" w:hAnsi="Times New Roman" w:cs="Times New Roman"/>
          <w:color w:val="000000"/>
          <w:sz w:val="20"/>
          <w:szCs w:val="20"/>
        </w:rPr>
        <w:noBreakHyphen/>
        <w:t>dimensional conformal radio</w:t>
      </w:r>
      <w:r w:rsidR="007C3133" w:rsidRPr="00420387">
        <w:rPr>
          <w:rFonts w:ascii="Times New Roman" w:hAnsi="Times New Roman" w:cs="Times New Roman"/>
          <w:color w:val="000000"/>
          <w:sz w:val="20"/>
          <w:szCs w:val="20"/>
        </w:rPr>
        <w:softHyphen/>
        <w:t>therapy. PLoS One 9: e82642, 2014.</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W</w:t>
      </w:r>
      <w:r w:rsidR="007C3133" w:rsidRPr="00420387">
        <w:rPr>
          <w:rFonts w:ascii="Times New Roman" w:hAnsi="Times New Roman" w:cs="Times New Roman"/>
          <w:sz w:val="20"/>
          <w:szCs w:val="20"/>
        </w:rPr>
        <w:t>eigang Hu, Jiazhou Wang, Guichao Li</w:t>
      </w:r>
      <w:r w:rsidRPr="00420387">
        <w:rPr>
          <w:rFonts w:ascii="Times New Roman" w:hAnsi="Times New Roman" w:cs="Times New Roman"/>
          <w:sz w:val="20"/>
          <w:szCs w:val="20"/>
        </w:rPr>
        <w:t>, e</w:t>
      </w:r>
      <w:r w:rsidR="007C3133" w:rsidRPr="00420387">
        <w:rPr>
          <w:rFonts w:ascii="Times New Roman" w:hAnsi="Times New Roman" w:cs="Times New Roman"/>
          <w:sz w:val="20"/>
          <w:szCs w:val="20"/>
        </w:rPr>
        <w:t xml:space="preserve">t al; Investigation of plan quality between RapidArc </w:t>
      </w:r>
      <w:r w:rsidR="007C3133" w:rsidRPr="00420387">
        <w:rPr>
          <w:rFonts w:ascii="Times New Roman" w:hAnsi="Times New Roman" w:cs="Times New Roman"/>
          <w:sz w:val="20"/>
          <w:szCs w:val="20"/>
        </w:rPr>
        <w:lastRenderedPageBreak/>
        <w:t>and IMRT for gastric cancer based on a novel beam angle and multicriteria optimization technique; Radiotherapy</w:t>
      </w:r>
      <w:r w:rsidR="003C226A" w:rsidRPr="00420387">
        <w:rPr>
          <w:rFonts w:ascii="Times New Roman" w:hAnsi="Times New Roman" w:cs="Times New Roman"/>
          <w:sz w:val="20"/>
          <w:szCs w:val="20"/>
        </w:rPr>
        <w:t xml:space="preserve"> &amp; </w:t>
      </w:r>
      <w:r w:rsidR="007C3133" w:rsidRPr="00420387">
        <w:rPr>
          <w:rFonts w:ascii="Times New Roman" w:hAnsi="Times New Roman" w:cs="Times New Roman"/>
          <w:sz w:val="20"/>
          <w:szCs w:val="20"/>
        </w:rPr>
        <w:t>Oncology</w:t>
      </w:r>
      <w:r w:rsidRPr="00420387">
        <w:rPr>
          <w:rFonts w:ascii="Times New Roman" w:hAnsi="Times New Roman" w:cs="Times New Roman"/>
          <w:sz w:val="20"/>
          <w:szCs w:val="20"/>
        </w:rPr>
        <w:t>, V</w:t>
      </w:r>
      <w:r w:rsidR="007C3133" w:rsidRPr="00420387">
        <w:rPr>
          <w:rFonts w:ascii="Times New Roman" w:hAnsi="Times New Roman" w:cs="Times New Roman"/>
          <w:sz w:val="20"/>
          <w:szCs w:val="20"/>
        </w:rPr>
        <w:t>olume 111, Issue 1, Pages 144–147,201</w:t>
      </w:r>
      <w:r w:rsidRPr="00420387">
        <w:rPr>
          <w:rFonts w:ascii="Times New Roman" w:hAnsi="Times New Roman" w:cs="Times New Roman"/>
          <w:sz w:val="20"/>
          <w:szCs w:val="20"/>
        </w:rPr>
        <w:t>4.</w:t>
      </w:r>
    </w:p>
    <w:p w:rsidR="001C2D6D" w:rsidRPr="00420387" w:rsidRDefault="001C2D6D" w:rsidP="001C2D6D">
      <w:pPr>
        <w:pStyle w:val="ListParagraph"/>
        <w:numPr>
          <w:ilvl w:val="1"/>
          <w:numId w:val="2"/>
        </w:numPr>
        <w:shd w:val="clear" w:color="auto" w:fill="FFFFFF"/>
        <w:snapToGrid w:val="0"/>
        <w:spacing w:after="0" w:line="240" w:lineRule="auto"/>
        <w:ind w:left="425" w:hanging="425"/>
        <w:jc w:val="both"/>
        <w:outlineLvl w:val="0"/>
        <w:rPr>
          <w:rFonts w:ascii="Times New Roman" w:hAnsi="Times New Roman" w:cs="Times New Roman"/>
          <w:sz w:val="20"/>
          <w:szCs w:val="20"/>
          <w:shd w:val="clear" w:color="auto" w:fill="FFFFFF"/>
        </w:rPr>
      </w:pPr>
      <w:r w:rsidRPr="00420387">
        <w:rPr>
          <w:rFonts w:ascii="Times New Roman" w:hAnsi="Times New Roman" w:cs="Times New Roman"/>
          <w:sz w:val="20"/>
          <w:szCs w:val="20"/>
          <w:shd w:val="clear" w:color="auto" w:fill="FFFFFF"/>
        </w:rPr>
        <w:t>Z</w:t>
      </w:r>
      <w:r w:rsidR="007C3133" w:rsidRPr="00420387">
        <w:rPr>
          <w:rFonts w:ascii="Times New Roman" w:hAnsi="Times New Roman" w:cs="Times New Roman"/>
          <w:sz w:val="20"/>
          <w:szCs w:val="20"/>
          <w:shd w:val="clear" w:color="auto" w:fill="FFFFFF"/>
        </w:rPr>
        <w:t>hiping Li, Jianshuang Zeng, Zi Wang</w:t>
      </w:r>
      <w:r w:rsidRPr="00420387">
        <w:rPr>
          <w:rFonts w:ascii="Times New Roman" w:hAnsi="Times New Roman" w:cs="Times New Roman"/>
          <w:sz w:val="20"/>
          <w:szCs w:val="20"/>
          <w:shd w:val="clear" w:color="auto" w:fill="FFFFFF"/>
        </w:rPr>
        <w:t>, e</w:t>
      </w:r>
      <w:r w:rsidR="007C3133" w:rsidRPr="00420387">
        <w:rPr>
          <w:rFonts w:ascii="Times New Roman" w:hAnsi="Times New Roman" w:cs="Times New Roman"/>
          <w:sz w:val="20"/>
          <w:szCs w:val="20"/>
          <w:shd w:val="clear" w:color="auto" w:fill="FFFFFF"/>
        </w:rPr>
        <w:t>t al.</w:t>
      </w:r>
      <w:r w:rsidR="007C3133" w:rsidRPr="00420387">
        <w:rPr>
          <w:rFonts w:ascii="Times New Roman" w:hAnsi="Times New Roman" w:cs="Times New Roman"/>
          <w:sz w:val="20"/>
          <w:szCs w:val="20"/>
        </w:rPr>
        <w:t xml:space="preserve"> </w:t>
      </w:r>
      <w:r w:rsidR="007C3133" w:rsidRPr="00420387">
        <w:rPr>
          <w:rFonts w:ascii="Times New Roman" w:hAnsi="Times New Roman" w:cs="Times New Roman"/>
          <w:color w:val="000000"/>
          <w:sz w:val="20"/>
          <w:szCs w:val="20"/>
        </w:rPr>
        <w:t xml:space="preserve">Dosimetric comparison of intensity modulated and volumetric arc radiation therapy for gastric cancer </w:t>
      </w:r>
      <w:hyperlink r:id="rId17" w:history="1">
        <w:r w:rsidR="007C3133" w:rsidRPr="00420387">
          <w:rPr>
            <w:rStyle w:val="Hyperlink"/>
            <w:rFonts w:ascii="Times New Roman" w:hAnsi="Times New Roman" w:cs="Times New Roman"/>
            <w:sz w:val="20"/>
            <w:szCs w:val="20"/>
            <w:shd w:val="clear" w:color="auto" w:fill="FFFFFF"/>
          </w:rPr>
          <w:t>Oncol Lett</w:t>
        </w:r>
      </w:hyperlink>
      <w:r w:rsidR="007C3133" w:rsidRPr="00420387">
        <w:rPr>
          <w:rFonts w:ascii="Times New Roman" w:hAnsi="Times New Roman" w:cs="Times New Roman"/>
          <w:sz w:val="20"/>
          <w:szCs w:val="20"/>
          <w:shd w:val="clear" w:color="auto" w:fill="FFFFFF"/>
        </w:rPr>
        <w:t>. 2014 Oct; 8(4): 1427–1434.</w:t>
      </w:r>
    </w:p>
    <w:p w:rsidR="001C2D6D" w:rsidRPr="00420387" w:rsidRDefault="001C2D6D" w:rsidP="001C2D6D">
      <w:pPr>
        <w:pStyle w:val="ListParagraph"/>
        <w:numPr>
          <w:ilvl w:val="1"/>
          <w:numId w:val="2"/>
        </w:numPr>
        <w:snapToGrid w:val="0"/>
        <w:spacing w:after="0" w:line="240" w:lineRule="auto"/>
        <w:ind w:left="425" w:hanging="425"/>
        <w:jc w:val="both"/>
        <w:textAlignment w:val="baseline"/>
        <w:rPr>
          <w:rFonts w:ascii="Times New Roman" w:hAnsi="Times New Roman" w:cs="Times New Roman"/>
          <w:sz w:val="20"/>
          <w:szCs w:val="20"/>
        </w:rPr>
      </w:pPr>
      <w:r w:rsidRPr="00420387">
        <w:rPr>
          <w:rFonts w:ascii="Times New Roman" w:hAnsi="Times New Roman" w:cs="Times New Roman"/>
          <w:sz w:val="20"/>
          <w:szCs w:val="20"/>
        </w:rPr>
        <w:t>T</w:t>
      </w:r>
      <w:r w:rsidR="007C3133" w:rsidRPr="00420387">
        <w:rPr>
          <w:rFonts w:ascii="Times New Roman" w:hAnsi="Times New Roman" w:cs="Times New Roman"/>
          <w:sz w:val="20"/>
          <w:szCs w:val="20"/>
        </w:rPr>
        <w:t xml:space="preserve">ao Zhang; Zhi-Wen Liang; Jun Han; </w:t>
      </w:r>
      <w:r w:rsidR="00745B96" w:rsidRPr="00420387">
        <w:rPr>
          <w:rFonts w:ascii="Times New Roman" w:hAnsi="Times New Roman" w:cs="Times New Roman"/>
          <w:sz w:val="20"/>
          <w:szCs w:val="20"/>
        </w:rPr>
        <w:t>et al</w:t>
      </w:r>
      <w:r w:rsidR="007C3133" w:rsidRPr="00420387">
        <w:rPr>
          <w:rFonts w:ascii="Times New Roman" w:hAnsi="Times New Roman" w:cs="Times New Roman"/>
          <w:bCs/>
          <w:sz w:val="20"/>
          <w:szCs w:val="20"/>
        </w:rPr>
        <w:t xml:space="preserve">. </w:t>
      </w:r>
      <w:r w:rsidR="007C3133" w:rsidRPr="00420387">
        <w:rPr>
          <w:rFonts w:ascii="Times New Roman" w:hAnsi="Times New Roman" w:cs="Times New Roman"/>
          <w:sz w:val="20"/>
          <w:szCs w:val="20"/>
        </w:rPr>
        <w:t>Double-arc volumetric modulated therapy improves dose distribution compared to static gantry IMRT and 3D conformal radiotherapy for adjuvant therapy of gastric cancer. Radiation Oncology.2015, Vol. 10 Issue 1, p1-8. 8p.</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T</w:t>
      </w:r>
      <w:r w:rsidR="007C3133" w:rsidRPr="00420387">
        <w:rPr>
          <w:rFonts w:ascii="Times New Roman" w:hAnsi="Times New Roman" w:cs="Times New Roman"/>
          <w:sz w:val="20"/>
          <w:szCs w:val="20"/>
        </w:rPr>
        <w:t>aremi M, Ringash J, Dawson LA: Upper abdominal malignancies: intensity-modulated radiation therapy. Front Radiat Ther Oncol 2007, 40:272–288.</w:t>
      </w:r>
    </w:p>
    <w:p w:rsidR="001C2D6D"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S</w:t>
      </w:r>
      <w:r w:rsidR="007C3133" w:rsidRPr="00420387">
        <w:rPr>
          <w:rFonts w:ascii="Times New Roman" w:hAnsi="Times New Roman" w:cs="Times New Roman"/>
          <w:sz w:val="20"/>
          <w:szCs w:val="20"/>
        </w:rPr>
        <w:t>waminath A, Dawson LA: Image-guided radiotherapy strategies in upper gastrointestinal malignancies. Front Radiat Ther Oncol 2011, 43:315–330.</w:t>
      </w:r>
    </w:p>
    <w:p w:rsidR="007C3133" w:rsidRPr="00420387" w:rsidRDefault="001C2D6D" w:rsidP="001C2D6D">
      <w:pPr>
        <w:pStyle w:val="ListParagraph"/>
        <w:numPr>
          <w:ilvl w:val="1"/>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20387">
        <w:rPr>
          <w:rFonts w:ascii="Times New Roman" w:hAnsi="Times New Roman" w:cs="Times New Roman"/>
          <w:sz w:val="20"/>
          <w:szCs w:val="20"/>
        </w:rPr>
        <w:t>G</w:t>
      </w:r>
      <w:r w:rsidR="007C3133" w:rsidRPr="00420387">
        <w:rPr>
          <w:rFonts w:ascii="Times New Roman" w:hAnsi="Times New Roman" w:cs="Times New Roman"/>
          <w:sz w:val="20"/>
          <w:szCs w:val="20"/>
        </w:rPr>
        <w:t>wynne S, Wills L, Joseph G, et al: Respiratory movement of upper abdominal organs and its effect on radiotherapy planning in pancreatic cancer. Clin Oncol (R Coll Radiol) 2009, 21(9):713–719.</w:t>
      </w:r>
    </w:p>
    <w:p w:rsidR="001C2D6D" w:rsidRPr="00420387" w:rsidRDefault="001C2D6D" w:rsidP="001C2D6D">
      <w:pPr>
        <w:snapToGrid w:val="0"/>
        <w:spacing w:after="0" w:line="240" w:lineRule="auto"/>
        <w:ind w:left="425" w:hanging="425"/>
        <w:jc w:val="both"/>
        <w:rPr>
          <w:rFonts w:ascii="Times New Roman" w:hAnsi="Times New Roman" w:cs="Times New Roman"/>
          <w:b/>
          <w:bCs/>
          <w:sz w:val="20"/>
          <w:szCs w:val="20"/>
        </w:rPr>
        <w:sectPr w:rsidR="001C2D6D" w:rsidRPr="00420387" w:rsidSect="001C2D6D">
          <w:type w:val="continuous"/>
          <w:pgSz w:w="12240" w:h="15840" w:code="1"/>
          <w:pgMar w:top="1440" w:right="1440" w:bottom="1440" w:left="1440" w:header="720" w:footer="720" w:gutter="0"/>
          <w:cols w:num="2" w:space="550"/>
          <w:docGrid w:linePitch="360"/>
        </w:sectPr>
      </w:pPr>
    </w:p>
    <w:p w:rsidR="007C3133" w:rsidRPr="00420387" w:rsidRDefault="007C3133" w:rsidP="001C2D6D">
      <w:pPr>
        <w:snapToGrid w:val="0"/>
        <w:spacing w:after="0" w:line="240" w:lineRule="auto"/>
        <w:ind w:left="425" w:hanging="425"/>
        <w:jc w:val="both"/>
        <w:rPr>
          <w:rFonts w:ascii="Times New Roman" w:hAnsi="Times New Roman" w:cs="Times New Roman"/>
          <w:b/>
          <w:bCs/>
          <w:sz w:val="20"/>
          <w:szCs w:val="20"/>
        </w:rPr>
      </w:pPr>
    </w:p>
    <w:p w:rsidR="00ED545A" w:rsidRPr="00420387" w:rsidRDefault="00ED545A" w:rsidP="001C2D6D">
      <w:pPr>
        <w:snapToGrid w:val="0"/>
        <w:spacing w:after="0" w:line="240" w:lineRule="auto"/>
        <w:ind w:left="425" w:hanging="425"/>
        <w:jc w:val="both"/>
        <w:rPr>
          <w:rFonts w:ascii="Times New Roman" w:hAnsi="Times New Roman" w:cs="Times New Roman"/>
          <w:b/>
          <w:bCs/>
          <w:sz w:val="20"/>
          <w:szCs w:val="20"/>
        </w:rPr>
      </w:pPr>
    </w:p>
    <w:p w:rsidR="003C226A" w:rsidRPr="00420387" w:rsidRDefault="003C226A" w:rsidP="001C2D6D">
      <w:pPr>
        <w:snapToGrid w:val="0"/>
        <w:spacing w:after="0" w:line="240" w:lineRule="auto"/>
        <w:ind w:left="425" w:hanging="425"/>
        <w:jc w:val="both"/>
        <w:rPr>
          <w:rFonts w:ascii="Times New Roman" w:hAnsi="Times New Roman" w:cs="Times New Roman"/>
          <w:b/>
          <w:bCs/>
          <w:sz w:val="20"/>
          <w:szCs w:val="20"/>
        </w:rPr>
      </w:pPr>
    </w:p>
    <w:p w:rsidR="003A29B1" w:rsidRPr="00420387" w:rsidRDefault="003C226A" w:rsidP="001C2D6D">
      <w:pPr>
        <w:snapToGrid w:val="0"/>
        <w:spacing w:after="0" w:line="240" w:lineRule="auto"/>
        <w:ind w:left="425" w:hanging="425"/>
        <w:jc w:val="both"/>
        <w:rPr>
          <w:rFonts w:ascii="Times New Roman" w:hAnsi="Times New Roman" w:cs="Times New Roman"/>
          <w:bCs/>
          <w:sz w:val="20"/>
          <w:szCs w:val="20"/>
          <w:lang w:eastAsia="zh-CN"/>
        </w:rPr>
      </w:pPr>
      <w:r w:rsidRPr="00420387">
        <w:rPr>
          <w:rFonts w:ascii="Times New Roman" w:hAnsi="Times New Roman" w:cs="Times New Roman"/>
          <w:bCs/>
          <w:sz w:val="20"/>
          <w:szCs w:val="20"/>
        </w:rPr>
        <w:t>1</w:t>
      </w:r>
      <w:r w:rsidR="008E1495" w:rsidRPr="00420387">
        <w:rPr>
          <w:rFonts w:ascii="Times New Roman" w:hAnsi="Times New Roman" w:cs="Times New Roman" w:hint="eastAsia"/>
          <w:bCs/>
          <w:sz w:val="20"/>
          <w:szCs w:val="20"/>
          <w:lang w:eastAsia="zh-CN"/>
        </w:rPr>
        <w:t>2</w:t>
      </w:r>
      <w:r w:rsidRPr="00420387">
        <w:rPr>
          <w:rFonts w:ascii="Times New Roman" w:hAnsi="Times New Roman" w:cs="Times New Roman"/>
          <w:bCs/>
          <w:sz w:val="20"/>
          <w:szCs w:val="20"/>
        </w:rPr>
        <w:t>/</w:t>
      </w:r>
      <w:r w:rsidR="008E1495" w:rsidRPr="00420387">
        <w:rPr>
          <w:rFonts w:ascii="Times New Roman" w:hAnsi="Times New Roman" w:cs="Times New Roman" w:hint="eastAsia"/>
          <w:bCs/>
          <w:sz w:val="20"/>
          <w:szCs w:val="20"/>
          <w:lang w:eastAsia="zh-CN"/>
        </w:rPr>
        <w:t>25</w:t>
      </w:r>
      <w:r w:rsidRPr="00420387">
        <w:rPr>
          <w:rFonts w:ascii="Times New Roman" w:hAnsi="Times New Roman" w:cs="Times New Roman"/>
          <w:bCs/>
          <w:sz w:val="20"/>
          <w:szCs w:val="20"/>
        </w:rPr>
        <w:t>/201</w:t>
      </w:r>
      <w:r w:rsidR="008E1495" w:rsidRPr="00420387">
        <w:rPr>
          <w:rFonts w:ascii="Times New Roman" w:hAnsi="Times New Roman" w:cs="Times New Roman" w:hint="eastAsia"/>
          <w:bCs/>
          <w:sz w:val="20"/>
          <w:szCs w:val="20"/>
          <w:lang w:eastAsia="zh-CN"/>
        </w:rPr>
        <w:t>7</w:t>
      </w:r>
    </w:p>
    <w:sectPr w:rsidR="003A29B1" w:rsidRPr="00420387" w:rsidSect="003C226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65" w:rsidRDefault="007F5C65" w:rsidP="00E2631E">
      <w:pPr>
        <w:spacing w:after="0" w:line="240" w:lineRule="auto"/>
      </w:pPr>
      <w:r>
        <w:separator/>
      </w:r>
    </w:p>
  </w:endnote>
  <w:endnote w:type="continuationSeparator" w:id="0">
    <w:p w:rsidR="007F5C65" w:rsidRDefault="007F5C65" w:rsidP="00E26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JansonText LT">
    <w:altName w:val="JansonText L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95" w:rsidRPr="007944A6" w:rsidRDefault="00575CE2" w:rsidP="007944A6">
    <w:pPr>
      <w:spacing w:after="0" w:line="240" w:lineRule="auto"/>
      <w:jc w:val="center"/>
      <w:rPr>
        <w:rFonts w:ascii="Times New Roman" w:hAnsi="Times New Roman" w:cs="Times New Roman"/>
        <w:sz w:val="20"/>
      </w:rPr>
    </w:pPr>
    <w:r w:rsidRPr="007944A6">
      <w:rPr>
        <w:rFonts w:ascii="Times New Roman" w:hAnsi="Times New Roman" w:cs="Times New Roman"/>
        <w:sz w:val="20"/>
      </w:rPr>
      <w:fldChar w:fldCharType="begin"/>
    </w:r>
    <w:r w:rsidR="007944A6" w:rsidRPr="007944A6">
      <w:rPr>
        <w:rFonts w:ascii="Times New Roman" w:hAnsi="Times New Roman" w:cs="Times New Roman"/>
        <w:sz w:val="20"/>
      </w:rPr>
      <w:instrText xml:space="preserve"> page </w:instrText>
    </w:r>
    <w:r w:rsidRPr="007944A6">
      <w:rPr>
        <w:rFonts w:ascii="Times New Roman" w:hAnsi="Times New Roman" w:cs="Times New Roman"/>
        <w:sz w:val="20"/>
      </w:rPr>
      <w:fldChar w:fldCharType="separate"/>
    </w:r>
    <w:r w:rsidR="00493FE1">
      <w:rPr>
        <w:rFonts w:ascii="Times New Roman" w:hAnsi="Times New Roman" w:cs="Times New Roman"/>
        <w:noProof/>
        <w:sz w:val="20"/>
      </w:rPr>
      <w:t>57</w:t>
    </w:r>
    <w:r w:rsidRPr="007944A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65" w:rsidRDefault="007F5C65" w:rsidP="00E2631E">
      <w:pPr>
        <w:spacing w:after="0" w:line="240" w:lineRule="auto"/>
      </w:pPr>
      <w:r>
        <w:separator/>
      </w:r>
    </w:p>
  </w:footnote>
  <w:footnote w:type="continuationSeparator" w:id="0">
    <w:p w:rsidR="007F5C65" w:rsidRDefault="007F5C65" w:rsidP="00E26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A6" w:rsidRPr="007944A6" w:rsidRDefault="007944A6" w:rsidP="007944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44A6">
      <w:rPr>
        <w:rFonts w:ascii="Times New Roman" w:hAnsi="Times New Roman" w:cs="Times New Roman" w:hint="eastAsia"/>
        <w:iCs/>
        <w:color w:val="000000"/>
        <w:sz w:val="20"/>
      </w:rPr>
      <w:tab/>
    </w:r>
    <w:r w:rsidRPr="007944A6">
      <w:rPr>
        <w:rFonts w:ascii="Times New Roman" w:hAnsi="Times New Roman" w:cs="Times New Roman"/>
        <w:iCs/>
        <w:color w:val="000000"/>
        <w:sz w:val="20"/>
      </w:rPr>
      <w:t xml:space="preserve">Cancer Biology </w:t>
    </w:r>
    <w:r w:rsidRPr="007944A6">
      <w:rPr>
        <w:rFonts w:ascii="Times New Roman" w:hAnsi="Times New Roman" w:cs="Times New Roman"/>
        <w:iCs/>
        <w:sz w:val="20"/>
      </w:rPr>
      <w:t>201</w:t>
    </w:r>
    <w:r w:rsidRPr="007944A6">
      <w:rPr>
        <w:rFonts w:ascii="Times New Roman" w:hAnsi="Times New Roman" w:cs="Times New Roman" w:hint="eastAsia"/>
        <w:iCs/>
        <w:sz w:val="20"/>
      </w:rPr>
      <w:t>7</w:t>
    </w:r>
    <w:r w:rsidRPr="007944A6">
      <w:rPr>
        <w:rFonts w:ascii="Times New Roman" w:hAnsi="Times New Roman" w:cs="Times New Roman"/>
        <w:iCs/>
        <w:sz w:val="20"/>
      </w:rPr>
      <w:t>;</w:t>
    </w:r>
    <w:r w:rsidRPr="007944A6">
      <w:rPr>
        <w:rFonts w:ascii="Times New Roman" w:hAnsi="Times New Roman" w:cs="Times New Roman" w:hint="eastAsia"/>
        <w:iCs/>
        <w:sz w:val="20"/>
      </w:rPr>
      <w:t>7</w:t>
    </w:r>
    <w:r w:rsidRPr="007944A6">
      <w:rPr>
        <w:rFonts w:ascii="Times New Roman" w:hAnsi="Times New Roman" w:cs="Times New Roman"/>
        <w:iCs/>
        <w:sz w:val="20"/>
      </w:rPr>
      <w:t>(</w:t>
    </w:r>
    <w:r w:rsidRPr="007944A6">
      <w:rPr>
        <w:rFonts w:ascii="Times New Roman" w:hAnsi="Times New Roman" w:cs="Times New Roman" w:hint="eastAsia"/>
        <w:iCs/>
        <w:sz w:val="20"/>
      </w:rPr>
      <w:t>4</w:t>
    </w:r>
    <w:r w:rsidRPr="007944A6">
      <w:rPr>
        <w:rFonts w:ascii="Times New Roman" w:hAnsi="Times New Roman" w:cs="Times New Roman"/>
        <w:iCs/>
        <w:sz w:val="20"/>
      </w:rPr>
      <w:t xml:space="preserve">)  </w:t>
    </w:r>
    <w:r w:rsidRPr="007944A6">
      <w:rPr>
        <w:rFonts w:ascii="Times New Roman" w:hAnsi="Times New Roman" w:cs="Times New Roman" w:hint="eastAsia"/>
        <w:iCs/>
        <w:sz w:val="20"/>
      </w:rPr>
      <w:t xml:space="preserve">   </w:t>
    </w:r>
    <w:r w:rsidRPr="007944A6">
      <w:rPr>
        <w:rFonts w:ascii="Times New Roman" w:hAnsi="Times New Roman" w:cs="Times New Roman" w:hint="eastAsia"/>
        <w:iCs/>
        <w:sz w:val="20"/>
      </w:rPr>
      <w:tab/>
      <w:t xml:space="preserve">     </w:t>
    </w:r>
    <w:r w:rsidRPr="007944A6">
      <w:rPr>
        <w:rFonts w:ascii="Times New Roman" w:hAnsi="Times New Roman" w:cs="Times New Roman"/>
        <w:iCs/>
        <w:sz w:val="20"/>
      </w:rPr>
      <w:t xml:space="preserve"> </w:t>
    </w:r>
    <w:r w:rsidRPr="007944A6">
      <w:rPr>
        <w:rFonts w:ascii="Times New Roman" w:hAnsi="Times New Roman" w:cs="Times New Roman"/>
        <w:sz w:val="20"/>
      </w:rPr>
      <w:t xml:space="preserve">  </w:t>
    </w:r>
    <w:hyperlink r:id="rId1" w:history="1">
      <w:r w:rsidRPr="007944A6">
        <w:rPr>
          <w:rStyle w:val="Hyperlink"/>
          <w:rFonts w:ascii="Times New Roman" w:hAnsi="Times New Roman" w:cs="Times New Roman"/>
          <w:sz w:val="20"/>
        </w:rPr>
        <w:t>http://www.cancerbio.net</w:t>
      </w:r>
    </w:hyperlink>
  </w:p>
  <w:p w:rsidR="007944A6" w:rsidRPr="007944A6" w:rsidRDefault="007944A6" w:rsidP="007944A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5742B"/>
    <w:multiLevelType w:val="hybridMultilevel"/>
    <w:tmpl w:val="E9D06BEC"/>
    <w:lvl w:ilvl="0" w:tplc="0409000F">
      <w:start w:val="1"/>
      <w:numFmt w:val="decimal"/>
      <w:lvlText w:val="%1."/>
      <w:lvlJc w:val="left"/>
      <w:pPr>
        <w:ind w:left="420" w:hanging="420"/>
      </w:pPr>
    </w:lvl>
    <w:lvl w:ilvl="1" w:tplc="D1CAB370">
      <w:start w:val="1"/>
      <w:numFmt w:val="decimal"/>
      <w:lvlText w:val="%2."/>
      <w:lvlJc w:val="left"/>
      <w:pPr>
        <w:ind w:left="840" w:hanging="420"/>
      </w:pPr>
      <w:rPr>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375FF"/>
    <w:multiLevelType w:val="hybridMultilevel"/>
    <w:tmpl w:val="F95273B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E2631E"/>
    <w:rsid w:val="00041D2A"/>
    <w:rsid w:val="000707A9"/>
    <w:rsid w:val="00141C42"/>
    <w:rsid w:val="001A6C8B"/>
    <w:rsid w:val="001C2D6D"/>
    <w:rsid w:val="0023551D"/>
    <w:rsid w:val="0024032E"/>
    <w:rsid w:val="002E2C40"/>
    <w:rsid w:val="00361ECC"/>
    <w:rsid w:val="003A29B1"/>
    <w:rsid w:val="003C226A"/>
    <w:rsid w:val="004055C2"/>
    <w:rsid w:val="00420387"/>
    <w:rsid w:val="00423C14"/>
    <w:rsid w:val="00430500"/>
    <w:rsid w:val="004735EE"/>
    <w:rsid w:val="0049234A"/>
    <w:rsid w:val="00493FE1"/>
    <w:rsid w:val="004D0A06"/>
    <w:rsid w:val="004F3A91"/>
    <w:rsid w:val="00575CE2"/>
    <w:rsid w:val="006F4C0E"/>
    <w:rsid w:val="00745B96"/>
    <w:rsid w:val="00755C23"/>
    <w:rsid w:val="007944A6"/>
    <w:rsid w:val="007C3133"/>
    <w:rsid w:val="007F5C65"/>
    <w:rsid w:val="008E1495"/>
    <w:rsid w:val="00937CAA"/>
    <w:rsid w:val="00961D6D"/>
    <w:rsid w:val="00A2398F"/>
    <w:rsid w:val="00A54F17"/>
    <w:rsid w:val="00A65E06"/>
    <w:rsid w:val="00A95CCE"/>
    <w:rsid w:val="00B04213"/>
    <w:rsid w:val="00BC5840"/>
    <w:rsid w:val="00C507AD"/>
    <w:rsid w:val="00DB3C3D"/>
    <w:rsid w:val="00E11532"/>
    <w:rsid w:val="00E2631E"/>
    <w:rsid w:val="00EB1A88"/>
    <w:rsid w:val="00ED545A"/>
    <w:rsid w:val="00EF66B8"/>
    <w:rsid w:val="00F54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31E"/>
    <w:rPr>
      <w:color w:val="0000FF"/>
      <w:u w:val="single"/>
    </w:rPr>
  </w:style>
  <w:style w:type="paragraph" w:styleId="Header">
    <w:name w:val="header"/>
    <w:basedOn w:val="Normal"/>
    <w:link w:val="HeaderChar"/>
    <w:uiPriority w:val="99"/>
    <w:semiHidden/>
    <w:unhideWhenUsed/>
    <w:rsid w:val="00E263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31E"/>
  </w:style>
  <w:style w:type="paragraph" w:styleId="Footer">
    <w:name w:val="footer"/>
    <w:basedOn w:val="Normal"/>
    <w:link w:val="FooterChar"/>
    <w:uiPriority w:val="99"/>
    <w:semiHidden/>
    <w:unhideWhenUsed/>
    <w:rsid w:val="00E263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31E"/>
  </w:style>
  <w:style w:type="paragraph" w:styleId="ListParagraph">
    <w:name w:val="List Paragraph"/>
    <w:basedOn w:val="Normal"/>
    <w:qFormat/>
    <w:rsid w:val="004F3A91"/>
    <w:pPr>
      <w:ind w:left="720"/>
      <w:contextualSpacing/>
    </w:pPr>
    <w:rPr>
      <w:rFonts w:ascii="Calibri" w:eastAsia="Calibri" w:hAnsi="Calibri" w:cs="Arial"/>
    </w:rPr>
  </w:style>
  <w:style w:type="paragraph" w:styleId="NormalIndent">
    <w:name w:val="Normal Indent"/>
    <w:basedOn w:val="Normal"/>
    <w:uiPriority w:val="99"/>
    <w:rsid w:val="004F3A91"/>
    <w:pPr>
      <w:spacing w:after="0" w:line="480" w:lineRule="auto"/>
      <w:ind w:firstLine="720"/>
      <w:jc w:val="lowKashida"/>
    </w:pPr>
    <w:rPr>
      <w:rFonts w:ascii="Times New Roman" w:eastAsia="Times New Roman" w:hAnsi="Times New Roman" w:cs="Times New Roman"/>
      <w:sz w:val="28"/>
      <w:szCs w:val="28"/>
    </w:rPr>
  </w:style>
  <w:style w:type="character" w:customStyle="1" w:styleId="A6">
    <w:name w:val="A6"/>
    <w:uiPriority w:val="99"/>
    <w:rsid w:val="004F3A91"/>
    <w:rPr>
      <w:rFonts w:cs="JansonText LT"/>
      <w:color w:val="000000"/>
      <w:sz w:val="19"/>
      <w:szCs w:val="19"/>
    </w:rPr>
  </w:style>
  <w:style w:type="character" w:customStyle="1" w:styleId="A9">
    <w:name w:val="A9"/>
    <w:uiPriority w:val="99"/>
    <w:rsid w:val="007C3133"/>
    <w:rPr>
      <w:rFonts w:cs="Times"/>
      <w:color w:val="000000"/>
      <w:sz w:val="18"/>
      <w:szCs w:val="18"/>
    </w:rPr>
  </w:style>
  <w:style w:type="paragraph" w:styleId="BalloonText">
    <w:name w:val="Balloon Text"/>
    <w:basedOn w:val="Normal"/>
    <w:link w:val="BalloonTextChar"/>
    <w:uiPriority w:val="99"/>
    <w:semiHidden/>
    <w:unhideWhenUsed/>
    <w:rsid w:val="00492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4A"/>
    <w:rPr>
      <w:rFonts w:ascii="Tahoma" w:hAnsi="Tahoma" w:cs="Tahoma"/>
      <w:sz w:val="16"/>
      <w:szCs w:val="16"/>
    </w:rPr>
  </w:style>
  <w:style w:type="paragraph" w:styleId="NoSpacing">
    <w:name w:val="No Spacing"/>
    <w:basedOn w:val="Normal"/>
    <w:link w:val="NoSpacingChar"/>
    <w:qFormat/>
    <w:rsid w:val="008E1495"/>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8E1495"/>
    <w:rPr>
      <w:rFonts w:ascii="Times New Roman" w:eastAsia="宋体" w:hAnsi="Times New Roman" w:cs="Times New Roman"/>
      <w:sz w:val="24"/>
      <w:szCs w:val="24"/>
      <w:lang w:eastAsia="zh-CN"/>
    </w:rPr>
  </w:style>
  <w:style w:type="character" w:customStyle="1" w:styleId="msonormal0">
    <w:name w:val="msonormal0"/>
    <w:basedOn w:val="DefaultParagraphFont"/>
    <w:rsid w:val="008E14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m.mashhour.81@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mc/articles/PMC4156206/" TargetMode="External"/><Relationship Id="rId2" Type="http://schemas.openxmlformats.org/officeDocument/2006/relationships/numbering" Target="numbering.xml"/><Relationship Id="rId16" Type="http://schemas.openxmlformats.org/officeDocument/2006/relationships/hyperlink" Target="mailto:karim.mashhour.8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70417.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8458B-A8B8-4BD7-8823-7BA02B42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Administrator</cp:lastModifiedBy>
  <cp:revision>5</cp:revision>
  <cp:lastPrinted>2018-01-08T01:03:00Z</cp:lastPrinted>
  <dcterms:created xsi:type="dcterms:W3CDTF">2018-01-06T11:36:00Z</dcterms:created>
  <dcterms:modified xsi:type="dcterms:W3CDTF">2018-01-08T01:03:00Z</dcterms:modified>
</cp:coreProperties>
</file>