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39" w:rsidRPr="001F4954" w:rsidRDefault="006230A9" w:rsidP="001F4954">
      <w:pPr>
        <w:pStyle w:val="Title"/>
        <w:pBdr>
          <w:bottom w:val="none" w:sz="0" w:space="0" w:color="auto"/>
        </w:pBdr>
        <w:snapToGrid w:val="0"/>
        <w:spacing w:after="0"/>
        <w:jc w:val="center"/>
        <w:rPr>
          <w:rFonts w:ascii="Times New Roman" w:hAnsi="Times New Roman" w:cs="Times New Roman"/>
          <w:b/>
          <w:color w:val="auto"/>
          <w:spacing w:val="0"/>
          <w:kern w:val="0"/>
          <w:sz w:val="20"/>
          <w:szCs w:val="36"/>
          <w:lang w:eastAsia="zh-CN"/>
        </w:rPr>
      </w:pPr>
      <w:proofErr w:type="spellStart"/>
      <w:r w:rsidRPr="001F4954">
        <w:rPr>
          <w:rFonts w:ascii="Times New Roman" w:hAnsi="Times New Roman" w:cs="Times New Roman"/>
          <w:b/>
          <w:color w:val="auto"/>
          <w:spacing w:val="0"/>
          <w:kern w:val="0"/>
          <w:sz w:val="20"/>
          <w:szCs w:val="36"/>
        </w:rPr>
        <w:t>Oncological</w:t>
      </w:r>
      <w:proofErr w:type="spellEnd"/>
      <w:r w:rsidRPr="001F4954">
        <w:rPr>
          <w:rFonts w:ascii="Times New Roman" w:hAnsi="Times New Roman" w:cs="Times New Roman"/>
          <w:b/>
          <w:color w:val="auto"/>
          <w:spacing w:val="0"/>
          <w:kern w:val="0"/>
          <w:sz w:val="20"/>
          <w:szCs w:val="36"/>
        </w:rPr>
        <w:t xml:space="preserve"> safety of conservative </w:t>
      </w:r>
      <w:proofErr w:type="spellStart"/>
      <w:r w:rsidRPr="001F4954">
        <w:rPr>
          <w:rFonts w:ascii="Times New Roman" w:hAnsi="Times New Roman" w:cs="Times New Roman"/>
          <w:b/>
          <w:color w:val="auto"/>
          <w:spacing w:val="0"/>
          <w:kern w:val="0"/>
          <w:sz w:val="20"/>
          <w:szCs w:val="36"/>
        </w:rPr>
        <w:t>axillary</w:t>
      </w:r>
      <w:proofErr w:type="spellEnd"/>
      <w:r w:rsidRPr="001F4954">
        <w:rPr>
          <w:rFonts w:ascii="Times New Roman" w:hAnsi="Times New Roman" w:cs="Times New Roman"/>
          <w:b/>
          <w:color w:val="auto"/>
          <w:spacing w:val="0"/>
          <w:kern w:val="0"/>
          <w:sz w:val="20"/>
          <w:szCs w:val="36"/>
        </w:rPr>
        <w:t xml:space="preserve"> lymph node dissection in pathologically positive </w:t>
      </w:r>
      <w:proofErr w:type="spellStart"/>
      <w:r w:rsidRPr="001F4954">
        <w:rPr>
          <w:rFonts w:ascii="Times New Roman" w:hAnsi="Times New Roman" w:cs="Times New Roman"/>
          <w:b/>
          <w:color w:val="auto"/>
          <w:spacing w:val="0"/>
          <w:kern w:val="0"/>
          <w:sz w:val="20"/>
          <w:szCs w:val="36"/>
        </w:rPr>
        <w:t>axilla</w:t>
      </w:r>
      <w:proofErr w:type="spellEnd"/>
      <w:r w:rsidRPr="001F4954">
        <w:rPr>
          <w:rFonts w:ascii="Times New Roman" w:hAnsi="Times New Roman" w:cs="Times New Roman"/>
          <w:b/>
          <w:color w:val="auto"/>
          <w:spacing w:val="0"/>
          <w:kern w:val="0"/>
          <w:sz w:val="20"/>
          <w:szCs w:val="36"/>
        </w:rPr>
        <w:t>: randomized controlled study</w:t>
      </w:r>
      <w:r w:rsidR="00A46739" w:rsidRPr="001F4954">
        <w:rPr>
          <w:rFonts w:ascii="Times New Roman" w:hAnsi="Times New Roman" w:cs="Times New Roman"/>
          <w:b/>
          <w:color w:val="auto"/>
          <w:spacing w:val="0"/>
          <w:kern w:val="0"/>
          <w:sz w:val="20"/>
          <w:szCs w:val="36"/>
        </w:rPr>
        <w:t xml:space="preserve"> </w:t>
      </w:r>
    </w:p>
    <w:p w:rsidR="00A46739" w:rsidRPr="001F4954" w:rsidRDefault="00A46739" w:rsidP="001F4954">
      <w:pPr>
        <w:pStyle w:val="Title"/>
        <w:pBdr>
          <w:bottom w:val="none" w:sz="0" w:space="0" w:color="auto"/>
        </w:pBdr>
        <w:snapToGrid w:val="0"/>
        <w:spacing w:after="0"/>
        <w:jc w:val="center"/>
        <w:rPr>
          <w:rFonts w:ascii="Times New Roman" w:hAnsi="Times New Roman" w:cs="Times New Roman"/>
          <w:b/>
          <w:color w:val="auto"/>
          <w:spacing w:val="0"/>
          <w:kern w:val="0"/>
          <w:sz w:val="20"/>
          <w:szCs w:val="36"/>
          <w:lang w:eastAsia="zh-CN"/>
        </w:rPr>
      </w:pPr>
    </w:p>
    <w:p w:rsidR="00A46739" w:rsidRPr="001B7C79" w:rsidRDefault="002840A4" w:rsidP="001F4954">
      <w:pPr>
        <w:snapToGrid w:val="0"/>
        <w:jc w:val="center"/>
        <w:rPr>
          <w:rFonts w:hint="eastAsia"/>
          <w:bCs/>
          <w:sz w:val="20"/>
          <w:lang w:eastAsia="zh-CN" w:bidi="ar-EG"/>
        </w:rPr>
      </w:pPr>
      <w:r w:rsidRPr="001F4954">
        <w:rPr>
          <w:rFonts w:eastAsia="Times New Roman"/>
          <w:bCs/>
          <w:sz w:val="20"/>
          <w:szCs w:val="20"/>
        </w:rPr>
        <w:t>Mohamed</w:t>
      </w:r>
      <w:r w:rsidR="00A46739" w:rsidRPr="001F4954">
        <w:rPr>
          <w:rFonts w:eastAsia="Times New Roman"/>
          <w:bCs/>
          <w:sz w:val="20"/>
          <w:szCs w:val="20"/>
        </w:rPr>
        <w:t xml:space="preserve"> </w:t>
      </w:r>
      <w:proofErr w:type="spellStart"/>
      <w:r w:rsidRPr="001F4954">
        <w:rPr>
          <w:rFonts w:eastAsia="Times New Roman"/>
          <w:bCs/>
          <w:sz w:val="20"/>
          <w:szCs w:val="20"/>
        </w:rPr>
        <w:t>Abdelhamid</w:t>
      </w:r>
      <w:proofErr w:type="spellEnd"/>
      <w:r w:rsidRPr="001F4954">
        <w:rPr>
          <w:bCs/>
          <w:sz w:val="20"/>
          <w:lang w:bidi="ar-EG"/>
        </w:rPr>
        <w:t>,</w:t>
      </w:r>
      <w:r w:rsidR="00A46739" w:rsidRPr="001F4954">
        <w:rPr>
          <w:bCs/>
          <w:sz w:val="20"/>
          <w:lang w:bidi="ar-EG"/>
        </w:rPr>
        <w:t xml:space="preserve"> </w:t>
      </w:r>
      <w:proofErr w:type="spellStart"/>
      <w:r w:rsidRPr="001F4954">
        <w:rPr>
          <w:rFonts w:eastAsia="Times New Roman"/>
          <w:bCs/>
          <w:sz w:val="20"/>
          <w:szCs w:val="20"/>
        </w:rPr>
        <w:t>Wael</w:t>
      </w:r>
      <w:proofErr w:type="spellEnd"/>
      <w:r w:rsidR="00A46739" w:rsidRPr="001F4954">
        <w:rPr>
          <w:rFonts w:eastAsia="Times New Roman"/>
          <w:bCs/>
          <w:sz w:val="20"/>
          <w:szCs w:val="20"/>
        </w:rPr>
        <w:t xml:space="preserve"> </w:t>
      </w:r>
      <w:r w:rsidRPr="001F4954">
        <w:rPr>
          <w:rFonts w:eastAsia="Times New Roman"/>
          <w:bCs/>
          <w:sz w:val="20"/>
          <w:szCs w:val="20"/>
        </w:rPr>
        <w:t>Al-</w:t>
      </w:r>
      <w:proofErr w:type="spellStart"/>
      <w:r w:rsidRPr="001F4954">
        <w:rPr>
          <w:rFonts w:eastAsia="Times New Roman"/>
          <w:bCs/>
          <w:sz w:val="20"/>
          <w:szCs w:val="20"/>
        </w:rPr>
        <w:t>shelfa</w:t>
      </w:r>
      <w:proofErr w:type="spellEnd"/>
      <w:r w:rsidR="00A46739" w:rsidRPr="001F4954">
        <w:rPr>
          <w:bCs/>
          <w:sz w:val="20"/>
          <w:lang w:bidi="ar-EG"/>
        </w:rPr>
        <w:t>,</w:t>
      </w:r>
      <w:r w:rsidR="00A46739" w:rsidRPr="001F4954">
        <w:rPr>
          <w:rFonts w:eastAsia="Times New Roman"/>
          <w:bCs/>
          <w:sz w:val="20"/>
          <w:szCs w:val="20"/>
        </w:rPr>
        <w:t xml:space="preserve"> </w:t>
      </w:r>
      <w:proofErr w:type="spellStart"/>
      <w:r w:rsidRPr="001F4954">
        <w:rPr>
          <w:rFonts w:eastAsia="Times New Roman"/>
          <w:bCs/>
          <w:sz w:val="20"/>
          <w:szCs w:val="20"/>
        </w:rPr>
        <w:t>Salah</w:t>
      </w:r>
      <w:proofErr w:type="spellEnd"/>
      <w:r w:rsidRPr="001F4954">
        <w:rPr>
          <w:rFonts w:eastAsia="Times New Roman"/>
          <w:bCs/>
          <w:sz w:val="20"/>
          <w:szCs w:val="20"/>
        </w:rPr>
        <w:t xml:space="preserve"> </w:t>
      </w:r>
      <w:proofErr w:type="spellStart"/>
      <w:r w:rsidRPr="001F4954">
        <w:rPr>
          <w:rFonts w:eastAsia="Times New Roman"/>
          <w:bCs/>
          <w:sz w:val="20"/>
          <w:szCs w:val="20"/>
        </w:rPr>
        <w:t>Ab</w:t>
      </w:r>
      <w:r w:rsidR="001F4954" w:rsidRPr="001F4954">
        <w:rPr>
          <w:rFonts w:eastAsia="Times New Roman"/>
          <w:bCs/>
          <w:sz w:val="20"/>
          <w:szCs w:val="20"/>
        </w:rPr>
        <w:t>d</w:t>
      </w:r>
      <w:proofErr w:type="spellEnd"/>
      <w:r w:rsidR="001F4954">
        <w:rPr>
          <w:rFonts w:eastAsia="Times New Roman"/>
          <w:bCs/>
          <w:sz w:val="20"/>
          <w:szCs w:val="20"/>
        </w:rPr>
        <w:t xml:space="preserve"> </w:t>
      </w:r>
      <w:proofErr w:type="spellStart"/>
      <w:r w:rsidR="001F4954" w:rsidRPr="001F4954">
        <w:rPr>
          <w:rFonts w:eastAsia="Times New Roman"/>
          <w:bCs/>
          <w:sz w:val="20"/>
          <w:szCs w:val="20"/>
        </w:rPr>
        <w:t>E</w:t>
      </w:r>
      <w:r w:rsidRPr="001F4954">
        <w:rPr>
          <w:rFonts w:eastAsia="Times New Roman"/>
          <w:bCs/>
          <w:sz w:val="20"/>
          <w:szCs w:val="20"/>
        </w:rPr>
        <w:t>laal</w:t>
      </w:r>
      <w:proofErr w:type="spellEnd"/>
      <w:r w:rsidRPr="001F4954">
        <w:rPr>
          <w:bCs/>
          <w:sz w:val="20"/>
          <w:lang w:bidi="ar-EG"/>
        </w:rPr>
        <w:t>,</w:t>
      </w:r>
      <w:r w:rsidR="00A46739" w:rsidRPr="001F4954">
        <w:rPr>
          <w:bCs/>
          <w:sz w:val="20"/>
          <w:lang w:bidi="ar-EG"/>
        </w:rPr>
        <w:t xml:space="preserve"> </w:t>
      </w:r>
      <w:proofErr w:type="spellStart"/>
      <w:r w:rsidRPr="001F4954">
        <w:rPr>
          <w:rFonts w:eastAsia="Times New Roman"/>
          <w:bCs/>
          <w:sz w:val="20"/>
          <w:szCs w:val="20"/>
        </w:rPr>
        <w:t>Mansour</w:t>
      </w:r>
      <w:proofErr w:type="spellEnd"/>
      <w:r w:rsidRPr="001F4954">
        <w:rPr>
          <w:rFonts w:eastAsia="Times New Roman"/>
          <w:bCs/>
          <w:sz w:val="20"/>
          <w:szCs w:val="20"/>
        </w:rPr>
        <w:t xml:space="preserve"> M </w:t>
      </w:r>
      <w:proofErr w:type="spellStart"/>
      <w:r w:rsidRPr="001F4954">
        <w:rPr>
          <w:rFonts w:eastAsia="Times New Roman"/>
          <w:bCs/>
          <w:sz w:val="20"/>
          <w:szCs w:val="20"/>
        </w:rPr>
        <w:t>Morsy</w:t>
      </w:r>
      <w:proofErr w:type="spellEnd"/>
      <w:r w:rsidRPr="001F4954">
        <w:rPr>
          <w:bCs/>
          <w:sz w:val="20"/>
          <w:lang w:bidi="ar-EG"/>
        </w:rPr>
        <w:t>,</w:t>
      </w:r>
      <w:r w:rsidRPr="001F4954">
        <w:rPr>
          <w:rFonts w:eastAsia="Times New Roman"/>
          <w:bCs/>
          <w:sz w:val="20"/>
          <w:szCs w:val="20"/>
        </w:rPr>
        <w:t xml:space="preserve"> Osama </w:t>
      </w:r>
      <w:proofErr w:type="spellStart"/>
      <w:r w:rsidRPr="001F4954">
        <w:rPr>
          <w:rFonts w:eastAsia="Times New Roman"/>
          <w:bCs/>
          <w:sz w:val="20"/>
          <w:szCs w:val="20"/>
        </w:rPr>
        <w:t>abd</w:t>
      </w:r>
      <w:proofErr w:type="spellEnd"/>
      <w:r w:rsidRPr="001F4954">
        <w:rPr>
          <w:rFonts w:eastAsia="Times New Roman"/>
          <w:bCs/>
          <w:sz w:val="20"/>
          <w:szCs w:val="20"/>
        </w:rPr>
        <w:t xml:space="preserve"> </w:t>
      </w:r>
      <w:proofErr w:type="spellStart"/>
      <w:r w:rsidRPr="001F4954">
        <w:rPr>
          <w:rFonts w:eastAsia="Times New Roman"/>
          <w:bCs/>
          <w:sz w:val="20"/>
          <w:szCs w:val="20"/>
        </w:rPr>
        <w:t>Elaziz</w:t>
      </w:r>
      <w:proofErr w:type="spellEnd"/>
      <w:r w:rsidR="00A46739" w:rsidRPr="001F4954">
        <w:rPr>
          <w:rFonts w:eastAsia="Times New Roman"/>
          <w:bCs/>
          <w:sz w:val="20"/>
          <w:szCs w:val="20"/>
        </w:rPr>
        <w:t xml:space="preserve">, </w:t>
      </w:r>
      <w:r w:rsidRPr="001F4954">
        <w:rPr>
          <w:rFonts w:eastAsia="Times New Roman"/>
          <w:bCs/>
          <w:sz w:val="20"/>
          <w:szCs w:val="20"/>
        </w:rPr>
        <w:t xml:space="preserve">Hassan </w:t>
      </w:r>
      <w:proofErr w:type="spellStart"/>
      <w:r w:rsidRPr="001F4954">
        <w:rPr>
          <w:rFonts w:eastAsia="Times New Roman"/>
          <w:bCs/>
          <w:sz w:val="20"/>
          <w:szCs w:val="20"/>
        </w:rPr>
        <w:t>Ashour</w:t>
      </w:r>
      <w:proofErr w:type="spellEnd"/>
      <w:r w:rsidRPr="001F4954">
        <w:rPr>
          <w:bCs/>
          <w:sz w:val="20"/>
          <w:lang w:bidi="ar-EG"/>
        </w:rPr>
        <w:t>,</w:t>
      </w:r>
      <w:r w:rsidR="00A46739" w:rsidRPr="001F4954">
        <w:rPr>
          <w:rFonts w:eastAsia="Times New Roman"/>
          <w:bCs/>
          <w:sz w:val="20"/>
          <w:szCs w:val="20"/>
        </w:rPr>
        <w:t xml:space="preserve"> </w:t>
      </w:r>
      <w:r w:rsidRPr="001F4954">
        <w:rPr>
          <w:rFonts w:eastAsia="Times New Roman"/>
          <w:bCs/>
          <w:sz w:val="20"/>
          <w:szCs w:val="20"/>
        </w:rPr>
        <w:t xml:space="preserve">Osama </w:t>
      </w:r>
      <w:proofErr w:type="spellStart"/>
      <w:r w:rsidRPr="001F4954">
        <w:rPr>
          <w:rFonts w:eastAsia="Times New Roman"/>
          <w:bCs/>
          <w:sz w:val="20"/>
          <w:szCs w:val="20"/>
        </w:rPr>
        <w:t>abd</w:t>
      </w:r>
      <w:proofErr w:type="spellEnd"/>
      <w:r w:rsidRPr="001F4954">
        <w:rPr>
          <w:rFonts w:eastAsia="Times New Roman"/>
          <w:bCs/>
          <w:sz w:val="20"/>
          <w:szCs w:val="20"/>
        </w:rPr>
        <w:t xml:space="preserve"> </w:t>
      </w:r>
      <w:proofErr w:type="spellStart"/>
      <w:r w:rsidRPr="001F4954">
        <w:rPr>
          <w:rFonts w:eastAsia="Times New Roman"/>
          <w:bCs/>
          <w:sz w:val="20"/>
          <w:szCs w:val="20"/>
        </w:rPr>
        <w:t>Elaziz</w:t>
      </w:r>
      <w:proofErr w:type="spellEnd"/>
      <w:r w:rsidR="00A46739" w:rsidRPr="001F4954">
        <w:rPr>
          <w:bCs/>
          <w:sz w:val="20"/>
          <w:lang w:bidi="ar-EG"/>
        </w:rPr>
        <w:t xml:space="preserve">, </w:t>
      </w:r>
      <w:r w:rsidRPr="001F4954">
        <w:rPr>
          <w:rFonts w:eastAsia="Times New Roman"/>
          <w:bCs/>
          <w:sz w:val="20"/>
          <w:szCs w:val="20"/>
        </w:rPr>
        <w:t xml:space="preserve">Ahmed R </w:t>
      </w:r>
      <w:proofErr w:type="spellStart"/>
      <w:r w:rsidRPr="001F4954">
        <w:rPr>
          <w:rFonts w:eastAsia="Times New Roman"/>
          <w:bCs/>
          <w:sz w:val="20"/>
          <w:szCs w:val="20"/>
        </w:rPr>
        <w:t>Elsayed</w:t>
      </w:r>
      <w:proofErr w:type="spellEnd"/>
      <w:r w:rsidR="001B7C79">
        <w:rPr>
          <w:rFonts w:hint="eastAsia"/>
          <w:bCs/>
          <w:sz w:val="20"/>
          <w:szCs w:val="20"/>
          <w:lang w:eastAsia="zh-CN"/>
        </w:rPr>
        <w:t xml:space="preserve"> </w:t>
      </w:r>
    </w:p>
    <w:p w:rsidR="001B7C79" w:rsidRDefault="001B7C79" w:rsidP="001B7C79">
      <w:pPr>
        <w:tabs>
          <w:tab w:val="left" w:pos="720"/>
          <w:tab w:val="left" w:pos="1440"/>
        </w:tabs>
        <w:snapToGrid w:val="0"/>
        <w:jc w:val="both"/>
        <w:rPr>
          <w:rFonts w:hint="eastAsia"/>
          <w:sz w:val="20"/>
          <w:szCs w:val="20"/>
          <w:lang w:eastAsia="zh-CN"/>
        </w:rPr>
      </w:pPr>
    </w:p>
    <w:p w:rsidR="001B7C79" w:rsidRDefault="001B7C79" w:rsidP="001B7C79">
      <w:pPr>
        <w:snapToGrid w:val="0"/>
        <w:jc w:val="center"/>
        <w:rPr>
          <w:rFonts w:hint="eastAsia"/>
          <w:sz w:val="20"/>
          <w:lang w:eastAsia="zh-CN"/>
        </w:rPr>
      </w:pPr>
      <w:r w:rsidRPr="001B7C79">
        <w:rPr>
          <w:rFonts w:eastAsia="Times New Roman"/>
          <w:sz w:val="20"/>
          <w:szCs w:val="20"/>
        </w:rPr>
        <w:t xml:space="preserve">General &amp; Lap Surgery Department, </w:t>
      </w:r>
      <w:proofErr w:type="spellStart"/>
      <w:r w:rsidRPr="001B7C79">
        <w:rPr>
          <w:rFonts w:eastAsia="Times New Roman"/>
          <w:sz w:val="20"/>
          <w:szCs w:val="20"/>
        </w:rPr>
        <w:t>Zagazig</w:t>
      </w:r>
      <w:proofErr w:type="spellEnd"/>
      <w:r w:rsidRPr="001B7C79">
        <w:rPr>
          <w:rFonts w:eastAsia="Times New Roman"/>
          <w:sz w:val="20"/>
          <w:szCs w:val="20"/>
        </w:rPr>
        <w:t xml:space="preserve"> University, </w:t>
      </w:r>
      <w:proofErr w:type="spellStart"/>
      <w:r w:rsidRPr="001B7C79">
        <w:rPr>
          <w:rFonts w:eastAsia="Times New Roman"/>
          <w:sz w:val="20"/>
          <w:szCs w:val="20"/>
        </w:rPr>
        <w:t>Zagazig</w:t>
      </w:r>
      <w:proofErr w:type="spellEnd"/>
      <w:r w:rsidRPr="001B7C79">
        <w:rPr>
          <w:rFonts w:eastAsia="Times New Roman"/>
          <w:sz w:val="20"/>
          <w:szCs w:val="20"/>
        </w:rPr>
        <w:t>,</w:t>
      </w:r>
      <w:r>
        <w:rPr>
          <w:rFonts w:hint="eastAsia"/>
          <w:sz w:val="20"/>
          <w:szCs w:val="20"/>
          <w:lang w:eastAsia="zh-CN"/>
        </w:rPr>
        <w:t xml:space="preserve"> </w:t>
      </w:r>
      <w:proofErr w:type="spellStart"/>
      <w:r>
        <w:rPr>
          <w:rFonts w:hint="eastAsia"/>
          <w:sz w:val="20"/>
          <w:szCs w:val="20"/>
          <w:lang w:eastAsia="zh-CN"/>
        </w:rPr>
        <w:t>S</w:t>
      </w:r>
      <w:r w:rsidRPr="00A46739">
        <w:rPr>
          <w:rFonts w:eastAsia="Times New Roman"/>
          <w:sz w:val="20"/>
        </w:rPr>
        <w:t>harkia</w:t>
      </w:r>
      <w:proofErr w:type="spellEnd"/>
      <w:r>
        <w:rPr>
          <w:rFonts w:hint="eastAsia"/>
          <w:sz w:val="20"/>
          <w:lang w:eastAsia="zh-CN"/>
        </w:rPr>
        <w:t>,</w:t>
      </w:r>
      <w:r w:rsidRPr="00A46739">
        <w:rPr>
          <w:rFonts w:eastAsia="Times New Roman"/>
          <w:sz w:val="20"/>
        </w:rPr>
        <w:t xml:space="preserve"> </w:t>
      </w:r>
      <w:r w:rsidRPr="001B7C79">
        <w:rPr>
          <w:rFonts w:eastAsia="Times New Roman"/>
          <w:sz w:val="20"/>
          <w:szCs w:val="20"/>
        </w:rPr>
        <w:t>Egypt</w:t>
      </w:r>
    </w:p>
    <w:p w:rsidR="001B7C79" w:rsidRPr="001B7C79" w:rsidRDefault="001B7C79" w:rsidP="001B7C79">
      <w:pPr>
        <w:tabs>
          <w:tab w:val="left" w:pos="720"/>
          <w:tab w:val="left" w:pos="1440"/>
        </w:tabs>
        <w:snapToGrid w:val="0"/>
        <w:jc w:val="center"/>
        <w:rPr>
          <w:rFonts w:hint="eastAsia"/>
          <w:sz w:val="20"/>
          <w:szCs w:val="20"/>
          <w:lang w:eastAsia="zh-CN"/>
        </w:rPr>
      </w:pPr>
      <w:r w:rsidRPr="001B7C79">
        <w:rPr>
          <w:rFonts w:eastAsia="Times New Roman"/>
          <w:sz w:val="20"/>
          <w:szCs w:val="20"/>
        </w:rPr>
        <w:t>Email</w:t>
      </w:r>
      <w:r>
        <w:rPr>
          <w:rFonts w:hint="eastAsia"/>
          <w:sz w:val="20"/>
          <w:szCs w:val="20"/>
          <w:lang w:eastAsia="zh-CN"/>
        </w:rPr>
        <w:t>s</w:t>
      </w:r>
      <w:r w:rsidRPr="001B7C79">
        <w:rPr>
          <w:rFonts w:eastAsia="Times New Roman"/>
          <w:sz w:val="20"/>
          <w:szCs w:val="20"/>
        </w:rPr>
        <w:t xml:space="preserve">: </w:t>
      </w:r>
      <w:hyperlink r:id="rId8" w:history="1">
        <w:r w:rsidRPr="00824B24">
          <w:rPr>
            <w:rStyle w:val="Hyperlink"/>
            <w:rFonts w:eastAsia="Times New Roman"/>
            <w:sz w:val="20"/>
            <w:szCs w:val="20"/>
          </w:rPr>
          <w:t>dr_moh2003@yahoo.com</w:t>
        </w:r>
      </w:hyperlink>
      <w:r>
        <w:rPr>
          <w:rFonts w:hint="eastAsia"/>
          <w:sz w:val="20"/>
          <w:szCs w:val="20"/>
          <w:lang w:eastAsia="zh-CN"/>
        </w:rPr>
        <w:t xml:space="preserve">, </w:t>
      </w:r>
      <w:hyperlink r:id="rId9" w:history="1">
        <w:r w:rsidRPr="00A46739">
          <w:rPr>
            <w:rFonts w:eastAsia="Times New Roman"/>
            <w:color w:val="0000FF"/>
            <w:sz w:val="20"/>
            <w:szCs w:val="20"/>
            <w:u w:val="single"/>
          </w:rPr>
          <w:t>dr_keko_2007@yahoo.com</w:t>
        </w:r>
      </w:hyperlink>
      <w:r>
        <w:rPr>
          <w:rFonts w:hint="eastAsia"/>
          <w:sz w:val="20"/>
          <w:szCs w:val="20"/>
          <w:lang w:eastAsia="zh-CN"/>
        </w:rPr>
        <w:t xml:space="preserve">, </w:t>
      </w:r>
      <w:hyperlink r:id="rId10" w:history="1">
        <w:r w:rsidRPr="00824B24">
          <w:rPr>
            <w:rStyle w:val="Hyperlink"/>
            <w:rFonts w:eastAsia="Times New Roman"/>
            <w:sz w:val="20"/>
            <w:szCs w:val="20"/>
          </w:rPr>
          <w:t>osamaeltih1975@gmail.com</w:t>
        </w:r>
      </w:hyperlink>
      <w:r>
        <w:rPr>
          <w:rFonts w:hint="eastAsia"/>
          <w:sz w:val="20"/>
          <w:szCs w:val="20"/>
          <w:lang w:eastAsia="zh-CN"/>
        </w:rPr>
        <w:t xml:space="preserve">, </w:t>
      </w:r>
      <w:hyperlink r:id="rId11" w:history="1">
        <w:r w:rsidRPr="001B7C79">
          <w:rPr>
            <w:rStyle w:val="Hyperlink"/>
            <w:rFonts w:eastAsia="Times New Roman"/>
            <w:sz w:val="20"/>
            <w:szCs w:val="20"/>
          </w:rPr>
          <w:t>Waelshel74@yahoo.com</w:t>
        </w:r>
      </w:hyperlink>
      <w:r>
        <w:rPr>
          <w:rFonts w:hint="eastAsia"/>
          <w:sz w:val="20"/>
          <w:szCs w:val="20"/>
          <w:lang w:eastAsia="zh-CN"/>
        </w:rPr>
        <w:t>,</w:t>
      </w:r>
      <w:r w:rsidRPr="001B7C79">
        <w:rPr>
          <w:rFonts w:hint="eastAsia"/>
          <w:sz w:val="20"/>
          <w:szCs w:val="20"/>
          <w:lang w:eastAsia="zh-CN"/>
        </w:rPr>
        <w:t xml:space="preserve"> </w:t>
      </w:r>
      <w:hyperlink r:id="rId12" w:history="1">
        <w:r w:rsidRPr="001B7C79">
          <w:rPr>
            <w:rStyle w:val="Hyperlink"/>
            <w:rFonts w:eastAsia="Times New Roman"/>
            <w:sz w:val="20"/>
            <w:szCs w:val="20"/>
          </w:rPr>
          <w:t>Drhassanashour@hotmail.com</w:t>
        </w:r>
      </w:hyperlink>
      <w:r>
        <w:rPr>
          <w:rFonts w:hint="eastAsia"/>
          <w:sz w:val="20"/>
          <w:szCs w:val="20"/>
          <w:lang w:eastAsia="zh-CN"/>
        </w:rPr>
        <w:t>,</w:t>
      </w:r>
      <w:r w:rsidRPr="001B7C79">
        <w:rPr>
          <w:rFonts w:hint="eastAsia"/>
          <w:sz w:val="20"/>
          <w:szCs w:val="20"/>
          <w:lang w:eastAsia="zh-CN"/>
        </w:rPr>
        <w:t xml:space="preserve"> </w:t>
      </w:r>
      <w:hyperlink r:id="rId13" w:history="1">
        <w:r w:rsidRPr="001B7C79">
          <w:rPr>
            <w:rStyle w:val="Hyperlink"/>
            <w:rFonts w:eastAsia="Times New Roman"/>
            <w:sz w:val="20"/>
            <w:szCs w:val="20"/>
          </w:rPr>
          <w:t>Nooredo@yahoo.com</w:t>
        </w:r>
      </w:hyperlink>
      <w:r>
        <w:rPr>
          <w:rFonts w:hint="eastAsia"/>
          <w:sz w:val="20"/>
          <w:szCs w:val="20"/>
          <w:lang w:eastAsia="zh-CN"/>
        </w:rPr>
        <w:t>,</w:t>
      </w:r>
      <w:r w:rsidRPr="001B7C79">
        <w:rPr>
          <w:rFonts w:hint="eastAsia"/>
          <w:sz w:val="20"/>
          <w:szCs w:val="20"/>
          <w:lang w:eastAsia="zh-CN"/>
        </w:rPr>
        <w:t xml:space="preserve"> </w:t>
      </w:r>
      <w:hyperlink r:id="rId14" w:history="1">
        <w:r w:rsidRPr="001B7C79">
          <w:rPr>
            <w:rStyle w:val="Hyperlink"/>
            <w:rFonts w:eastAsia="Times New Roman"/>
            <w:sz w:val="20"/>
            <w:szCs w:val="20"/>
          </w:rPr>
          <w:t>mansourmorsy@gmail.com</w:t>
        </w:r>
      </w:hyperlink>
      <w:r>
        <w:rPr>
          <w:rFonts w:hint="eastAsia"/>
          <w:lang w:eastAsia="zh-CN"/>
        </w:rPr>
        <w:t>,</w:t>
      </w:r>
      <w:r w:rsidRPr="001B7C79">
        <w:rPr>
          <w:rFonts w:hint="eastAsia"/>
          <w:lang w:eastAsia="zh-CN"/>
        </w:rPr>
        <w:t xml:space="preserve"> </w:t>
      </w:r>
      <w:hyperlink r:id="rId15" w:history="1">
        <w:r w:rsidRPr="00824B24">
          <w:rPr>
            <w:rStyle w:val="Hyperlink"/>
            <w:rFonts w:eastAsia="Times New Roman"/>
            <w:sz w:val="20"/>
            <w:szCs w:val="20"/>
          </w:rPr>
          <w:t>Dr_ahmedraafat@yahoo.com</w:t>
        </w:r>
      </w:hyperlink>
    </w:p>
    <w:p w:rsidR="001B7C79" w:rsidRPr="00A46739" w:rsidRDefault="001B7C79" w:rsidP="001B7C79">
      <w:pPr>
        <w:snapToGrid w:val="0"/>
        <w:jc w:val="both"/>
        <w:rPr>
          <w:rFonts w:eastAsia="Times New Roman"/>
          <w:b/>
          <w:bCs/>
          <w:sz w:val="20"/>
          <w:szCs w:val="20"/>
          <w:u w:val="single"/>
        </w:rPr>
      </w:pPr>
    </w:p>
    <w:p w:rsidR="001F4954" w:rsidRPr="001F4954" w:rsidRDefault="00820623" w:rsidP="001F4954">
      <w:pPr>
        <w:snapToGrid w:val="0"/>
        <w:jc w:val="both"/>
        <w:rPr>
          <w:bCs/>
          <w:sz w:val="20"/>
          <w:lang w:bidi="ar-EG"/>
        </w:rPr>
      </w:pPr>
      <w:r w:rsidRPr="001F4954">
        <w:rPr>
          <w:rFonts w:eastAsia="Calibri"/>
          <w:b/>
          <w:bCs/>
          <w:sz w:val="20"/>
          <w:szCs w:val="28"/>
          <w:lang w:val="en-US" w:bidi="ar-EG"/>
        </w:rPr>
        <w:t>Abstract</w:t>
      </w:r>
      <w:r w:rsidR="00CC39DD" w:rsidRPr="001F4954">
        <w:rPr>
          <w:rFonts w:hint="eastAsia"/>
          <w:b/>
          <w:bCs/>
          <w:sz w:val="20"/>
          <w:szCs w:val="28"/>
          <w:lang w:val="en-US" w:eastAsia="zh-CN" w:bidi="ar-EG"/>
        </w:rPr>
        <w:t xml:space="preserve">: </w:t>
      </w:r>
      <w:r w:rsidRPr="001F4954">
        <w:rPr>
          <w:rFonts w:eastAsia="Calibri"/>
          <w:b/>
          <w:bCs/>
          <w:sz w:val="20"/>
          <w:szCs w:val="28"/>
          <w:lang w:val="en-US" w:bidi="ar-EG"/>
        </w:rPr>
        <w:t>Background:</w:t>
      </w:r>
      <w:r w:rsidRPr="001F4954">
        <w:rPr>
          <w:rFonts w:eastAsia="Calibri"/>
          <w:sz w:val="20"/>
          <w:szCs w:val="28"/>
          <w:lang w:val="en-US"/>
        </w:rPr>
        <w:t xml:space="preserve"> </w:t>
      </w:r>
      <w:proofErr w:type="spellStart"/>
      <w:r w:rsidR="00D21B42" w:rsidRPr="001F4954">
        <w:rPr>
          <w:rFonts w:eastAsia="Calibri"/>
          <w:sz w:val="20"/>
          <w:szCs w:val="28"/>
          <w:lang w:val="en-US"/>
        </w:rPr>
        <w:t>Axillary</w:t>
      </w:r>
      <w:proofErr w:type="spellEnd"/>
      <w:r w:rsidR="00D21B42" w:rsidRPr="001F4954">
        <w:rPr>
          <w:rFonts w:eastAsia="Calibri"/>
          <w:sz w:val="20"/>
          <w:szCs w:val="28"/>
          <w:lang w:val="en-US"/>
        </w:rPr>
        <w:t xml:space="preserve"> lymph node dissection (ALND) is associated with many complications as </w:t>
      </w:r>
      <w:proofErr w:type="spellStart"/>
      <w:r w:rsidR="00D21B42" w:rsidRPr="001F4954">
        <w:rPr>
          <w:rFonts w:eastAsia="Calibri"/>
          <w:sz w:val="20"/>
          <w:szCs w:val="28"/>
          <w:lang w:val="en-US"/>
        </w:rPr>
        <w:t>lymphedema</w:t>
      </w:r>
      <w:proofErr w:type="spellEnd"/>
      <w:r w:rsidR="00D21B42" w:rsidRPr="001F4954">
        <w:rPr>
          <w:rFonts w:eastAsia="Calibri"/>
          <w:sz w:val="20"/>
          <w:szCs w:val="28"/>
          <w:lang w:val="en-US" w:bidi="ar-EG"/>
        </w:rPr>
        <w:t>.</w:t>
      </w:r>
      <w:r w:rsidR="00D21B42" w:rsidRPr="001F4954">
        <w:rPr>
          <w:rFonts w:eastAsia="Calibri"/>
          <w:sz w:val="20"/>
          <w:szCs w:val="28"/>
          <w:lang w:val="en-US"/>
        </w:rPr>
        <w:t xml:space="preserve"> The </w:t>
      </w:r>
      <w:proofErr w:type="spellStart"/>
      <w:r w:rsidR="00D21B42" w:rsidRPr="001F4954">
        <w:rPr>
          <w:rFonts w:eastAsia="Calibri"/>
          <w:sz w:val="20"/>
          <w:szCs w:val="28"/>
          <w:lang w:val="en-US"/>
        </w:rPr>
        <w:t>oncological</w:t>
      </w:r>
      <w:proofErr w:type="spellEnd"/>
      <w:r w:rsidR="00D21B42" w:rsidRPr="001F4954">
        <w:rPr>
          <w:rFonts w:eastAsia="Calibri"/>
          <w:sz w:val="20"/>
          <w:szCs w:val="28"/>
          <w:lang w:val="en-US"/>
        </w:rPr>
        <w:t xml:space="preserve"> safety of preserving the upper limb lymphatic is still unclear</w:t>
      </w:r>
      <w:r w:rsidR="00D21B42" w:rsidRPr="001F4954">
        <w:rPr>
          <w:rFonts w:eastAsia="Calibri"/>
          <w:sz w:val="20"/>
          <w:szCs w:val="28"/>
          <w:lang w:val="en-US" w:bidi="ar-EG"/>
        </w:rPr>
        <w:t>.</w:t>
      </w:r>
      <w:r w:rsidR="00D21B42" w:rsidRPr="001F4954">
        <w:rPr>
          <w:rFonts w:eastAsia="Calibri"/>
          <w:sz w:val="20"/>
          <w:szCs w:val="28"/>
          <w:lang w:val="en-US"/>
        </w:rPr>
        <w:t xml:space="preserve"> The aim of the current study is to determine the </w:t>
      </w:r>
      <w:proofErr w:type="spellStart"/>
      <w:r w:rsidR="00D21B42" w:rsidRPr="001F4954">
        <w:rPr>
          <w:rFonts w:eastAsia="Calibri"/>
          <w:sz w:val="20"/>
          <w:szCs w:val="28"/>
          <w:lang w:val="en-US"/>
        </w:rPr>
        <w:t>oncological</w:t>
      </w:r>
      <w:proofErr w:type="spellEnd"/>
      <w:r w:rsidR="00D21B42" w:rsidRPr="001F4954">
        <w:rPr>
          <w:rFonts w:eastAsia="Calibri"/>
          <w:sz w:val="20"/>
          <w:szCs w:val="28"/>
          <w:lang w:val="en-US"/>
        </w:rPr>
        <w:t xml:space="preserve"> safety of sparing upper limb lymphatic in clinically negative and </w:t>
      </w:r>
      <w:r w:rsidR="00905AE5" w:rsidRPr="001F4954">
        <w:rPr>
          <w:rFonts w:eastAsia="Calibri"/>
          <w:sz w:val="20"/>
          <w:szCs w:val="28"/>
          <w:lang w:val="en-US"/>
        </w:rPr>
        <w:t>Sentinel lymph node biopsy (SLNB) positive</w:t>
      </w:r>
      <w:r w:rsidR="00D21B42" w:rsidRPr="001F4954">
        <w:rPr>
          <w:rFonts w:eastAsia="Calibri"/>
          <w:sz w:val="20"/>
          <w:szCs w:val="28"/>
          <w:lang w:val="en-US"/>
        </w:rPr>
        <w:t xml:space="preserve"> </w:t>
      </w:r>
      <w:proofErr w:type="spellStart"/>
      <w:r w:rsidR="00D21B42" w:rsidRPr="001F4954">
        <w:rPr>
          <w:rFonts w:eastAsia="Calibri"/>
          <w:sz w:val="20"/>
          <w:szCs w:val="28"/>
          <w:lang w:val="en-US"/>
        </w:rPr>
        <w:t>axilla</w:t>
      </w:r>
      <w:proofErr w:type="spellEnd"/>
      <w:r w:rsidR="00D21B42" w:rsidRPr="001F4954">
        <w:rPr>
          <w:rFonts w:eastAsia="Calibri"/>
          <w:sz w:val="20"/>
          <w:szCs w:val="28"/>
          <w:lang w:val="en-US"/>
        </w:rPr>
        <w:t>.</w:t>
      </w:r>
      <w:r w:rsidR="001B7C79">
        <w:rPr>
          <w:rFonts w:hint="eastAsia"/>
          <w:sz w:val="20"/>
          <w:szCs w:val="28"/>
          <w:lang w:val="en-US" w:eastAsia="zh-CN"/>
        </w:rPr>
        <w:t xml:space="preserve"> </w:t>
      </w:r>
      <w:r w:rsidRPr="001F4954">
        <w:rPr>
          <w:rFonts w:eastAsia="Calibri"/>
          <w:b/>
          <w:bCs/>
          <w:sz w:val="20"/>
          <w:szCs w:val="28"/>
          <w:lang w:val="en-US"/>
        </w:rPr>
        <w:t>Patients and Methods</w:t>
      </w:r>
      <w:r w:rsidRPr="001F4954">
        <w:rPr>
          <w:rFonts w:eastAsia="Calibri"/>
          <w:sz w:val="20"/>
          <w:szCs w:val="28"/>
          <w:lang w:val="en-US"/>
        </w:rPr>
        <w:t xml:space="preserve">: </w:t>
      </w:r>
      <w:r w:rsidR="00D21B42" w:rsidRPr="001F4954">
        <w:rPr>
          <w:rFonts w:eastAsia="Calibri"/>
          <w:sz w:val="20"/>
          <w:szCs w:val="28"/>
          <w:lang w:val="en-US"/>
        </w:rPr>
        <w:t xml:space="preserve">Ninety-eight early breast cancer patients with clinically negative </w:t>
      </w:r>
      <w:proofErr w:type="spellStart"/>
      <w:r w:rsidR="00D21B42" w:rsidRPr="001F4954">
        <w:rPr>
          <w:rFonts w:eastAsia="Calibri"/>
          <w:sz w:val="20"/>
          <w:szCs w:val="28"/>
          <w:lang w:val="en-US"/>
        </w:rPr>
        <w:t>axilla</w:t>
      </w:r>
      <w:proofErr w:type="spellEnd"/>
      <w:r w:rsidR="00D21B42" w:rsidRPr="001F4954">
        <w:rPr>
          <w:rFonts w:eastAsia="Calibri"/>
          <w:sz w:val="20"/>
          <w:szCs w:val="28"/>
          <w:lang w:val="en-US"/>
        </w:rPr>
        <w:t xml:space="preserve"> were conducted in this study during the period between March 2013 and October 2014</w:t>
      </w:r>
      <w:r w:rsidR="00D21B42" w:rsidRPr="001F4954">
        <w:rPr>
          <w:rFonts w:eastAsia="Calibri"/>
          <w:sz w:val="20"/>
          <w:szCs w:val="28"/>
          <w:lang w:val="en-US" w:bidi="ar-EG"/>
        </w:rPr>
        <w:t>.</w:t>
      </w:r>
      <w:r w:rsidR="00D21B42" w:rsidRPr="001F4954">
        <w:rPr>
          <w:rFonts w:eastAsia="Calibri"/>
          <w:sz w:val="20"/>
          <w:szCs w:val="28"/>
          <w:lang w:val="en-US"/>
        </w:rPr>
        <w:t xml:space="preserve"> Positive SLNB patients were randomized into two groups, group I for standard ALND and group II for conservative ALND. Conservative ALND group patients underwent </w:t>
      </w:r>
      <w:proofErr w:type="spellStart"/>
      <w:r w:rsidR="000258C1" w:rsidRPr="001F4954">
        <w:rPr>
          <w:rFonts w:eastAsia="Calibri"/>
          <w:sz w:val="20"/>
          <w:szCs w:val="28"/>
          <w:lang w:val="en-US"/>
        </w:rPr>
        <w:t>Axillary</w:t>
      </w:r>
      <w:proofErr w:type="spellEnd"/>
      <w:r w:rsidR="000258C1" w:rsidRPr="001F4954">
        <w:rPr>
          <w:rFonts w:eastAsia="Calibri"/>
          <w:sz w:val="20"/>
          <w:szCs w:val="28"/>
          <w:lang w:val="en-US"/>
        </w:rPr>
        <w:t xml:space="preserve"> </w:t>
      </w:r>
      <w:proofErr w:type="spellStart"/>
      <w:r w:rsidR="000258C1" w:rsidRPr="001F4954">
        <w:rPr>
          <w:rFonts w:eastAsia="Calibri"/>
          <w:sz w:val="20"/>
          <w:szCs w:val="28"/>
          <w:lang w:val="en-US"/>
        </w:rPr>
        <w:t>revers</w:t>
      </w:r>
      <w:proofErr w:type="spellEnd"/>
      <w:r w:rsidR="000258C1" w:rsidRPr="001F4954">
        <w:rPr>
          <w:rFonts w:eastAsia="Calibri"/>
          <w:sz w:val="20"/>
          <w:szCs w:val="28"/>
          <w:lang w:val="en-US"/>
        </w:rPr>
        <w:t xml:space="preserve"> mapping (ARM) for</w:t>
      </w:r>
      <w:r w:rsidR="00D21B42" w:rsidRPr="001F4954">
        <w:rPr>
          <w:rFonts w:eastAsia="Calibri"/>
          <w:sz w:val="20"/>
          <w:szCs w:val="28"/>
          <w:lang w:val="en-US"/>
        </w:rPr>
        <w:t xml:space="preserve"> identification of upper limb lymphatic and sparing these lymph nodes during ALND.</w:t>
      </w:r>
      <w:r w:rsidR="000258C1" w:rsidRPr="001F4954">
        <w:rPr>
          <w:rFonts w:eastAsia="Calibri"/>
          <w:sz w:val="20"/>
          <w:szCs w:val="28"/>
          <w:lang w:val="en-US"/>
        </w:rPr>
        <w:t xml:space="preserve"> All patients were followed up till April 2017 with follow up period ranged from 30 – 49 month (mean follow up period was 39 month).</w:t>
      </w:r>
      <w:r w:rsidR="001B7C79">
        <w:rPr>
          <w:rFonts w:hint="eastAsia"/>
          <w:sz w:val="20"/>
          <w:szCs w:val="28"/>
          <w:lang w:val="en-US" w:eastAsia="zh-CN"/>
        </w:rPr>
        <w:t xml:space="preserve"> </w:t>
      </w:r>
      <w:r w:rsidRPr="001F4954">
        <w:rPr>
          <w:rFonts w:eastAsia="Calibri"/>
          <w:b/>
          <w:bCs/>
          <w:sz w:val="20"/>
          <w:szCs w:val="28"/>
          <w:lang w:val="en-US"/>
        </w:rPr>
        <w:t>Results</w:t>
      </w:r>
      <w:r w:rsidRPr="001F4954">
        <w:rPr>
          <w:rFonts w:eastAsia="Calibri"/>
          <w:sz w:val="20"/>
          <w:szCs w:val="28"/>
          <w:lang w:val="en-US"/>
        </w:rPr>
        <w:t xml:space="preserve">: </w:t>
      </w:r>
      <w:proofErr w:type="spellStart"/>
      <w:r w:rsidR="00905AE5" w:rsidRPr="001F4954">
        <w:rPr>
          <w:rFonts w:eastAsia="Calibri"/>
          <w:sz w:val="20"/>
          <w:szCs w:val="28"/>
          <w:lang w:val="en-US"/>
        </w:rPr>
        <w:t>lymphedema</w:t>
      </w:r>
      <w:proofErr w:type="spellEnd"/>
      <w:r w:rsidR="00905AE5" w:rsidRPr="001F4954">
        <w:rPr>
          <w:rFonts w:eastAsia="Calibri"/>
          <w:sz w:val="20"/>
          <w:szCs w:val="28"/>
          <w:lang w:val="en-US" w:bidi="ar-EG"/>
        </w:rPr>
        <w:t xml:space="preserve"> occurred in 10(25%) patients in group I, while no </w:t>
      </w:r>
      <w:proofErr w:type="spellStart"/>
      <w:r w:rsidR="00CC16B1" w:rsidRPr="001F4954">
        <w:rPr>
          <w:rFonts w:eastAsia="Calibri"/>
          <w:sz w:val="20"/>
          <w:szCs w:val="28"/>
          <w:lang w:val="en-US" w:bidi="ar-EG"/>
        </w:rPr>
        <w:t>lymph</w:t>
      </w:r>
      <w:r w:rsidR="00905AE5" w:rsidRPr="001F4954">
        <w:rPr>
          <w:rFonts w:eastAsia="Calibri"/>
          <w:sz w:val="20"/>
          <w:szCs w:val="28"/>
          <w:lang w:val="en-US" w:bidi="ar-EG"/>
        </w:rPr>
        <w:t>edema</w:t>
      </w:r>
      <w:proofErr w:type="spellEnd"/>
      <w:r w:rsidR="00CC16B1" w:rsidRPr="001F4954">
        <w:rPr>
          <w:rFonts w:eastAsia="Calibri"/>
          <w:sz w:val="20"/>
          <w:szCs w:val="28"/>
          <w:lang w:val="en-US" w:bidi="ar-EG"/>
        </w:rPr>
        <w:t xml:space="preserve"> in group II. No local recurrence occurred in both groups during the period of follow up. </w:t>
      </w:r>
      <w:proofErr w:type="spellStart"/>
      <w:r w:rsidR="00CC16B1" w:rsidRPr="001F4954">
        <w:rPr>
          <w:rFonts w:eastAsia="Calibri"/>
          <w:sz w:val="20"/>
          <w:szCs w:val="28"/>
          <w:lang w:val="en-US" w:bidi="ar-EG"/>
        </w:rPr>
        <w:t>paresthesia</w:t>
      </w:r>
      <w:proofErr w:type="spellEnd"/>
      <w:r w:rsidR="001F4954" w:rsidRPr="001F4954">
        <w:rPr>
          <w:rFonts w:eastAsia="Calibri"/>
          <w:sz w:val="20"/>
          <w:szCs w:val="28"/>
          <w:lang w:val="en-US" w:bidi="ar-EG"/>
        </w:rPr>
        <w:t>,</w:t>
      </w:r>
      <w:r w:rsidR="001F4954">
        <w:rPr>
          <w:rFonts w:eastAsia="Calibri"/>
          <w:sz w:val="20"/>
          <w:szCs w:val="28"/>
          <w:lang w:val="en-US" w:bidi="ar-EG"/>
        </w:rPr>
        <w:t xml:space="preserve"> </w:t>
      </w:r>
      <w:r w:rsidR="001F4954" w:rsidRPr="001F4954">
        <w:rPr>
          <w:rFonts w:eastAsia="Calibri"/>
          <w:sz w:val="20"/>
          <w:szCs w:val="28"/>
          <w:lang w:val="en-US" w:bidi="ar-EG"/>
        </w:rPr>
        <w:t>p</w:t>
      </w:r>
      <w:r w:rsidR="00CC16B1" w:rsidRPr="001F4954">
        <w:rPr>
          <w:rFonts w:eastAsia="Calibri"/>
          <w:sz w:val="20"/>
          <w:szCs w:val="28"/>
          <w:lang w:val="en-US" w:bidi="ar-EG"/>
        </w:rPr>
        <w:t>ain and loss of shoulder mobility were more in group I.</w:t>
      </w:r>
      <w:r w:rsidR="00A46739" w:rsidRPr="001F4954">
        <w:rPr>
          <w:rFonts w:eastAsia="Calibri"/>
          <w:sz w:val="20"/>
          <w:szCs w:val="28"/>
          <w:lang w:val="en-US" w:bidi="ar-EG"/>
        </w:rPr>
        <w:t xml:space="preserve"> </w:t>
      </w:r>
      <w:r w:rsidRPr="001F4954">
        <w:rPr>
          <w:rFonts w:eastAsia="Calibri"/>
          <w:b/>
          <w:bCs/>
          <w:sz w:val="20"/>
          <w:szCs w:val="28"/>
          <w:lang w:val="en-US"/>
        </w:rPr>
        <w:t>Conclusion</w:t>
      </w:r>
      <w:r w:rsidRPr="001F4954">
        <w:rPr>
          <w:rFonts w:eastAsia="Calibri"/>
          <w:sz w:val="20"/>
          <w:szCs w:val="28"/>
          <w:lang w:val="en-US"/>
        </w:rPr>
        <w:t xml:space="preserve">: </w:t>
      </w:r>
      <w:r w:rsidR="00C72F05" w:rsidRPr="001F4954">
        <w:rPr>
          <w:rFonts w:eastAsia="Calibri"/>
          <w:sz w:val="20"/>
          <w:szCs w:val="28"/>
          <w:lang w:val="en-US"/>
        </w:rPr>
        <w:t>Conservative ALND</w:t>
      </w:r>
      <w:r w:rsidR="00C72F05" w:rsidRPr="001F4954">
        <w:rPr>
          <w:rFonts w:eastAsia="Calibri"/>
          <w:b/>
          <w:bCs/>
          <w:sz w:val="20"/>
          <w:szCs w:val="28"/>
          <w:lang w:val="en-US"/>
        </w:rPr>
        <w:t xml:space="preserve"> </w:t>
      </w:r>
      <w:r w:rsidR="00C72F05" w:rsidRPr="001F4954">
        <w:rPr>
          <w:rFonts w:eastAsia="Calibri"/>
          <w:sz w:val="20"/>
          <w:szCs w:val="28"/>
          <w:lang w:val="en-US"/>
        </w:rPr>
        <w:t xml:space="preserve">is </w:t>
      </w:r>
      <w:proofErr w:type="spellStart"/>
      <w:r w:rsidR="00C72F05" w:rsidRPr="001F4954">
        <w:rPr>
          <w:rFonts w:eastAsia="Calibri"/>
          <w:sz w:val="20"/>
          <w:szCs w:val="28"/>
          <w:lang w:val="en-US"/>
        </w:rPr>
        <w:t>oncologically</w:t>
      </w:r>
      <w:proofErr w:type="spellEnd"/>
      <w:r w:rsidR="00C72F05" w:rsidRPr="001F4954">
        <w:rPr>
          <w:rFonts w:eastAsia="Calibri"/>
          <w:sz w:val="20"/>
          <w:szCs w:val="28"/>
          <w:lang w:val="en-US"/>
        </w:rPr>
        <w:t xml:space="preserve"> safe as standard ALND in pathologically positive </w:t>
      </w:r>
      <w:proofErr w:type="spellStart"/>
      <w:r w:rsidR="00C72F05" w:rsidRPr="001F4954">
        <w:rPr>
          <w:rFonts w:eastAsia="Calibri"/>
          <w:sz w:val="20"/>
          <w:szCs w:val="28"/>
          <w:lang w:val="en-US"/>
        </w:rPr>
        <w:t>axilla</w:t>
      </w:r>
      <w:proofErr w:type="spellEnd"/>
      <w:r w:rsidR="00C72F05" w:rsidRPr="001F4954">
        <w:rPr>
          <w:rFonts w:eastAsia="Calibri"/>
          <w:sz w:val="20"/>
          <w:szCs w:val="28"/>
          <w:lang w:val="en-US"/>
        </w:rPr>
        <w:t xml:space="preserve"> and less in complications regarding </w:t>
      </w:r>
      <w:proofErr w:type="spellStart"/>
      <w:r w:rsidR="00C72F05" w:rsidRPr="001F4954">
        <w:rPr>
          <w:rFonts w:eastAsia="Calibri"/>
          <w:sz w:val="20"/>
          <w:szCs w:val="28"/>
          <w:lang w:val="en-US"/>
        </w:rPr>
        <w:t>lymphedema</w:t>
      </w:r>
      <w:proofErr w:type="spellEnd"/>
      <w:r w:rsidR="00C72F05" w:rsidRPr="001F4954">
        <w:rPr>
          <w:rFonts w:eastAsia="Calibri"/>
          <w:sz w:val="20"/>
          <w:szCs w:val="28"/>
          <w:lang w:val="en-US"/>
        </w:rPr>
        <w:t>,</w:t>
      </w:r>
      <w:r w:rsidR="00C72F05" w:rsidRPr="001F4954">
        <w:rPr>
          <w:rFonts w:eastAsia="Calibri"/>
          <w:sz w:val="20"/>
          <w:szCs w:val="28"/>
          <w:lang w:val="en-US" w:bidi="ar-EG"/>
        </w:rPr>
        <w:t xml:space="preserve"> </w:t>
      </w:r>
      <w:proofErr w:type="spellStart"/>
      <w:r w:rsidR="00C72F05" w:rsidRPr="001F4954">
        <w:rPr>
          <w:rFonts w:eastAsia="Calibri"/>
          <w:sz w:val="20"/>
          <w:szCs w:val="28"/>
          <w:lang w:val="en-US" w:bidi="ar-EG"/>
        </w:rPr>
        <w:t>parasthesia</w:t>
      </w:r>
      <w:proofErr w:type="spellEnd"/>
      <w:r w:rsidR="00C72F05" w:rsidRPr="001F4954">
        <w:rPr>
          <w:rFonts w:eastAsia="Calibri"/>
          <w:sz w:val="20"/>
          <w:szCs w:val="28"/>
          <w:lang w:val="en-US" w:bidi="ar-EG"/>
        </w:rPr>
        <w:t>, pain and loss of shoulder mobility</w:t>
      </w:r>
      <w:r w:rsidR="00C72F05" w:rsidRPr="001F4954">
        <w:rPr>
          <w:rFonts w:eastAsia="Calibri"/>
          <w:sz w:val="20"/>
          <w:szCs w:val="28"/>
          <w:lang w:val="en-US"/>
        </w:rPr>
        <w:t>.</w:t>
      </w:r>
      <w:r w:rsidR="001B7C79">
        <w:rPr>
          <w:rFonts w:hint="eastAsia"/>
          <w:sz w:val="20"/>
          <w:szCs w:val="28"/>
          <w:lang w:val="en-US" w:eastAsia="zh-CN"/>
        </w:rPr>
        <w:t xml:space="preserve"> </w:t>
      </w:r>
      <w:r w:rsidR="001F4954" w:rsidRPr="001F4954">
        <w:rPr>
          <w:rFonts w:hint="eastAsia"/>
          <w:b/>
          <w:sz w:val="20"/>
          <w:szCs w:val="20"/>
        </w:rPr>
        <w:t>[</w:t>
      </w:r>
      <w:r w:rsidR="001F4954" w:rsidRPr="001F4954">
        <w:rPr>
          <w:rFonts w:eastAsia="Times New Roman"/>
          <w:bCs/>
          <w:sz w:val="20"/>
          <w:szCs w:val="20"/>
        </w:rPr>
        <w:t xml:space="preserve">Mohamed </w:t>
      </w:r>
      <w:proofErr w:type="spellStart"/>
      <w:r w:rsidR="001F4954" w:rsidRPr="001F4954">
        <w:rPr>
          <w:rFonts w:eastAsia="Times New Roman"/>
          <w:bCs/>
          <w:sz w:val="20"/>
          <w:szCs w:val="20"/>
        </w:rPr>
        <w:t>Abdelhamid</w:t>
      </w:r>
      <w:proofErr w:type="spellEnd"/>
      <w:r w:rsidR="001F4954" w:rsidRPr="001F4954">
        <w:rPr>
          <w:bCs/>
          <w:sz w:val="20"/>
          <w:lang w:bidi="ar-EG"/>
        </w:rPr>
        <w:t xml:space="preserve">, </w:t>
      </w:r>
      <w:proofErr w:type="spellStart"/>
      <w:r w:rsidR="001F4954" w:rsidRPr="001F4954">
        <w:rPr>
          <w:rFonts w:eastAsia="Times New Roman"/>
          <w:bCs/>
          <w:sz w:val="20"/>
          <w:szCs w:val="20"/>
        </w:rPr>
        <w:t>Wael</w:t>
      </w:r>
      <w:proofErr w:type="spellEnd"/>
      <w:r w:rsidR="001F4954" w:rsidRPr="001F4954">
        <w:rPr>
          <w:rFonts w:eastAsia="Times New Roman"/>
          <w:bCs/>
          <w:sz w:val="20"/>
          <w:szCs w:val="20"/>
        </w:rPr>
        <w:t xml:space="preserve"> Al-</w:t>
      </w:r>
      <w:proofErr w:type="spellStart"/>
      <w:r w:rsidR="001F4954" w:rsidRPr="001F4954">
        <w:rPr>
          <w:rFonts w:eastAsia="Times New Roman"/>
          <w:bCs/>
          <w:sz w:val="20"/>
          <w:szCs w:val="20"/>
        </w:rPr>
        <w:t>shelfa</w:t>
      </w:r>
      <w:proofErr w:type="spellEnd"/>
      <w:r w:rsidR="001F4954" w:rsidRPr="001F4954">
        <w:rPr>
          <w:bCs/>
          <w:sz w:val="20"/>
          <w:lang w:bidi="ar-EG"/>
        </w:rPr>
        <w:t>,</w:t>
      </w:r>
      <w:r w:rsidR="001F4954" w:rsidRPr="001F4954">
        <w:rPr>
          <w:rFonts w:eastAsia="Times New Roman"/>
          <w:bCs/>
          <w:sz w:val="20"/>
          <w:szCs w:val="20"/>
        </w:rPr>
        <w:t xml:space="preserve"> </w:t>
      </w:r>
      <w:proofErr w:type="spellStart"/>
      <w:r w:rsidR="001F4954" w:rsidRPr="001F4954">
        <w:rPr>
          <w:rFonts w:eastAsia="Times New Roman"/>
          <w:bCs/>
          <w:sz w:val="20"/>
          <w:szCs w:val="20"/>
        </w:rPr>
        <w:t>Salah</w:t>
      </w:r>
      <w:proofErr w:type="spellEnd"/>
      <w:r w:rsidR="001F4954" w:rsidRPr="001F4954">
        <w:rPr>
          <w:rFonts w:eastAsia="Times New Roman"/>
          <w:bCs/>
          <w:sz w:val="20"/>
          <w:szCs w:val="20"/>
        </w:rPr>
        <w:t xml:space="preserve"> </w:t>
      </w:r>
      <w:proofErr w:type="spellStart"/>
      <w:r w:rsidR="001F4954" w:rsidRPr="001F4954">
        <w:rPr>
          <w:rFonts w:eastAsia="Times New Roman"/>
          <w:bCs/>
          <w:sz w:val="20"/>
          <w:szCs w:val="20"/>
        </w:rPr>
        <w:t>Abd</w:t>
      </w:r>
      <w:proofErr w:type="spellEnd"/>
      <w:r w:rsidR="001F4954">
        <w:rPr>
          <w:rFonts w:eastAsia="Times New Roman"/>
          <w:bCs/>
          <w:sz w:val="20"/>
          <w:szCs w:val="20"/>
        </w:rPr>
        <w:t xml:space="preserve"> </w:t>
      </w:r>
      <w:proofErr w:type="spellStart"/>
      <w:r w:rsidR="001F4954" w:rsidRPr="001F4954">
        <w:rPr>
          <w:rFonts w:eastAsia="Times New Roman"/>
          <w:bCs/>
          <w:sz w:val="20"/>
          <w:szCs w:val="20"/>
        </w:rPr>
        <w:t>Elaal</w:t>
      </w:r>
      <w:proofErr w:type="spellEnd"/>
      <w:r w:rsidR="001F4954" w:rsidRPr="001F4954">
        <w:rPr>
          <w:bCs/>
          <w:sz w:val="20"/>
          <w:lang w:bidi="ar-EG"/>
        </w:rPr>
        <w:t xml:space="preserve">, </w:t>
      </w:r>
      <w:proofErr w:type="spellStart"/>
      <w:r w:rsidR="001F4954" w:rsidRPr="001F4954">
        <w:rPr>
          <w:rFonts w:eastAsia="Times New Roman"/>
          <w:bCs/>
          <w:sz w:val="20"/>
          <w:szCs w:val="20"/>
        </w:rPr>
        <w:t>Mansour</w:t>
      </w:r>
      <w:proofErr w:type="spellEnd"/>
      <w:r w:rsidR="001F4954" w:rsidRPr="001F4954">
        <w:rPr>
          <w:rFonts w:eastAsia="Times New Roman"/>
          <w:bCs/>
          <w:sz w:val="20"/>
          <w:szCs w:val="20"/>
        </w:rPr>
        <w:t xml:space="preserve"> M </w:t>
      </w:r>
      <w:proofErr w:type="spellStart"/>
      <w:r w:rsidR="001F4954" w:rsidRPr="001F4954">
        <w:rPr>
          <w:rFonts w:eastAsia="Times New Roman"/>
          <w:bCs/>
          <w:sz w:val="20"/>
          <w:szCs w:val="20"/>
        </w:rPr>
        <w:t>Morsy</w:t>
      </w:r>
      <w:proofErr w:type="spellEnd"/>
      <w:r w:rsidR="001F4954" w:rsidRPr="001F4954">
        <w:rPr>
          <w:bCs/>
          <w:sz w:val="20"/>
          <w:lang w:bidi="ar-EG"/>
        </w:rPr>
        <w:t>,</w:t>
      </w:r>
      <w:r w:rsidR="001F4954" w:rsidRPr="001F4954">
        <w:rPr>
          <w:rFonts w:eastAsia="Times New Roman"/>
          <w:bCs/>
          <w:sz w:val="20"/>
          <w:szCs w:val="20"/>
        </w:rPr>
        <w:t xml:space="preserve"> Osama </w:t>
      </w:r>
      <w:proofErr w:type="spellStart"/>
      <w:r w:rsidR="001F4954" w:rsidRPr="001F4954">
        <w:rPr>
          <w:rFonts w:eastAsia="Times New Roman"/>
          <w:bCs/>
          <w:sz w:val="20"/>
          <w:szCs w:val="20"/>
        </w:rPr>
        <w:t>abd</w:t>
      </w:r>
      <w:proofErr w:type="spellEnd"/>
      <w:r w:rsidR="001F4954" w:rsidRPr="001F4954">
        <w:rPr>
          <w:rFonts w:eastAsia="Times New Roman"/>
          <w:bCs/>
          <w:sz w:val="20"/>
          <w:szCs w:val="20"/>
        </w:rPr>
        <w:t xml:space="preserve"> </w:t>
      </w:r>
      <w:proofErr w:type="spellStart"/>
      <w:r w:rsidR="001F4954" w:rsidRPr="001F4954">
        <w:rPr>
          <w:rFonts w:eastAsia="Times New Roman"/>
          <w:bCs/>
          <w:sz w:val="20"/>
          <w:szCs w:val="20"/>
        </w:rPr>
        <w:t>Elaziz</w:t>
      </w:r>
      <w:proofErr w:type="spellEnd"/>
      <w:r w:rsidR="001F4954" w:rsidRPr="001F4954">
        <w:rPr>
          <w:rFonts w:eastAsia="Times New Roman"/>
          <w:bCs/>
          <w:sz w:val="20"/>
          <w:szCs w:val="20"/>
        </w:rPr>
        <w:t xml:space="preserve">, Hassan </w:t>
      </w:r>
      <w:proofErr w:type="spellStart"/>
      <w:r w:rsidR="001F4954" w:rsidRPr="001F4954">
        <w:rPr>
          <w:rFonts w:eastAsia="Times New Roman"/>
          <w:bCs/>
          <w:sz w:val="20"/>
          <w:szCs w:val="20"/>
        </w:rPr>
        <w:t>Ashour</w:t>
      </w:r>
      <w:proofErr w:type="spellEnd"/>
      <w:r w:rsidR="001F4954" w:rsidRPr="001F4954">
        <w:rPr>
          <w:bCs/>
          <w:sz w:val="20"/>
          <w:lang w:bidi="ar-EG"/>
        </w:rPr>
        <w:t>,</w:t>
      </w:r>
      <w:r w:rsidR="001F4954" w:rsidRPr="001F4954">
        <w:rPr>
          <w:rFonts w:eastAsia="Times New Roman"/>
          <w:bCs/>
          <w:sz w:val="20"/>
          <w:szCs w:val="20"/>
        </w:rPr>
        <w:t xml:space="preserve"> Osama </w:t>
      </w:r>
      <w:proofErr w:type="spellStart"/>
      <w:r w:rsidR="001F4954" w:rsidRPr="001F4954">
        <w:rPr>
          <w:rFonts w:eastAsia="Times New Roman"/>
          <w:bCs/>
          <w:sz w:val="20"/>
          <w:szCs w:val="20"/>
        </w:rPr>
        <w:t>abd</w:t>
      </w:r>
      <w:proofErr w:type="spellEnd"/>
      <w:r w:rsidR="001F4954" w:rsidRPr="001F4954">
        <w:rPr>
          <w:rFonts w:eastAsia="Times New Roman"/>
          <w:bCs/>
          <w:sz w:val="20"/>
          <w:szCs w:val="20"/>
        </w:rPr>
        <w:t xml:space="preserve"> </w:t>
      </w:r>
      <w:proofErr w:type="spellStart"/>
      <w:r w:rsidR="001F4954" w:rsidRPr="001F4954">
        <w:rPr>
          <w:rFonts w:eastAsia="Times New Roman"/>
          <w:bCs/>
          <w:sz w:val="20"/>
          <w:szCs w:val="20"/>
        </w:rPr>
        <w:t>Elaziz</w:t>
      </w:r>
      <w:proofErr w:type="spellEnd"/>
      <w:r w:rsidR="001F4954" w:rsidRPr="001F4954">
        <w:rPr>
          <w:bCs/>
          <w:sz w:val="20"/>
          <w:lang w:bidi="ar-EG"/>
        </w:rPr>
        <w:t xml:space="preserve">, </w:t>
      </w:r>
      <w:r w:rsidR="001F4954" w:rsidRPr="001F4954">
        <w:rPr>
          <w:rFonts w:eastAsia="Times New Roman"/>
          <w:bCs/>
          <w:sz w:val="20"/>
          <w:szCs w:val="20"/>
        </w:rPr>
        <w:t xml:space="preserve">Ahmed R </w:t>
      </w:r>
      <w:proofErr w:type="spellStart"/>
      <w:r w:rsidR="001F4954" w:rsidRPr="001F4954">
        <w:rPr>
          <w:rFonts w:eastAsia="Times New Roman"/>
          <w:bCs/>
          <w:sz w:val="20"/>
          <w:szCs w:val="20"/>
        </w:rPr>
        <w:t>Elsayed</w:t>
      </w:r>
      <w:proofErr w:type="spellEnd"/>
      <w:r w:rsidR="001F4954" w:rsidRPr="001F4954">
        <w:rPr>
          <w:sz w:val="20"/>
          <w:szCs w:val="20"/>
        </w:rPr>
        <w:t xml:space="preserve">. </w:t>
      </w:r>
      <w:proofErr w:type="spellStart"/>
      <w:r w:rsidR="001F4954" w:rsidRPr="001F4954">
        <w:rPr>
          <w:b/>
          <w:sz w:val="20"/>
          <w:szCs w:val="36"/>
        </w:rPr>
        <w:t>Oncological</w:t>
      </w:r>
      <w:proofErr w:type="spellEnd"/>
      <w:r w:rsidR="001F4954" w:rsidRPr="001F4954">
        <w:rPr>
          <w:b/>
          <w:sz w:val="20"/>
          <w:szCs w:val="36"/>
        </w:rPr>
        <w:t xml:space="preserve"> safety of conservative </w:t>
      </w:r>
      <w:proofErr w:type="spellStart"/>
      <w:r w:rsidR="001F4954" w:rsidRPr="001F4954">
        <w:rPr>
          <w:b/>
          <w:sz w:val="20"/>
          <w:szCs w:val="36"/>
        </w:rPr>
        <w:t>axillary</w:t>
      </w:r>
      <w:proofErr w:type="spellEnd"/>
      <w:r w:rsidR="001F4954" w:rsidRPr="001F4954">
        <w:rPr>
          <w:b/>
          <w:sz w:val="20"/>
          <w:szCs w:val="36"/>
        </w:rPr>
        <w:t xml:space="preserve"> lymph node dissection in pathologically positive </w:t>
      </w:r>
      <w:proofErr w:type="spellStart"/>
      <w:r w:rsidR="001F4954" w:rsidRPr="001F4954">
        <w:rPr>
          <w:b/>
          <w:sz w:val="20"/>
          <w:szCs w:val="36"/>
        </w:rPr>
        <w:t>axilla</w:t>
      </w:r>
      <w:proofErr w:type="spellEnd"/>
      <w:r w:rsidR="001F4954" w:rsidRPr="001F4954">
        <w:rPr>
          <w:b/>
          <w:sz w:val="20"/>
          <w:szCs w:val="36"/>
        </w:rPr>
        <w:t xml:space="preserve">: randomized controlled study </w:t>
      </w:r>
      <w:r w:rsidR="001F4954" w:rsidRPr="001F4954">
        <w:rPr>
          <w:rFonts w:eastAsia="Times New Roman"/>
          <w:b/>
          <w:bCs/>
          <w:sz w:val="20"/>
          <w:szCs w:val="20"/>
          <w:lang w:bidi="fa-IR"/>
        </w:rPr>
        <w:t>.</w:t>
      </w:r>
      <w:r w:rsidR="001F4954" w:rsidRPr="001F4954">
        <w:rPr>
          <w:i/>
          <w:sz w:val="20"/>
          <w:szCs w:val="20"/>
        </w:rPr>
        <w:t xml:space="preserve"> Cancer Biology</w:t>
      </w:r>
      <w:r w:rsidR="001F4954" w:rsidRPr="001F4954">
        <w:rPr>
          <w:sz w:val="20"/>
          <w:szCs w:val="20"/>
        </w:rPr>
        <w:t xml:space="preserve"> 201</w:t>
      </w:r>
      <w:r w:rsidR="001F4954" w:rsidRPr="001F4954">
        <w:rPr>
          <w:rFonts w:hint="eastAsia"/>
          <w:sz w:val="20"/>
          <w:szCs w:val="20"/>
        </w:rPr>
        <w:t>7</w:t>
      </w:r>
      <w:r w:rsidR="001F4954" w:rsidRPr="001F4954">
        <w:rPr>
          <w:sz w:val="20"/>
          <w:szCs w:val="20"/>
        </w:rPr>
        <w:t>;</w:t>
      </w:r>
      <w:r w:rsidR="001F4954" w:rsidRPr="001F4954">
        <w:rPr>
          <w:rFonts w:hint="eastAsia"/>
          <w:sz w:val="20"/>
          <w:szCs w:val="20"/>
        </w:rPr>
        <w:t>7</w:t>
      </w:r>
      <w:r w:rsidR="001F4954" w:rsidRPr="001F4954">
        <w:rPr>
          <w:sz w:val="20"/>
          <w:szCs w:val="20"/>
        </w:rPr>
        <w:t>(</w:t>
      </w:r>
      <w:r w:rsidR="001F4954" w:rsidRPr="001F4954">
        <w:rPr>
          <w:rFonts w:hint="eastAsia"/>
          <w:sz w:val="20"/>
          <w:szCs w:val="20"/>
        </w:rPr>
        <w:t>3</w:t>
      </w:r>
      <w:r w:rsidR="001F4954" w:rsidRPr="001F4954">
        <w:rPr>
          <w:sz w:val="20"/>
          <w:szCs w:val="20"/>
        </w:rPr>
        <w:t>):</w:t>
      </w:r>
      <w:r w:rsidR="00CA1853">
        <w:rPr>
          <w:noProof/>
          <w:color w:val="000000"/>
          <w:sz w:val="20"/>
          <w:szCs w:val="20"/>
        </w:rPr>
        <w:t>90-94</w:t>
      </w:r>
      <w:r w:rsidR="001F4954" w:rsidRPr="001F4954">
        <w:rPr>
          <w:sz w:val="20"/>
          <w:szCs w:val="20"/>
        </w:rPr>
        <w:t xml:space="preserve">]. </w:t>
      </w:r>
      <w:r w:rsidR="001F4954" w:rsidRPr="001F4954">
        <w:rPr>
          <w:rStyle w:val="msonormal0"/>
          <w:rFonts w:eastAsia="宋"/>
          <w:sz w:val="20"/>
          <w:szCs w:val="20"/>
        </w:rPr>
        <w:t>ISSN: 2150-1041 (print); ISSN: 2150-105X (online)</w:t>
      </w:r>
      <w:r w:rsidR="001F4954" w:rsidRPr="001F4954">
        <w:rPr>
          <w:sz w:val="20"/>
          <w:szCs w:val="20"/>
        </w:rPr>
        <w:t xml:space="preserve">. </w:t>
      </w:r>
      <w:hyperlink r:id="rId16" w:history="1">
        <w:r w:rsidR="001F4954" w:rsidRPr="001F4954">
          <w:rPr>
            <w:rStyle w:val="Hyperlink"/>
            <w:sz w:val="20"/>
            <w:szCs w:val="20"/>
          </w:rPr>
          <w:t>http://www.cancerbio.net</w:t>
        </w:r>
      </w:hyperlink>
      <w:r w:rsidR="001F4954" w:rsidRPr="001F4954">
        <w:rPr>
          <w:sz w:val="20"/>
          <w:szCs w:val="20"/>
        </w:rPr>
        <w:t>.</w:t>
      </w:r>
      <w:r w:rsidR="001F4954" w:rsidRPr="001F4954">
        <w:rPr>
          <w:rFonts w:hint="eastAsia"/>
          <w:sz w:val="20"/>
          <w:szCs w:val="20"/>
        </w:rPr>
        <w:t xml:space="preserve"> </w:t>
      </w:r>
      <w:r w:rsidR="001F4954">
        <w:rPr>
          <w:rFonts w:hint="eastAsia"/>
          <w:sz w:val="20"/>
          <w:szCs w:val="20"/>
          <w:lang w:eastAsia="zh-CN"/>
        </w:rPr>
        <w:t>13</w:t>
      </w:r>
      <w:r w:rsidR="001F4954" w:rsidRPr="001F4954">
        <w:rPr>
          <w:rFonts w:hint="eastAsia"/>
          <w:sz w:val="20"/>
          <w:szCs w:val="20"/>
        </w:rPr>
        <w:t xml:space="preserve">. </w:t>
      </w:r>
      <w:r w:rsidR="001F4954" w:rsidRPr="001F4954">
        <w:rPr>
          <w:color w:val="000000"/>
          <w:sz w:val="20"/>
          <w:szCs w:val="20"/>
          <w:shd w:val="clear" w:color="auto" w:fill="FFFFFF"/>
        </w:rPr>
        <w:t>doi:</w:t>
      </w:r>
      <w:hyperlink r:id="rId17" w:history="1">
        <w:r w:rsidR="001F4954" w:rsidRPr="001F4954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="001F4954" w:rsidRPr="001F4954">
          <w:rPr>
            <w:rStyle w:val="Hyperlink"/>
            <w:rFonts w:hint="eastAsia"/>
            <w:sz w:val="20"/>
            <w:szCs w:val="20"/>
            <w:shd w:val="clear" w:color="auto" w:fill="FFFFFF"/>
          </w:rPr>
          <w:t>cbj0703</w:t>
        </w:r>
        <w:r w:rsidR="001F4954" w:rsidRPr="001F4954">
          <w:rPr>
            <w:rStyle w:val="Hyperlink"/>
            <w:sz w:val="20"/>
            <w:szCs w:val="20"/>
            <w:shd w:val="clear" w:color="auto" w:fill="FFFFFF"/>
          </w:rPr>
          <w:t>1</w:t>
        </w:r>
        <w:r w:rsidR="001F4954" w:rsidRPr="001F4954">
          <w:rPr>
            <w:rStyle w:val="Hyperlink"/>
            <w:rFonts w:hint="eastAsia"/>
            <w:sz w:val="20"/>
            <w:szCs w:val="20"/>
            <w:shd w:val="clear" w:color="auto" w:fill="FFFFFF"/>
          </w:rPr>
          <w:t>7.</w:t>
        </w:r>
        <w:r w:rsidR="001F4954"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13</w:t>
        </w:r>
      </w:hyperlink>
      <w:r w:rsidR="001F4954" w:rsidRPr="001F4954">
        <w:rPr>
          <w:color w:val="000000"/>
          <w:sz w:val="20"/>
          <w:szCs w:val="20"/>
          <w:shd w:val="clear" w:color="auto" w:fill="FFFFFF"/>
        </w:rPr>
        <w:t>.</w:t>
      </w:r>
    </w:p>
    <w:p w:rsidR="00A46739" w:rsidRPr="00A46739" w:rsidRDefault="00A46739" w:rsidP="001F4954">
      <w:pPr>
        <w:snapToGrid w:val="0"/>
        <w:jc w:val="both"/>
        <w:rPr>
          <w:sz w:val="20"/>
          <w:szCs w:val="28"/>
          <w:lang w:val="en-US" w:eastAsia="zh-CN" w:bidi="ar-EG"/>
        </w:rPr>
      </w:pPr>
    </w:p>
    <w:p w:rsidR="00AF4047" w:rsidRPr="00A46739" w:rsidRDefault="00820623" w:rsidP="001F4954">
      <w:pPr>
        <w:snapToGrid w:val="0"/>
        <w:jc w:val="both"/>
        <w:outlineLvl w:val="0"/>
        <w:rPr>
          <w:color w:val="000000"/>
          <w:sz w:val="20"/>
          <w:lang w:val="en-US"/>
        </w:rPr>
      </w:pPr>
      <w:r w:rsidRPr="00A46739">
        <w:rPr>
          <w:rFonts w:eastAsia="Calibri"/>
          <w:b/>
          <w:bCs/>
          <w:sz w:val="20"/>
          <w:szCs w:val="28"/>
          <w:lang w:val="en-US"/>
        </w:rPr>
        <w:t>Key words</w:t>
      </w:r>
      <w:r w:rsidRPr="00A46739">
        <w:rPr>
          <w:rFonts w:eastAsia="Calibri"/>
          <w:sz w:val="20"/>
          <w:szCs w:val="28"/>
          <w:lang w:val="en-US"/>
        </w:rPr>
        <w:t>:</w:t>
      </w:r>
      <w:r w:rsidR="004827E0" w:rsidRPr="00A46739">
        <w:rPr>
          <w:rFonts w:eastAsia="Calibri"/>
          <w:sz w:val="20"/>
          <w:szCs w:val="28"/>
          <w:lang w:val="en-US"/>
        </w:rPr>
        <w:t xml:space="preserve"> Breast cancer,</w:t>
      </w:r>
      <w:r w:rsidRPr="00A46739">
        <w:rPr>
          <w:rFonts w:eastAsia="Calibri"/>
          <w:sz w:val="20"/>
          <w:szCs w:val="28"/>
          <w:lang w:val="en-US"/>
        </w:rPr>
        <w:t xml:space="preserve"> </w:t>
      </w:r>
      <w:proofErr w:type="spellStart"/>
      <w:r w:rsidR="00C72F05" w:rsidRPr="00A46739">
        <w:rPr>
          <w:color w:val="000000"/>
          <w:sz w:val="20"/>
          <w:lang w:val="en-US"/>
        </w:rPr>
        <w:t>Axillary</w:t>
      </w:r>
      <w:proofErr w:type="spellEnd"/>
      <w:r w:rsidR="00C72F05" w:rsidRPr="00A46739">
        <w:rPr>
          <w:color w:val="000000"/>
          <w:sz w:val="20"/>
          <w:lang w:val="en-US"/>
        </w:rPr>
        <w:t xml:space="preserve"> dissection,</w:t>
      </w:r>
      <w:r w:rsidR="004827E0" w:rsidRPr="00A46739">
        <w:rPr>
          <w:color w:val="000000"/>
          <w:sz w:val="20"/>
          <w:lang w:val="en-US"/>
        </w:rPr>
        <w:t xml:space="preserve"> </w:t>
      </w:r>
      <w:proofErr w:type="spellStart"/>
      <w:r w:rsidR="004827E0" w:rsidRPr="00A46739">
        <w:rPr>
          <w:color w:val="000000"/>
          <w:sz w:val="20"/>
          <w:lang w:val="en-US"/>
        </w:rPr>
        <w:t>Axillary</w:t>
      </w:r>
      <w:proofErr w:type="spellEnd"/>
      <w:r w:rsidR="004827E0" w:rsidRPr="00A46739">
        <w:rPr>
          <w:color w:val="000000"/>
          <w:sz w:val="20"/>
          <w:lang w:val="en-US"/>
        </w:rPr>
        <w:t xml:space="preserve"> reverse mapping</w:t>
      </w:r>
    </w:p>
    <w:p w:rsidR="00A46739" w:rsidRPr="00A46739" w:rsidRDefault="00A46739" w:rsidP="001F4954">
      <w:pPr>
        <w:snapToGrid w:val="0"/>
        <w:jc w:val="both"/>
        <w:rPr>
          <w:b/>
          <w:bCs/>
          <w:i/>
          <w:iCs/>
          <w:sz w:val="20"/>
          <w:szCs w:val="28"/>
          <w:lang w:val="en-US" w:eastAsia="zh-CN" w:bidi="ar-EG"/>
        </w:rPr>
      </w:pPr>
    </w:p>
    <w:p w:rsidR="001F4954" w:rsidRDefault="001F4954" w:rsidP="001F4954">
      <w:pPr>
        <w:snapToGrid w:val="0"/>
        <w:jc w:val="both"/>
        <w:rPr>
          <w:rFonts w:eastAsia="Calibri"/>
          <w:b/>
          <w:bCs/>
          <w:iCs/>
          <w:sz w:val="20"/>
          <w:szCs w:val="28"/>
          <w:lang w:val="en-US" w:bidi="ar-EG"/>
        </w:rPr>
        <w:sectPr w:rsidR="001F4954" w:rsidSect="00CA1853">
          <w:headerReference w:type="default" r:id="rId18"/>
          <w:footerReference w:type="default" r:id="rId19"/>
          <w:type w:val="continuous"/>
          <w:pgSz w:w="12240" w:h="15840" w:code="1"/>
          <w:pgMar w:top="1440" w:right="1440" w:bottom="1440" w:left="1440" w:header="720" w:footer="720" w:gutter="0"/>
          <w:pgNumType w:start="90"/>
          <w:cols w:space="720"/>
          <w:docGrid w:linePitch="326"/>
        </w:sectPr>
      </w:pPr>
    </w:p>
    <w:p w:rsidR="00820623" w:rsidRPr="001F4954" w:rsidRDefault="00820623" w:rsidP="001F4954">
      <w:pPr>
        <w:snapToGrid w:val="0"/>
        <w:jc w:val="both"/>
        <w:rPr>
          <w:rFonts w:eastAsia="Calibri"/>
          <w:b/>
          <w:bCs/>
          <w:iCs/>
          <w:sz w:val="20"/>
          <w:szCs w:val="28"/>
          <w:lang w:val="en-US" w:bidi="ar-EG"/>
        </w:rPr>
      </w:pPr>
      <w:r w:rsidRPr="001F4954">
        <w:rPr>
          <w:rFonts w:eastAsia="Calibri"/>
          <w:b/>
          <w:bCs/>
          <w:iCs/>
          <w:sz w:val="20"/>
          <w:szCs w:val="28"/>
          <w:lang w:val="en-US" w:bidi="ar-EG"/>
        </w:rPr>
        <w:lastRenderedPageBreak/>
        <w:t>Introduction:</w:t>
      </w:r>
    </w:p>
    <w:p w:rsidR="001F4954" w:rsidRDefault="008D6507" w:rsidP="001F4954">
      <w:pPr>
        <w:autoSpaceDE w:val="0"/>
        <w:autoSpaceDN w:val="0"/>
        <w:adjustRightInd w:val="0"/>
        <w:snapToGrid w:val="0"/>
        <w:ind w:firstLine="425"/>
        <w:jc w:val="both"/>
        <w:rPr>
          <w:color w:val="000000"/>
          <w:sz w:val="20"/>
          <w:szCs w:val="28"/>
          <w:lang w:val="en-US"/>
        </w:rPr>
      </w:pPr>
      <w:proofErr w:type="spellStart"/>
      <w:r w:rsidRPr="00A46739">
        <w:rPr>
          <w:rFonts w:eastAsia="Calibri"/>
          <w:sz w:val="20"/>
          <w:szCs w:val="28"/>
          <w:lang w:val="en-US"/>
        </w:rPr>
        <w:t>Axillary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lymph node dissection (ALND</w:t>
      </w:r>
      <w:r w:rsidR="0082391E" w:rsidRPr="00A46739">
        <w:rPr>
          <w:rFonts w:eastAsia="Calibri"/>
          <w:sz w:val="20"/>
          <w:szCs w:val="28"/>
          <w:lang w:val="en-US"/>
        </w:rPr>
        <w:t>) is</w:t>
      </w:r>
      <w:r w:rsidRPr="00A46739">
        <w:rPr>
          <w:rFonts w:eastAsia="Calibri"/>
          <w:sz w:val="20"/>
          <w:szCs w:val="28"/>
          <w:lang w:val="en-US"/>
        </w:rPr>
        <w:t xml:space="preserve"> associated with many complications as </w:t>
      </w:r>
      <w:proofErr w:type="spellStart"/>
      <w:r w:rsidR="0082391E" w:rsidRPr="00A46739">
        <w:rPr>
          <w:rFonts w:eastAsia="Calibri"/>
          <w:sz w:val="20"/>
          <w:szCs w:val="28"/>
          <w:lang w:val="en-US"/>
        </w:rPr>
        <w:t>lymphedema</w:t>
      </w:r>
      <w:proofErr w:type="spellEnd"/>
      <w:r w:rsidR="0082391E" w:rsidRPr="00A46739">
        <w:rPr>
          <w:rFonts w:eastAsia="Calibri"/>
          <w:sz w:val="20"/>
          <w:szCs w:val="28"/>
          <w:lang w:val="en-US"/>
        </w:rPr>
        <w:t xml:space="preserve">, </w:t>
      </w:r>
      <w:proofErr w:type="spellStart"/>
      <w:r w:rsidR="0082391E" w:rsidRPr="00A46739">
        <w:rPr>
          <w:rFonts w:eastAsia="Calibri"/>
          <w:sz w:val="20"/>
          <w:szCs w:val="28"/>
          <w:lang w:val="en-US"/>
        </w:rPr>
        <w:t>seroma</w:t>
      </w:r>
      <w:proofErr w:type="spellEnd"/>
      <w:r w:rsidR="0082391E" w:rsidRPr="00A46739">
        <w:rPr>
          <w:rFonts w:eastAsia="Calibri"/>
          <w:sz w:val="20"/>
          <w:szCs w:val="28"/>
          <w:lang w:val="en-US"/>
        </w:rPr>
        <w:t>,</w:t>
      </w:r>
      <w:r w:rsidRPr="00A46739">
        <w:rPr>
          <w:rFonts w:eastAsia="Calibri"/>
          <w:sz w:val="20"/>
          <w:szCs w:val="28"/>
          <w:lang w:val="en-US"/>
        </w:rPr>
        <w:t xml:space="preserve"> </w:t>
      </w:r>
      <w:r w:rsidR="0082391E" w:rsidRPr="00A46739">
        <w:rPr>
          <w:rFonts w:eastAsia="Calibri"/>
          <w:sz w:val="20"/>
          <w:szCs w:val="28"/>
          <w:lang w:val="en-US"/>
        </w:rPr>
        <w:t xml:space="preserve">infection, </w:t>
      </w:r>
      <w:proofErr w:type="spellStart"/>
      <w:r w:rsidR="0082391E" w:rsidRPr="00A46739">
        <w:rPr>
          <w:rFonts w:eastAsia="Calibri"/>
          <w:sz w:val="20"/>
          <w:szCs w:val="28"/>
          <w:lang w:val="en-US"/>
        </w:rPr>
        <w:t>parasthesia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and pain </w:t>
      </w:r>
      <w:r w:rsidR="0082391E" w:rsidRPr="00A46739">
        <w:rPr>
          <w:rFonts w:eastAsia="Calibri"/>
          <w:sz w:val="20"/>
          <w:szCs w:val="28"/>
          <w:lang w:val="en-US"/>
        </w:rPr>
        <w:t xml:space="preserve">but, </w:t>
      </w:r>
      <w:proofErr w:type="spellStart"/>
      <w:r w:rsidR="0082391E" w:rsidRPr="00A46739">
        <w:rPr>
          <w:rFonts w:eastAsia="Calibri"/>
          <w:sz w:val="20"/>
          <w:szCs w:val="28"/>
          <w:lang w:val="en-US"/>
        </w:rPr>
        <w:t>lymphedema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is considered the most dangerous complication following ALND</w:t>
      </w:r>
      <w:r w:rsidR="008D1BB6" w:rsidRPr="00A46739">
        <w:rPr>
          <w:rFonts w:eastAsia="Calibri"/>
          <w:color w:val="FF0000"/>
          <w:sz w:val="20"/>
          <w:szCs w:val="28"/>
          <w:lang w:val="en-US"/>
        </w:rPr>
        <w:t xml:space="preserve"> [1, 2]</w:t>
      </w:r>
      <w:r w:rsidRPr="00A46739">
        <w:rPr>
          <w:rFonts w:eastAsia="Calibri"/>
          <w:sz w:val="20"/>
          <w:szCs w:val="28"/>
          <w:lang w:val="en-US"/>
        </w:rPr>
        <w:t xml:space="preserve">. </w:t>
      </w:r>
      <w:proofErr w:type="spellStart"/>
      <w:r w:rsidRPr="00A46739">
        <w:rPr>
          <w:rFonts w:eastAsia="Calibri"/>
          <w:sz w:val="20"/>
          <w:szCs w:val="28"/>
          <w:lang w:val="en-US"/>
        </w:rPr>
        <w:t>Lymphedema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occur in about 10-30 % of patient with </w:t>
      </w:r>
      <w:r w:rsidR="008D1BB6" w:rsidRPr="00A46739">
        <w:rPr>
          <w:rFonts w:eastAsia="Calibri"/>
          <w:sz w:val="20"/>
          <w:szCs w:val="28"/>
          <w:lang w:val="en-US"/>
        </w:rPr>
        <w:t xml:space="preserve">ALND </w:t>
      </w:r>
      <w:r w:rsidR="008D1BB6" w:rsidRPr="00A46739">
        <w:rPr>
          <w:rFonts w:eastAsia="Calibri"/>
          <w:color w:val="FF0000"/>
          <w:sz w:val="20"/>
          <w:szCs w:val="28"/>
          <w:lang w:val="en-US"/>
        </w:rPr>
        <w:t>[3-5]</w:t>
      </w:r>
      <w:r w:rsidRPr="00A46739">
        <w:rPr>
          <w:rFonts w:eastAsia="Calibri"/>
          <w:color w:val="FF0000"/>
          <w:sz w:val="20"/>
          <w:szCs w:val="28"/>
          <w:lang w:val="en-US"/>
        </w:rPr>
        <w:t>.</w:t>
      </w:r>
      <w:r w:rsidR="003402DA" w:rsidRPr="00A46739">
        <w:rPr>
          <w:color w:val="FF0000"/>
          <w:sz w:val="20"/>
          <w:szCs w:val="28"/>
          <w:lang w:val="en-US"/>
        </w:rPr>
        <w:t xml:space="preserve"> </w:t>
      </w:r>
      <w:r w:rsidR="003402DA" w:rsidRPr="00A46739">
        <w:rPr>
          <w:color w:val="000000"/>
          <w:sz w:val="20"/>
          <w:szCs w:val="28"/>
          <w:lang w:val="en-US"/>
        </w:rPr>
        <w:t xml:space="preserve">The main target of our study was how to decrease the standard ALND associated morbidity. </w:t>
      </w:r>
    </w:p>
    <w:p w:rsidR="001F4954" w:rsidRDefault="003402DA" w:rsidP="001F4954">
      <w:pPr>
        <w:autoSpaceDE w:val="0"/>
        <w:autoSpaceDN w:val="0"/>
        <w:adjustRightInd w:val="0"/>
        <w:snapToGrid w:val="0"/>
        <w:ind w:firstLine="425"/>
        <w:jc w:val="both"/>
        <w:rPr>
          <w:color w:val="000000"/>
          <w:sz w:val="20"/>
          <w:szCs w:val="28"/>
          <w:lang w:val="en-US"/>
        </w:rPr>
      </w:pPr>
      <w:r w:rsidRPr="00A46739">
        <w:rPr>
          <w:color w:val="000000"/>
          <w:sz w:val="20"/>
          <w:szCs w:val="28"/>
          <w:lang w:val="en-US"/>
        </w:rPr>
        <w:t xml:space="preserve">Clinically involved </w:t>
      </w:r>
      <w:proofErr w:type="spellStart"/>
      <w:r w:rsidRPr="00A46739">
        <w:rPr>
          <w:color w:val="000000"/>
          <w:sz w:val="20"/>
          <w:szCs w:val="28"/>
          <w:lang w:val="en-US"/>
        </w:rPr>
        <w:t>axilla</w:t>
      </w:r>
      <w:proofErr w:type="spellEnd"/>
      <w:r w:rsidRPr="00A46739">
        <w:rPr>
          <w:color w:val="000000"/>
          <w:sz w:val="20"/>
          <w:szCs w:val="28"/>
          <w:lang w:val="en-US"/>
        </w:rPr>
        <w:t xml:space="preserve"> needs extensive dissection for </w:t>
      </w:r>
      <w:proofErr w:type="spellStart"/>
      <w:r w:rsidRPr="00A46739">
        <w:rPr>
          <w:color w:val="000000"/>
          <w:sz w:val="20"/>
          <w:szCs w:val="28"/>
          <w:lang w:val="en-US"/>
        </w:rPr>
        <w:t>oncological</w:t>
      </w:r>
      <w:proofErr w:type="spellEnd"/>
      <w:r w:rsidRPr="00A46739">
        <w:rPr>
          <w:color w:val="000000"/>
          <w:sz w:val="20"/>
          <w:szCs w:val="28"/>
          <w:lang w:val="en-US"/>
        </w:rPr>
        <w:t xml:space="preserve"> safety; we focused on clinically negative </w:t>
      </w:r>
      <w:proofErr w:type="spellStart"/>
      <w:r w:rsidRPr="00A46739">
        <w:rPr>
          <w:color w:val="000000"/>
          <w:sz w:val="20"/>
          <w:szCs w:val="28"/>
          <w:lang w:val="en-US"/>
        </w:rPr>
        <w:t>axilla</w:t>
      </w:r>
      <w:proofErr w:type="spellEnd"/>
      <w:r w:rsidRPr="00A46739">
        <w:rPr>
          <w:color w:val="000000"/>
          <w:sz w:val="20"/>
          <w:szCs w:val="28"/>
          <w:lang w:val="en-US"/>
        </w:rPr>
        <w:t xml:space="preserve"> with micro metastasis and determine the clinical relevance and </w:t>
      </w:r>
      <w:proofErr w:type="spellStart"/>
      <w:r w:rsidRPr="00A46739">
        <w:rPr>
          <w:color w:val="000000"/>
          <w:sz w:val="20"/>
          <w:szCs w:val="28"/>
          <w:lang w:val="en-US"/>
        </w:rPr>
        <w:t>oncological</w:t>
      </w:r>
      <w:proofErr w:type="spellEnd"/>
      <w:r w:rsidRPr="00A46739">
        <w:rPr>
          <w:color w:val="000000"/>
          <w:sz w:val="20"/>
          <w:szCs w:val="28"/>
          <w:lang w:val="en-US"/>
        </w:rPr>
        <w:t xml:space="preserve"> safety of sparing upper limb lymphatic.</w:t>
      </w:r>
    </w:p>
    <w:p w:rsidR="001F4954" w:rsidRDefault="008D6507" w:rsidP="001F4954">
      <w:pPr>
        <w:snapToGrid w:val="0"/>
        <w:ind w:firstLine="425"/>
        <w:jc w:val="both"/>
        <w:rPr>
          <w:rFonts w:eastAsia="Calibri"/>
          <w:sz w:val="20"/>
          <w:szCs w:val="28"/>
          <w:lang w:val="en-US"/>
        </w:rPr>
      </w:pPr>
      <w:proofErr w:type="spellStart"/>
      <w:r w:rsidRPr="00A46739">
        <w:rPr>
          <w:rFonts w:eastAsia="Calibri"/>
          <w:sz w:val="20"/>
          <w:szCs w:val="28"/>
          <w:lang w:val="en-US"/>
        </w:rPr>
        <w:t>Axillary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</w:t>
      </w:r>
      <w:proofErr w:type="spellStart"/>
      <w:r w:rsidRPr="00A46739">
        <w:rPr>
          <w:rFonts w:eastAsia="Calibri"/>
          <w:sz w:val="20"/>
          <w:szCs w:val="28"/>
          <w:lang w:val="en-US"/>
        </w:rPr>
        <w:t>revers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mapping (ARM) is a newly developed technique </w:t>
      </w:r>
      <w:r w:rsidR="00BD41AA" w:rsidRPr="00A46739">
        <w:rPr>
          <w:rFonts w:eastAsia="Calibri"/>
          <w:sz w:val="20"/>
          <w:szCs w:val="28"/>
          <w:lang w:val="en-US"/>
        </w:rPr>
        <w:t xml:space="preserve">firstly developed in 2007 and helps in decrease the upper limb </w:t>
      </w:r>
      <w:proofErr w:type="spellStart"/>
      <w:r w:rsidR="00BD41AA" w:rsidRPr="00A46739">
        <w:rPr>
          <w:rFonts w:eastAsia="Calibri"/>
          <w:sz w:val="20"/>
          <w:szCs w:val="28"/>
          <w:lang w:val="en-US"/>
        </w:rPr>
        <w:t>lymphedema</w:t>
      </w:r>
      <w:proofErr w:type="spellEnd"/>
      <w:r w:rsidR="00BD41AA" w:rsidRPr="00A46739">
        <w:rPr>
          <w:rFonts w:eastAsia="Calibri"/>
          <w:sz w:val="20"/>
          <w:szCs w:val="28"/>
          <w:lang w:val="en-US"/>
        </w:rPr>
        <w:t xml:space="preserve"> by preserving the u</w:t>
      </w:r>
      <w:r w:rsidR="008D1BB6" w:rsidRPr="00A46739">
        <w:rPr>
          <w:rFonts w:eastAsia="Calibri"/>
          <w:sz w:val="20"/>
          <w:szCs w:val="28"/>
          <w:lang w:val="en-US"/>
        </w:rPr>
        <w:t>pper limb lymphatic during ALND</w:t>
      </w:r>
      <w:r w:rsidR="008D1BB6" w:rsidRPr="00A46739">
        <w:rPr>
          <w:rFonts w:eastAsia="Calibri"/>
          <w:color w:val="FF0000"/>
          <w:sz w:val="20"/>
          <w:szCs w:val="28"/>
          <w:lang w:val="en-US"/>
        </w:rPr>
        <w:t xml:space="preserve"> [6,7].</w:t>
      </w:r>
    </w:p>
    <w:p w:rsidR="001F4954" w:rsidRDefault="00BD41AA" w:rsidP="001F4954">
      <w:pPr>
        <w:snapToGrid w:val="0"/>
        <w:ind w:firstLine="425"/>
        <w:jc w:val="both"/>
        <w:rPr>
          <w:rFonts w:eastAsia="Calibri"/>
          <w:sz w:val="20"/>
          <w:szCs w:val="28"/>
          <w:lang w:val="en-US"/>
        </w:rPr>
      </w:pPr>
      <w:r w:rsidRPr="00A46739">
        <w:rPr>
          <w:rFonts w:eastAsia="Calibri"/>
          <w:sz w:val="20"/>
          <w:szCs w:val="28"/>
          <w:lang w:val="en-US"/>
        </w:rPr>
        <w:t xml:space="preserve">The </w:t>
      </w:r>
      <w:proofErr w:type="spellStart"/>
      <w:r w:rsidRPr="00A46739">
        <w:rPr>
          <w:rFonts w:eastAsia="Calibri"/>
          <w:sz w:val="20"/>
          <w:szCs w:val="28"/>
          <w:lang w:val="en-US"/>
        </w:rPr>
        <w:t>oncological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safety of preserving the upper limb lymphatic is still unclear.</w:t>
      </w:r>
    </w:p>
    <w:p w:rsidR="001F4954" w:rsidRDefault="00BD41AA" w:rsidP="001F4954">
      <w:pPr>
        <w:snapToGrid w:val="0"/>
        <w:ind w:firstLine="425"/>
        <w:jc w:val="both"/>
        <w:rPr>
          <w:rFonts w:eastAsia="Calibri"/>
          <w:sz w:val="20"/>
          <w:szCs w:val="28"/>
          <w:lang w:val="en-US"/>
        </w:rPr>
      </w:pPr>
      <w:r w:rsidRPr="00A46739">
        <w:rPr>
          <w:rFonts w:eastAsia="Calibri"/>
          <w:sz w:val="20"/>
          <w:szCs w:val="28"/>
          <w:lang w:val="en-US"/>
        </w:rPr>
        <w:t xml:space="preserve">Sentinel lymph node biopsy (SLNB) is the standard technique in clinically negative </w:t>
      </w:r>
      <w:proofErr w:type="spellStart"/>
      <w:r w:rsidRPr="00A46739">
        <w:rPr>
          <w:rFonts w:eastAsia="Calibri"/>
          <w:sz w:val="20"/>
          <w:szCs w:val="28"/>
          <w:lang w:val="en-US"/>
        </w:rPr>
        <w:t>axilla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to determine </w:t>
      </w:r>
      <w:proofErr w:type="spellStart"/>
      <w:r w:rsidRPr="00A46739">
        <w:rPr>
          <w:rFonts w:eastAsia="Calibri"/>
          <w:sz w:val="20"/>
          <w:szCs w:val="28"/>
          <w:lang w:val="en-US"/>
        </w:rPr>
        <w:t>axillary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</w:t>
      </w:r>
      <w:r w:rsidR="008D1BB6" w:rsidRPr="00A46739">
        <w:rPr>
          <w:rFonts w:eastAsia="Calibri"/>
          <w:sz w:val="20"/>
          <w:szCs w:val="28"/>
          <w:lang w:val="en-US"/>
        </w:rPr>
        <w:t>involvement</w:t>
      </w:r>
      <w:r w:rsidR="008D1BB6" w:rsidRPr="00A46739">
        <w:rPr>
          <w:rFonts w:eastAsia="Calibri"/>
          <w:color w:val="FF0000"/>
          <w:sz w:val="20"/>
          <w:szCs w:val="28"/>
          <w:lang w:val="en-US"/>
        </w:rPr>
        <w:t xml:space="preserve"> [8-11].</w:t>
      </w:r>
    </w:p>
    <w:p w:rsidR="001F4954" w:rsidRDefault="00BD41AA" w:rsidP="001F4954">
      <w:pPr>
        <w:snapToGrid w:val="0"/>
        <w:ind w:firstLine="425"/>
        <w:jc w:val="both"/>
        <w:rPr>
          <w:rFonts w:eastAsia="Calibri"/>
          <w:sz w:val="20"/>
          <w:szCs w:val="28"/>
          <w:lang w:val="en-US"/>
        </w:rPr>
      </w:pPr>
      <w:r w:rsidRPr="00A46739">
        <w:rPr>
          <w:rFonts w:eastAsia="Calibri"/>
          <w:sz w:val="20"/>
          <w:szCs w:val="28"/>
          <w:lang w:val="en-US"/>
        </w:rPr>
        <w:lastRenderedPageBreak/>
        <w:t>The aim of the current study is to determine</w:t>
      </w:r>
      <w:r w:rsidR="00D21B42" w:rsidRPr="00A46739">
        <w:rPr>
          <w:rFonts w:eastAsia="Calibri"/>
          <w:sz w:val="20"/>
          <w:szCs w:val="28"/>
          <w:lang w:val="en-US"/>
        </w:rPr>
        <w:t xml:space="preserve"> the</w:t>
      </w:r>
      <w:r w:rsidRPr="00A46739">
        <w:rPr>
          <w:rFonts w:eastAsia="Calibri"/>
          <w:sz w:val="20"/>
          <w:szCs w:val="28"/>
          <w:lang w:val="en-US"/>
        </w:rPr>
        <w:t xml:space="preserve"> </w:t>
      </w:r>
      <w:proofErr w:type="spellStart"/>
      <w:r w:rsidRPr="00A46739">
        <w:rPr>
          <w:rFonts w:eastAsia="Calibri"/>
          <w:sz w:val="20"/>
          <w:szCs w:val="28"/>
          <w:lang w:val="en-US"/>
        </w:rPr>
        <w:t>oncological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safety of sparing upper limb lymphatic </w:t>
      </w:r>
      <w:r w:rsidR="00D21B42" w:rsidRPr="00A46739">
        <w:rPr>
          <w:rFonts w:eastAsia="Calibri"/>
          <w:sz w:val="20"/>
          <w:szCs w:val="28"/>
          <w:lang w:val="en-US"/>
        </w:rPr>
        <w:t xml:space="preserve">in clinically negative and </w:t>
      </w:r>
      <w:r w:rsidRPr="00A46739">
        <w:rPr>
          <w:rFonts w:eastAsia="Calibri"/>
          <w:sz w:val="20"/>
          <w:szCs w:val="28"/>
          <w:lang w:val="en-US"/>
        </w:rPr>
        <w:t xml:space="preserve">SLNB positive </w:t>
      </w:r>
      <w:proofErr w:type="spellStart"/>
      <w:r w:rsidRPr="00A46739">
        <w:rPr>
          <w:rFonts w:eastAsia="Calibri"/>
          <w:sz w:val="20"/>
          <w:szCs w:val="28"/>
          <w:lang w:val="en-US"/>
        </w:rPr>
        <w:t>axilla</w:t>
      </w:r>
      <w:proofErr w:type="spellEnd"/>
      <w:r w:rsidRPr="00A46739">
        <w:rPr>
          <w:rFonts w:eastAsia="Calibri"/>
          <w:sz w:val="20"/>
          <w:szCs w:val="28"/>
          <w:lang w:val="en-US"/>
        </w:rPr>
        <w:t>.</w:t>
      </w:r>
    </w:p>
    <w:p w:rsidR="001F4954" w:rsidRDefault="00820623" w:rsidP="001F4954">
      <w:pPr>
        <w:snapToGrid w:val="0"/>
        <w:jc w:val="both"/>
        <w:rPr>
          <w:rFonts w:eastAsia="Calibri"/>
          <w:b/>
          <w:bCs/>
          <w:i/>
          <w:iCs/>
          <w:sz w:val="20"/>
          <w:szCs w:val="28"/>
          <w:lang w:val="en-US"/>
        </w:rPr>
      </w:pPr>
      <w:r w:rsidRPr="00A46739">
        <w:rPr>
          <w:rFonts w:eastAsia="Calibri"/>
          <w:b/>
          <w:bCs/>
          <w:i/>
          <w:iCs/>
          <w:sz w:val="20"/>
          <w:szCs w:val="28"/>
          <w:lang w:val="en-US"/>
        </w:rPr>
        <w:t>Patients and methods:</w:t>
      </w:r>
    </w:p>
    <w:p w:rsidR="001F4954" w:rsidRDefault="004121BA" w:rsidP="001F4954">
      <w:pPr>
        <w:snapToGrid w:val="0"/>
        <w:ind w:firstLine="425"/>
        <w:jc w:val="both"/>
        <w:rPr>
          <w:rFonts w:eastAsia="Calibri"/>
          <w:sz w:val="20"/>
          <w:szCs w:val="28"/>
          <w:lang w:val="en-US"/>
        </w:rPr>
      </w:pPr>
      <w:r w:rsidRPr="00A46739">
        <w:rPr>
          <w:rFonts w:eastAsia="Calibri"/>
          <w:sz w:val="20"/>
          <w:szCs w:val="28"/>
          <w:lang w:val="en-US"/>
        </w:rPr>
        <w:t xml:space="preserve">Ninety-eight early breast cancer patients with clinically negative </w:t>
      </w:r>
      <w:proofErr w:type="spellStart"/>
      <w:r w:rsidRPr="00A46739">
        <w:rPr>
          <w:rFonts w:eastAsia="Calibri"/>
          <w:sz w:val="20"/>
          <w:szCs w:val="28"/>
          <w:lang w:val="en-US"/>
        </w:rPr>
        <w:t>axilla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were conducted in this study during the period between March 20</w:t>
      </w:r>
      <w:r w:rsidR="00D21B42" w:rsidRPr="00A46739">
        <w:rPr>
          <w:rFonts w:eastAsia="Calibri"/>
          <w:sz w:val="20"/>
          <w:szCs w:val="28"/>
          <w:lang w:val="en-US"/>
        </w:rPr>
        <w:t>1</w:t>
      </w:r>
      <w:r w:rsidRPr="00A46739">
        <w:rPr>
          <w:rFonts w:eastAsia="Calibri"/>
          <w:sz w:val="20"/>
          <w:szCs w:val="28"/>
          <w:lang w:val="en-US"/>
        </w:rPr>
        <w:t xml:space="preserve">3 and October 2014 at surgical oncology unit, </w:t>
      </w:r>
      <w:proofErr w:type="spellStart"/>
      <w:r w:rsidRPr="00A46739">
        <w:rPr>
          <w:rFonts w:eastAsia="Calibri"/>
          <w:sz w:val="20"/>
          <w:szCs w:val="28"/>
          <w:lang w:val="en-US"/>
        </w:rPr>
        <w:t>Zagazig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university hospital, </w:t>
      </w:r>
      <w:proofErr w:type="spellStart"/>
      <w:r w:rsidRPr="00A46739">
        <w:rPr>
          <w:rFonts w:eastAsia="Calibri"/>
          <w:sz w:val="20"/>
          <w:szCs w:val="28"/>
          <w:lang w:val="en-US"/>
        </w:rPr>
        <w:t>Zagazig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, Egypt. This research was approved by local ethical committee of our </w:t>
      </w:r>
      <w:r w:rsidR="003145E5" w:rsidRPr="00A46739">
        <w:rPr>
          <w:rFonts w:eastAsia="Calibri"/>
          <w:sz w:val="20"/>
          <w:szCs w:val="28"/>
          <w:lang w:val="en-US"/>
        </w:rPr>
        <w:t>university (</w:t>
      </w:r>
      <w:proofErr w:type="spellStart"/>
      <w:r w:rsidR="003145E5" w:rsidRPr="00A46739">
        <w:rPr>
          <w:rFonts w:eastAsia="Calibri"/>
          <w:sz w:val="20"/>
          <w:szCs w:val="28"/>
          <w:lang w:val="en-US"/>
        </w:rPr>
        <w:t>Zagazig</w:t>
      </w:r>
      <w:proofErr w:type="spellEnd"/>
      <w:r w:rsidR="003145E5" w:rsidRPr="00A46739">
        <w:rPr>
          <w:rFonts w:eastAsia="Calibri"/>
          <w:sz w:val="20"/>
          <w:szCs w:val="28"/>
          <w:lang w:val="en-US"/>
        </w:rPr>
        <w:t xml:space="preserve"> University, Faculty of Medicine</w:t>
      </w:r>
      <w:r w:rsidR="001F4954" w:rsidRPr="00A46739">
        <w:rPr>
          <w:rFonts w:eastAsia="Calibri"/>
          <w:sz w:val="20"/>
          <w:szCs w:val="28"/>
          <w:lang w:val="en-US"/>
        </w:rPr>
        <w:t>,</w:t>
      </w:r>
      <w:r w:rsidR="001F4954">
        <w:rPr>
          <w:rFonts w:eastAsia="Calibri"/>
          <w:sz w:val="20"/>
          <w:szCs w:val="28"/>
          <w:lang w:val="en-US"/>
        </w:rPr>
        <w:t xml:space="preserve"> </w:t>
      </w:r>
      <w:r w:rsidR="001F4954" w:rsidRPr="00A46739">
        <w:rPr>
          <w:rFonts w:eastAsia="Calibri"/>
          <w:sz w:val="20"/>
          <w:szCs w:val="28"/>
          <w:lang w:val="en-US"/>
        </w:rPr>
        <w:t>I</w:t>
      </w:r>
      <w:r w:rsidR="003145E5" w:rsidRPr="00A46739">
        <w:rPr>
          <w:rFonts w:eastAsia="Calibri"/>
          <w:sz w:val="20"/>
          <w:szCs w:val="28"/>
          <w:lang w:val="en-US"/>
        </w:rPr>
        <w:t>RB unit)</w:t>
      </w:r>
      <w:bookmarkStart w:id="0" w:name="_GoBack"/>
      <w:bookmarkEnd w:id="0"/>
      <w:r w:rsidR="00FB6A2B" w:rsidRPr="00A46739">
        <w:rPr>
          <w:rFonts w:eastAsia="Calibri"/>
          <w:sz w:val="20"/>
          <w:szCs w:val="28"/>
          <w:lang w:val="en-US"/>
        </w:rPr>
        <w:t xml:space="preserve"> and consents were taken from our patients before the procedure.</w:t>
      </w:r>
    </w:p>
    <w:p w:rsidR="001F4954" w:rsidRDefault="00FB6A2B" w:rsidP="001F4954">
      <w:pPr>
        <w:snapToGrid w:val="0"/>
        <w:ind w:firstLine="425"/>
        <w:jc w:val="both"/>
        <w:rPr>
          <w:rFonts w:eastAsia="Calibri"/>
          <w:sz w:val="20"/>
          <w:szCs w:val="28"/>
          <w:lang w:val="en-US"/>
        </w:rPr>
      </w:pPr>
      <w:r w:rsidRPr="00A46739">
        <w:rPr>
          <w:rFonts w:eastAsia="Calibri"/>
          <w:sz w:val="20"/>
          <w:szCs w:val="28"/>
          <w:lang w:val="en-US"/>
        </w:rPr>
        <w:t xml:space="preserve">All patients were diagnosed as clinically negative </w:t>
      </w:r>
      <w:proofErr w:type="spellStart"/>
      <w:r w:rsidRPr="00A46739">
        <w:rPr>
          <w:rFonts w:eastAsia="Calibri"/>
          <w:sz w:val="20"/>
          <w:szCs w:val="28"/>
          <w:lang w:val="en-US"/>
        </w:rPr>
        <w:t>axilla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by clinical examination and </w:t>
      </w:r>
      <w:proofErr w:type="spellStart"/>
      <w:r w:rsidRPr="00A46739">
        <w:rPr>
          <w:rFonts w:eastAsia="Calibri"/>
          <w:sz w:val="20"/>
          <w:szCs w:val="28"/>
          <w:lang w:val="en-US"/>
        </w:rPr>
        <w:t>ultrasonography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. Clinically positive </w:t>
      </w:r>
      <w:proofErr w:type="spellStart"/>
      <w:r w:rsidRPr="00A46739">
        <w:rPr>
          <w:rFonts w:eastAsia="Calibri"/>
          <w:sz w:val="20"/>
          <w:szCs w:val="28"/>
          <w:lang w:val="en-US"/>
        </w:rPr>
        <w:t>axilla</w:t>
      </w:r>
      <w:proofErr w:type="spellEnd"/>
      <w:r w:rsidR="00DF797E" w:rsidRPr="00A46739">
        <w:rPr>
          <w:rFonts w:eastAsia="Calibri"/>
          <w:sz w:val="20"/>
          <w:szCs w:val="28"/>
          <w:lang w:val="en-US"/>
        </w:rPr>
        <w:t xml:space="preserve"> and patients with history of </w:t>
      </w:r>
      <w:proofErr w:type="spellStart"/>
      <w:r w:rsidR="00DF797E" w:rsidRPr="00A46739">
        <w:rPr>
          <w:rFonts w:eastAsia="Calibri"/>
          <w:sz w:val="20"/>
          <w:szCs w:val="28"/>
          <w:lang w:val="en-US"/>
        </w:rPr>
        <w:t>axillary</w:t>
      </w:r>
      <w:proofErr w:type="spellEnd"/>
      <w:r w:rsidR="00DF797E" w:rsidRPr="00A46739">
        <w:rPr>
          <w:rFonts w:eastAsia="Calibri"/>
          <w:sz w:val="20"/>
          <w:szCs w:val="28"/>
          <w:lang w:val="en-US"/>
        </w:rPr>
        <w:t xml:space="preserve"> surgery</w:t>
      </w:r>
      <w:r w:rsidRPr="00A46739">
        <w:rPr>
          <w:rFonts w:eastAsia="Calibri"/>
          <w:sz w:val="20"/>
          <w:szCs w:val="28"/>
          <w:lang w:val="en-US"/>
        </w:rPr>
        <w:t xml:space="preserve"> </w:t>
      </w:r>
      <w:r w:rsidR="00DF797E" w:rsidRPr="00A46739">
        <w:rPr>
          <w:rFonts w:eastAsia="Calibri"/>
          <w:sz w:val="20"/>
          <w:szCs w:val="28"/>
          <w:lang w:val="en-US"/>
        </w:rPr>
        <w:t>were</w:t>
      </w:r>
      <w:r w:rsidRPr="00A46739">
        <w:rPr>
          <w:rFonts w:eastAsia="Calibri"/>
          <w:sz w:val="20"/>
          <w:szCs w:val="28"/>
          <w:lang w:val="en-US"/>
        </w:rPr>
        <w:t xml:space="preserve"> excluded from the study.</w:t>
      </w:r>
    </w:p>
    <w:p w:rsidR="001F4954" w:rsidRDefault="00FB6A2B" w:rsidP="001F4954">
      <w:pPr>
        <w:snapToGrid w:val="0"/>
        <w:ind w:firstLine="425"/>
        <w:jc w:val="both"/>
        <w:rPr>
          <w:rFonts w:eastAsia="Calibri"/>
          <w:sz w:val="20"/>
          <w:szCs w:val="28"/>
          <w:lang w:val="en-US"/>
        </w:rPr>
      </w:pPr>
      <w:r w:rsidRPr="00A46739">
        <w:rPr>
          <w:rFonts w:eastAsia="Calibri"/>
          <w:sz w:val="20"/>
          <w:szCs w:val="28"/>
          <w:lang w:val="en-US"/>
        </w:rPr>
        <w:t xml:space="preserve">SLNB were done for all patients at the beginning of the </w:t>
      </w:r>
      <w:r w:rsidR="00683AA7" w:rsidRPr="00A46739">
        <w:rPr>
          <w:rFonts w:eastAsia="Calibri"/>
          <w:sz w:val="20"/>
          <w:szCs w:val="28"/>
          <w:lang w:val="en-US"/>
        </w:rPr>
        <w:t>procedure,</w:t>
      </w:r>
      <w:r w:rsidRPr="00A46739">
        <w:rPr>
          <w:rFonts w:eastAsia="Calibri"/>
          <w:sz w:val="20"/>
          <w:szCs w:val="28"/>
          <w:lang w:val="en-US"/>
        </w:rPr>
        <w:t xml:space="preserve"> negative SLNB</w:t>
      </w:r>
      <w:r w:rsidR="00683AA7" w:rsidRPr="00A46739">
        <w:rPr>
          <w:rFonts w:eastAsia="Calibri"/>
          <w:sz w:val="20"/>
          <w:szCs w:val="28"/>
          <w:lang w:val="en-US"/>
        </w:rPr>
        <w:t xml:space="preserve"> patients were excluded from the study, while positive SLNB patients were randomized into two groups, group I for standard ALND and group II for conservative ALND.</w:t>
      </w:r>
    </w:p>
    <w:p w:rsidR="00683AA7" w:rsidRPr="00A46739" w:rsidRDefault="00683AA7" w:rsidP="001F4954">
      <w:pPr>
        <w:snapToGrid w:val="0"/>
        <w:ind w:firstLine="425"/>
        <w:jc w:val="both"/>
        <w:rPr>
          <w:rFonts w:eastAsia="Calibri"/>
          <w:color w:val="FF0000"/>
          <w:sz w:val="20"/>
          <w:szCs w:val="28"/>
          <w:lang w:val="en-US"/>
        </w:rPr>
      </w:pPr>
      <w:r w:rsidRPr="00A46739">
        <w:rPr>
          <w:rFonts w:eastAsia="Calibri"/>
          <w:sz w:val="20"/>
          <w:szCs w:val="28"/>
          <w:lang w:val="en-US"/>
        </w:rPr>
        <w:t xml:space="preserve">Conservative ALND group patients underwent ARM for identification of upper limb lymphatic and </w:t>
      </w:r>
      <w:r w:rsidRPr="00A46739">
        <w:rPr>
          <w:rFonts w:eastAsia="Calibri"/>
          <w:sz w:val="20"/>
          <w:szCs w:val="28"/>
          <w:lang w:val="en-US"/>
        </w:rPr>
        <w:lastRenderedPageBreak/>
        <w:t>sparing these lymph nodes during ALND</w:t>
      </w:r>
      <w:r w:rsidR="00D33EC0" w:rsidRPr="00A46739">
        <w:rPr>
          <w:rFonts w:eastAsia="Calibri"/>
          <w:sz w:val="20"/>
          <w:szCs w:val="28"/>
          <w:lang w:val="en-US"/>
        </w:rPr>
        <w:t>. Consort flow diagram shown in</w:t>
      </w:r>
      <w:r w:rsidR="00D33EC0" w:rsidRPr="00A46739">
        <w:rPr>
          <w:sz w:val="20"/>
        </w:rPr>
        <w:t xml:space="preserve"> </w:t>
      </w:r>
      <w:r w:rsidR="00D33EC0" w:rsidRPr="00A46739">
        <w:rPr>
          <w:rFonts w:eastAsia="Calibri"/>
          <w:color w:val="FF0000"/>
          <w:sz w:val="20"/>
          <w:szCs w:val="28"/>
          <w:lang w:val="en-US"/>
        </w:rPr>
        <w:t>figure</w:t>
      </w:r>
      <w:r w:rsidR="001B7C79">
        <w:rPr>
          <w:rFonts w:hint="eastAsia"/>
          <w:color w:val="FF0000"/>
          <w:sz w:val="20"/>
          <w:szCs w:val="28"/>
          <w:lang w:val="en-US" w:eastAsia="zh-CN"/>
        </w:rPr>
        <w:t xml:space="preserve"> </w:t>
      </w:r>
      <w:r w:rsidR="00D33EC0" w:rsidRPr="00A46739">
        <w:rPr>
          <w:rFonts w:eastAsia="Calibri"/>
          <w:color w:val="FF0000"/>
          <w:sz w:val="20"/>
          <w:szCs w:val="28"/>
          <w:lang w:val="en-US"/>
        </w:rPr>
        <w:t>1.</w:t>
      </w:r>
    </w:p>
    <w:p w:rsidR="000F00B0" w:rsidRPr="00A46739" w:rsidRDefault="000F00B0" w:rsidP="001F4954">
      <w:pPr>
        <w:snapToGrid w:val="0"/>
        <w:jc w:val="both"/>
        <w:rPr>
          <w:rFonts w:eastAsia="Calibri"/>
          <w:b/>
          <w:bCs/>
          <w:sz w:val="20"/>
          <w:szCs w:val="28"/>
          <w:u w:val="single"/>
          <w:lang w:val="en-US"/>
        </w:rPr>
      </w:pPr>
      <w:r w:rsidRPr="00A46739">
        <w:rPr>
          <w:rFonts w:eastAsia="Calibri"/>
          <w:b/>
          <w:bCs/>
          <w:sz w:val="20"/>
          <w:szCs w:val="28"/>
          <w:u w:val="single"/>
          <w:lang w:val="en-US"/>
        </w:rPr>
        <w:t>SLNB</w:t>
      </w:r>
    </w:p>
    <w:p w:rsidR="00DF797E" w:rsidRPr="00A46739" w:rsidRDefault="00DF797E" w:rsidP="001F4954">
      <w:pPr>
        <w:snapToGrid w:val="0"/>
        <w:ind w:firstLine="425"/>
        <w:jc w:val="both"/>
        <w:rPr>
          <w:rFonts w:eastAsia="Calibri"/>
          <w:sz w:val="20"/>
          <w:szCs w:val="28"/>
          <w:lang w:val="en-US"/>
        </w:rPr>
      </w:pPr>
      <w:r w:rsidRPr="00A46739">
        <w:rPr>
          <w:rFonts w:eastAsia="Calibri"/>
          <w:sz w:val="20"/>
          <w:szCs w:val="28"/>
          <w:lang w:val="en-US"/>
        </w:rPr>
        <w:t xml:space="preserve">In our study SLNB were done by using patent </w:t>
      </w:r>
      <w:proofErr w:type="spellStart"/>
      <w:r w:rsidRPr="00A46739">
        <w:rPr>
          <w:rFonts w:eastAsia="Calibri"/>
          <w:sz w:val="20"/>
          <w:szCs w:val="28"/>
          <w:lang w:val="en-US"/>
        </w:rPr>
        <w:t>methylene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blue dye as it </w:t>
      </w:r>
      <w:r w:rsidR="00250F1B" w:rsidRPr="00A46739">
        <w:rPr>
          <w:rFonts w:eastAsia="Calibri"/>
          <w:sz w:val="20"/>
          <w:szCs w:val="28"/>
          <w:lang w:val="en-US"/>
        </w:rPr>
        <w:t>available</w:t>
      </w:r>
      <w:r w:rsidRPr="00A46739">
        <w:rPr>
          <w:rFonts w:eastAsia="Calibri"/>
          <w:sz w:val="20"/>
          <w:szCs w:val="28"/>
          <w:lang w:val="en-US"/>
        </w:rPr>
        <w:t xml:space="preserve"> and </w:t>
      </w:r>
      <w:r w:rsidR="00250F1B" w:rsidRPr="00A46739">
        <w:rPr>
          <w:rFonts w:eastAsia="Calibri"/>
          <w:sz w:val="20"/>
          <w:szCs w:val="28"/>
          <w:lang w:val="en-US"/>
        </w:rPr>
        <w:t>sheep</w:t>
      </w:r>
      <w:r w:rsidRPr="00A46739">
        <w:rPr>
          <w:rFonts w:eastAsia="Calibri"/>
          <w:sz w:val="20"/>
          <w:szCs w:val="28"/>
          <w:lang w:val="en-US"/>
        </w:rPr>
        <w:t xml:space="preserve"> </w:t>
      </w:r>
    </w:p>
    <w:p w:rsidR="00DF797E" w:rsidRPr="00A46739" w:rsidRDefault="00DF797E" w:rsidP="001F4954">
      <w:pPr>
        <w:snapToGrid w:val="0"/>
        <w:ind w:firstLine="425"/>
        <w:jc w:val="both"/>
        <w:rPr>
          <w:rFonts w:eastAsia="Calibri"/>
          <w:sz w:val="20"/>
          <w:szCs w:val="28"/>
          <w:lang w:val="en-US"/>
        </w:rPr>
      </w:pPr>
      <w:r w:rsidRPr="00A46739">
        <w:rPr>
          <w:rFonts w:eastAsia="Calibri"/>
          <w:sz w:val="20"/>
          <w:szCs w:val="28"/>
          <w:lang w:val="en-US"/>
        </w:rPr>
        <w:t xml:space="preserve">The dye were injected </w:t>
      </w:r>
      <w:proofErr w:type="spellStart"/>
      <w:r w:rsidR="00250F1B" w:rsidRPr="00A46739">
        <w:rPr>
          <w:rFonts w:eastAsia="Calibri"/>
          <w:sz w:val="20"/>
          <w:szCs w:val="28"/>
          <w:lang w:val="en-US"/>
        </w:rPr>
        <w:t>peri-tumoral</w:t>
      </w:r>
      <w:proofErr w:type="spellEnd"/>
      <w:r w:rsidR="00250F1B" w:rsidRPr="00A46739">
        <w:rPr>
          <w:rFonts w:eastAsia="Calibri"/>
          <w:sz w:val="20"/>
          <w:szCs w:val="28"/>
          <w:lang w:val="en-US"/>
        </w:rPr>
        <w:t xml:space="preserve"> 15</w:t>
      </w:r>
      <w:r w:rsidRPr="00A46739">
        <w:rPr>
          <w:rFonts w:eastAsia="Calibri"/>
          <w:sz w:val="20"/>
          <w:szCs w:val="28"/>
          <w:lang w:val="en-US"/>
        </w:rPr>
        <w:t xml:space="preserve"> minutes </w:t>
      </w:r>
      <w:r w:rsidR="00250F1B" w:rsidRPr="00A46739">
        <w:rPr>
          <w:rFonts w:eastAsia="Calibri"/>
          <w:sz w:val="20"/>
          <w:szCs w:val="28"/>
          <w:lang w:val="en-US"/>
        </w:rPr>
        <w:t>before</w:t>
      </w:r>
      <w:r w:rsidRPr="00A46739">
        <w:rPr>
          <w:rFonts w:eastAsia="Calibri"/>
          <w:sz w:val="20"/>
          <w:szCs w:val="28"/>
          <w:lang w:val="en-US"/>
        </w:rPr>
        <w:t xml:space="preserve"> the procedure and identification of the SLN by its </w:t>
      </w:r>
      <w:r w:rsidR="00250F1B" w:rsidRPr="00A46739">
        <w:rPr>
          <w:rFonts w:eastAsia="Calibri"/>
          <w:sz w:val="20"/>
          <w:szCs w:val="28"/>
          <w:lang w:val="en-US"/>
        </w:rPr>
        <w:t xml:space="preserve">bluish discoloration </w:t>
      </w:r>
    </w:p>
    <w:p w:rsidR="000F00B0" w:rsidRPr="00A46739" w:rsidRDefault="000F00B0" w:rsidP="001F4954">
      <w:pPr>
        <w:snapToGrid w:val="0"/>
        <w:jc w:val="both"/>
        <w:rPr>
          <w:rFonts w:eastAsia="Calibri"/>
          <w:b/>
          <w:bCs/>
          <w:sz w:val="20"/>
          <w:szCs w:val="28"/>
          <w:u w:val="single"/>
          <w:lang w:val="en-US"/>
        </w:rPr>
      </w:pPr>
      <w:r w:rsidRPr="00A46739">
        <w:rPr>
          <w:rFonts w:eastAsia="Calibri"/>
          <w:b/>
          <w:bCs/>
          <w:sz w:val="20"/>
          <w:szCs w:val="28"/>
          <w:u w:val="single"/>
          <w:lang w:val="en-US"/>
        </w:rPr>
        <w:t>ARM</w:t>
      </w:r>
    </w:p>
    <w:p w:rsidR="000F00B0" w:rsidRPr="00A46739" w:rsidRDefault="00DF797E" w:rsidP="001F4954">
      <w:pPr>
        <w:snapToGrid w:val="0"/>
        <w:ind w:firstLine="425"/>
        <w:jc w:val="both"/>
        <w:rPr>
          <w:rFonts w:eastAsia="Calibri"/>
          <w:sz w:val="20"/>
          <w:szCs w:val="28"/>
          <w:lang w:val="en-US"/>
        </w:rPr>
      </w:pPr>
      <w:r w:rsidRPr="00A46739">
        <w:rPr>
          <w:rFonts w:eastAsia="Calibri"/>
          <w:sz w:val="20"/>
          <w:szCs w:val="28"/>
          <w:lang w:val="en-US"/>
        </w:rPr>
        <w:t xml:space="preserve">After identification of SLN positive patients; </w:t>
      </w:r>
      <w:r w:rsidR="000F00B0" w:rsidRPr="00A46739">
        <w:rPr>
          <w:rFonts w:eastAsia="Calibri"/>
          <w:sz w:val="20"/>
          <w:szCs w:val="28"/>
          <w:lang w:val="en-US"/>
        </w:rPr>
        <w:t>3 ml of</w:t>
      </w:r>
      <w:r w:rsidR="00ED125A" w:rsidRPr="00A46739">
        <w:rPr>
          <w:rFonts w:eastAsia="Calibri"/>
          <w:sz w:val="20"/>
          <w:szCs w:val="28"/>
          <w:lang w:val="en-US"/>
        </w:rPr>
        <w:t xml:space="preserve"> patent </w:t>
      </w:r>
      <w:r w:rsidR="00934B0D" w:rsidRPr="00A46739">
        <w:rPr>
          <w:rFonts w:eastAsia="Calibri"/>
          <w:sz w:val="20"/>
          <w:szCs w:val="28"/>
          <w:lang w:val="en-US"/>
        </w:rPr>
        <w:t>blue dye</w:t>
      </w:r>
      <w:r w:rsidRPr="00A46739">
        <w:rPr>
          <w:rFonts w:eastAsia="Calibri"/>
          <w:sz w:val="20"/>
          <w:szCs w:val="28"/>
          <w:lang w:val="en-US"/>
        </w:rPr>
        <w:t xml:space="preserve"> was injected </w:t>
      </w:r>
      <w:r w:rsidR="000F00B0" w:rsidRPr="00A46739">
        <w:rPr>
          <w:rFonts w:eastAsia="Calibri"/>
          <w:sz w:val="20"/>
          <w:szCs w:val="28"/>
          <w:lang w:val="en-US"/>
        </w:rPr>
        <w:t>into</w:t>
      </w:r>
      <w:r w:rsidR="00ED125A" w:rsidRPr="00A46739">
        <w:rPr>
          <w:rFonts w:eastAsia="Calibri"/>
          <w:sz w:val="20"/>
          <w:szCs w:val="28"/>
          <w:lang w:val="en-US"/>
        </w:rPr>
        <w:t xml:space="preserve"> </w:t>
      </w:r>
      <w:proofErr w:type="spellStart"/>
      <w:r w:rsidR="00ED125A" w:rsidRPr="00A46739">
        <w:rPr>
          <w:rFonts w:eastAsia="Calibri"/>
          <w:sz w:val="20"/>
          <w:szCs w:val="28"/>
          <w:lang w:val="en-US"/>
        </w:rPr>
        <w:t>subdermal</w:t>
      </w:r>
      <w:proofErr w:type="spellEnd"/>
      <w:r w:rsidR="00ED125A" w:rsidRPr="00A46739">
        <w:rPr>
          <w:rFonts w:eastAsia="Calibri"/>
          <w:sz w:val="20"/>
          <w:szCs w:val="28"/>
          <w:lang w:val="en-US"/>
        </w:rPr>
        <w:t xml:space="preserve"> and subcutaneous</w:t>
      </w:r>
      <w:r w:rsidR="000F00B0" w:rsidRPr="00A46739">
        <w:rPr>
          <w:rFonts w:eastAsia="Calibri"/>
          <w:sz w:val="20"/>
          <w:szCs w:val="28"/>
          <w:lang w:val="en-US"/>
        </w:rPr>
        <w:t xml:space="preserve"> tissues</w:t>
      </w:r>
      <w:r w:rsidR="002D0268" w:rsidRPr="00A46739">
        <w:rPr>
          <w:rFonts w:eastAsia="Calibri"/>
          <w:sz w:val="20"/>
          <w:szCs w:val="28"/>
          <w:lang w:val="en-US"/>
        </w:rPr>
        <w:t xml:space="preserve"> </w:t>
      </w:r>
      <w:r w:rsidR="000F00B0" w:rsidRPr="00A46739">
        <w:rPr>
          <w:rFonts w:eastAsia="Calibri"/>
          <w:sz w:val="20"/>
          <w:szCs w:val="28"/>
          <w:lang w:val="en-US"/>
        </w:rPr>
        <w:t xml:space="preserve">in </w:t>
      </w:r>
      <w:r w:rsidR="002D0268" w:rsidRPr="00A46739">
        <w:rPr>
          <w:rFonts w:eastAsia="Calibri"/>
          <w:sz w:val="20"/>
          <w:szCs w:val="28"/>
          <w:lang w:val="en-US"/>
        </w:rPr>
        <w:t>t</w:t>
      </w:r>
      <w:r w:rsidR="000F00B0" w:rsidRPr="00A46739">
        <w:rPr>
          <w:rFonts w:eastAsia="Calibri"/>
          <w:sz w:val="20"/>
          <w:szCs w:val="28"/>
          <w:lang w:val="en-US"/>
        </w:rPr>
        <w:t>he area of medial intramus</w:t>
      </w:r>
      <w:r w:rsidR="002D0268" w:rsidRPr="00A46739">
        <w:rPr>
          <w:rFonts w:eastAsia="Calibri"/>
          <w:sz w:val="20"/>
          <w:szCs w:val="28"/>
          <w:lang w:val="en-US"/>
        </w:rPr>
        <w:t xml:space="preserve">cular groove of the upper limb. Gentile massage was applied to allow migration of the dye to </w:t>
      </w:r>
      <w:proofErr w:type="spellStart"/>
      <w:r w:rsidR="002D0268" w:rsidRPr="00A46739">
        <w:rPr>
          <w:rFonts w:eastAsia="Calibri"/>
          <w:sz w:val="20"/>
          <w:szCs w:val="28"/>
          <w:lang w:val="en-US"/>
        </w:rPr>
        <w:t>axilla</w:t>
      </w:r>
      <w:proofErr w:type="spellEnd"/>
      <w:r w:rsidR="002D0268" w:rsidRPr="00A46739">
        <w:rPr>
          <w:rFonts w:eastAsia="Calibri"/>
          <w:sz w:val="20"/>
          <w:szCs w:val="28"/>
          <w:lang w:val="en-US"/>
        </w:rPr>
        <w:t>. ARM lymph nodes were localized and spared in conservative group.</w:t>
      </w:r>
    </w:p>
    <w:p w:rsidR="000F00B0" w:rsidRPr="00A46739" w:rsidRDefault="000F00B0" w:rsidP="001F4954">
      <w:pPr>
        <w:snapToGrid w:val="0"/>
        <w:jc w:val="both"/>
        <w:rPr>
          <w:rFonts w:eastAsia="Calibri"/>
          <w:b/>
          <w:bCs/>
          <w:sz w:val="20"/>
          <w:szCs w:val="28"/>
          <w:u w:val="single"/>
          <w:lang w:val="en-US"/>
        </w:rPr>
      </w:pPr>
      <w:r w:rsidRPr="00A46739">
        <w:rPr>
          <w:rFonts w:eastAsia="Calibri"/>
          <w:b/>
          <w:bCs/>
          <w:sz w:val="20"/>
          <w:szCs w:val="28"/>
          <w:u w:val="single"/>
          <w:lang w:val="en-US"/>
        </w:rPr>
        <w:t>ALND</w:t>
      </w:r>
    </w:p>
    <w:p w:rsidR="002D0268" w:rsidRPr="00A46739" w:rsidRDefault="002D0268" w:rsidP="001F4954">
      <w:pPr>
        <w:snapToGrid w:val="0"/>
        <w:ind w:firstLine="425"/>
        <w:jc w:val="both"/>
        <w:rPr>
          <w:rFonts w:eastAsia="Calibri"/>
          <w:sz w:val="20"/>
          <w:szCs w:val="28"/>
          <w:lang w:val="en-US"/>
        </w:rPr>
      </w:pPr>
      <w:r w:rsidRPr="00A46739">
        <w:rPr>
          <w:rFonts w:eastAsia="Calibri"/>
          <w:sz w:val="20"/>
          <w:szCs w:val="28"/>
          <w:lang w:val="en-US"/>
        </w:rPr>
        <w:t xml:space="preserve">Level II </w:t>
      </w:r>
      <w:proofErr w:type="spellStart"/>
      <w:r w:rsidRPr="00A46739">
        <w:rPr>
          <w:rFonts w:eastAsia="Calibri"/>
          <w:sz w:val="20"/>
          <w:szCs w:val="28"/>
          <w:lang w:val="en-US"/>
        </w:rPr>
        <w:t>axillary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dissection was done for all patients with preservation of ARM lymph nodes in </w:t>
      </w:r>
      <w:r w:rsidR="00AE7022" w:rsidRPr="00A46739">
        <w:rPr>
          <w:rFonts w:eastAsia="Calibri"/>
          <w:sz w:val="20"/>
          <w:szCs w:val="28"/>
          <w:lang w:val="en-US"/>
        </w:rPr>
        <w:t>conservative ALND</w:t>
      </w:r>
      <w:r w:rsidRPr="00A46739">
        <w:rPr>
          <w:rFonts w:eastAsia="Calibri"/>
          <w:sz w:val="20"/>
          <w:szCs w:val="28"/>
          <w:lang w:val="en-US"/>
        </w:rPr>
        <w:t xml:space="preserve"> group.</w:t>
      </w:r>
    </w:p>
    <w:p w:rsidR="008A3A5B" w:rsidRPr="00A46739" w:rsidRDefault="008A3A5B" w:rsidP="001F4954">
      <w:pPr>
        <w:snapToGrid w:val="0"/>
        <w:jc w:val="both"/>
        <w:rPr>
          <w:rFonts w:eastAsia="Calibri"/>
          <w:b/>
          <w:bCs/>
          <w:sz w:val="20"/>
          <w:szCs w:val="28"/>
          <w:u w:val="single"/>
          <w:lang w:val="en-US"/>
        </w:rPr>
      </w:pPr>
      <w:proofErr w:type="spellStart"/>
      <w:r w:rsidRPr="00A46739">
        <w:rPr>
          <w:rFonts w:eastAsia="Calibri"/>
          <w:b/>
          <w:bCs/>
          <w:sz w:val="20"/>
          <w:szCs w:val="28"/>
          <w:u w:val="single"/>
          <w:lang w:val="en-US"/>
        </w:rPr>
        <w:t>Lymphedema</w:t>
      </w:r>
      <w:proofErr w:type="spellEnd"/>
    </w:p>
    <w:p w:rsidR="00A55332" w:rsidRPr="00A46739" w:rsidRDefault="008A3A5B" w:rsidP="001F4954">
      <w:pPr>
        <w:snapToGrid w:val="0"/>
        <w:ind w:firstLine="425"/>
        <w:jc w:val="both"/>
        <w:rPr>
          <w:color w:val="FF0000"/>
          <w:sz w:val="20"/>
          <w:szCs w:val="28"/>
          <w:lang w:val="en-US" w:bidi="ar-EG"/>
        </w:rPr>
      </w:pPr>
      <w:r w:rsidRPr="00A46739">
        <w:rPr>
          <w:rFonts w:eastAsia="Calibri"/>
          <w:sz w:val="20"/>
          <w:szCs w:val="28"/>
          <w:lang w:val="en-US"/>
        </w:rPr>
        <w:t xml:space="preserve">Upper limb </w:t>
      </w:r>
      <w:proofErr w:type="spellStart"/>
      <w:r w:rsidRPr="00A46739">
        <w:rPr>
          <w:rFonts w:eastAsia="Calibri"/>
          <w:sz w:val="20"/>
          <w:szCs w:val="28"/>
          <w:lang w:val="en-US"/>
        </w:rPr>
        <w:t>lymphedema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measured every 3 months during the period of follow up. </w:t>
      </w:r>
      <w:proofErr w:type="spellStart"/>
      <w:r w:rsidRPr="00A46739">
        <w:rPr>
          <w:rFonts w:eastAsia="Calibri"/>
          <w:sz w:val="20"/>
          <w:szCs w:val="28"/>
          <w:lang w:val="en-US"/>
        </w:rPr>
        <w:t>Lymphedema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measured by measuring the upper limb circumference at wrist, mid forearm and mid arm an</w:t>
      </w:r>
      <w:r w:rsidR="00105952" w:rsidRPr="00A46739">
        <w:rPr>
          <w:rFonts w:eastAsia="Calibri"/>
          <w:sz w:val="20"/>
          <w:szCs w:val="28"/>
          <w:lang w:val="en-US"/>
        </w:rPr>
        <w:t xml:space="preserve">d compared with the normal </w:t>
      </w:r>
      <w:r w:rsidR="00A55332" w:rsidRPr="00A46739">
        <w:rPr>
          <w:rFonts w:eastAsia="Calibri"/>
          <w:sz w:val="20"/>
          <w:szCs w:val="28"/>
          <w:lang w:val="en-US"/>
        </w:rPr>
        <w:t>side</w:t>
      </w:r>
      <w:r w:rsidR="00A55332" w:rsidRPr="00A46739">
        <w:rPr>
          <w:rFonts w:eastAsia="Calibri"/>
          <w:color w:val="FF0000"/>
          <w:sz w:val="20"/>
          <w:szCs w:val="28"/>
          <w:lang w:val="en-US"/>
        </w:rPr>
        <w:t xml:space="preserve"> [12].</w:t>
      </w:r>
    </w:p>
    <w:p w:rsidR="008A3A5B" w:rsidRPr="00A46739" w:rsidRDefault="00105952" w:rsidP="001F4954">
      <w:pPr>
        <w:snapToGrid w:val="0"/>
        <w:jc w:val="both"/>
        <w:rPr>
          <w:rFonts w:eastAsia="Calibri"/>
          <w:b/>
          <w:bCs/>
          <w:sz w:val="20"/>
          <w:szCs w:val="28"/>
          <w:u w:val="single"/>
          <w:lang w:val="en-US"/>
        </w:rPr>
      </w:pPr>
      <w:proofErr w:type="spellStart"/>
      <w:r w:rsidRPr="00A46739">
        <w:rPr>
          <w:rFonts w:eastAsia="Calibri"/>
          <w:b/>
          <w:bCs/>
          <w:sz w:val="20"/>
          <w:szCs w:val="28"/>
          <w:u w:val="single"/>
          <w:lang w:val="en-US"/>
        </w:rPr>
        <w:t>Parasthesia</w:t>
      </w:r>
      <w:proofErr w:type="spellEnd"/>
      <w:r w:rsidRPr="00A46739">
        <w:rPr>
          <w:rFonts w:eastAsia="Calibri"/>
          <w:b/>
          <w:bCs/>
          <w:sz w:val="20"/>
          <w:szCs w:val="28"/>
          <w:u w:val="single"/>
          <w:lang w:val="en-US"/>
        </w:rPr>
        <w:t xml:space="preserve"> and numbness.</w:t>
      </w:r>
      <w:r w:rsidR="008A3A5B" w:rsidRPr="00A46739">
        <w:rPr>
          <w:rFonts w:eastAsia="Calibri"/>
          <w:b/>
          <w:bCs/>
          <w:sz w:val="20"/>
          <w:szCs w:val="28"/>
          <w:u w:val="single"/>
          <w:lang w:val="en-US"/>
        </w:rPr>
        <w:t xml:space="preserve"> </w:t>
      </w:r>
    </w:p>
    <w:p w:rsidR="00105952" w:rsidRPr="00A46739" w:rsidRDefault="00105952" w:rsidP="001F4954">
      <w:pPr>
        <w:snapToGrid w:val="0"/>
        <w:ind w:firstLine="425"/>
        <w:jc w:val="both"/>
        <w:rPr>
          <w:rFonts w:eastAsia="Calibri"/>
          <w:color w:val="FF0000"/>
          <w:sz w:val="20"/>
          <w:szCs w:val="28"/>
          <w:lang w:val="en-US"/>
        </w:rPr>
      </w:pPr>
      <w:proofErr w:type="spellStart"/>
      <w:r w:rsidRPr="00A46739">
        <w:rPr>
          <w:rFonts w:eastAsia="Calibri"/>
          <w:sz w:val="20"/>
          <w:szCs w:val="28"/>
          <w:lang w:val="en-US"/>
        </w:rPr>
        <w:t>Parasthesia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and numbness measured by standardized questioner developed for patients with breast </w:t>
      </w:r>
      <w:r w:rsidR="00680141" w:rsidRPr="00A46739">
        <w:rPr>
          <w:rFonts w:eastAsia="Calibri"/>
          <w:sz w:val="20"/>
          <w:szCs w:val="28"/>
          <w:lang w:val="en-US"/>
        </w:rPr>
        <w:t>cancer</w:t>
      </w:r>
      <w:r w:rsidR="00680141" w:rsidRPr="00A46739">
        <w:rPr>
          <w:rFonts w:eastAsia="Calibri"/>
          <w:color w:val="FF0000"/>
          <w:sz w:val="20"/>
          <w:szCs w:val="28"/>
          <w:lang w:val="en-US"/>
        </w:rPr>
        <w:t xml:space="preserve"> [</w:t>
      </w:r>
      <w:r w:rsidR="00A55332" w:rsidRPr="00A46739">
        <w:rPr>
          <w:rFonts w:eastAsia="Calibri"/>
          <w:color w:val="FF0000"/>
          <w:sz w:val="20"/>
          <w:szCs w:val="28"/>
          <w:lang w:val="en-US"/>
        </w:rPr>
        <w:t>13].</w:t>
      </w:r>
    </w:p>
    <w:p w:rsidR="00105952" w:rsidRPr="00A46739" w:rsidRDefault="00636C41" w:rsidP="001F4954">
      <w:pPr>
        <w:snapToGrid w:val="0"/>
        <w:jc w:val="both"/>
        <w:rPr>
          <w:rFonts w:eastAsia="Calibri"/>
          <w:b/>
          <w:bCs/>
          <w:sz w:val="20"/>
          <w:szCs w:val="28"/>
          <w:u w:val="single"/>
          <w:lang w:val="en-US"/>
        </w:rPr>
      </w:pPr>
      <w:r w:rsidRPr="00A46739">
        <w:rPr>
          <w:rFonts w:eastAsia="Calibri"/>
          <w:b/>
          <w:bCs/>
          <w:sz w:val="20"/>
          <w:szCs w:val="28"/>
          <w:u w:val="single"/>
          <w:lang w:val="en-US"/>
        </w:rPr>
        <w:t>Pain</w:t>
      </w:r>
    </w:p>
    <w:p w:rsidR="001F4954" w:rsidRDefault="00636C41" w:rsidP="001F4954">
      <w:pPr>
        <w:snapToGrid w:val="0"/>
        <w:ind w:firstLine="425"/>
        <w:jc w:val="both"/>
        <w:rPr>
          <w:rFonts w:eastAsia="Calibri"/>
          <w:sz w:val="20"/>
          <w:szCs w:val="28"/>
          <w:lang w:val="en-US"/>
        </w:rPr>
      </w:pPr>
      <w:r w:rsidRPr="00A46739">
        <w:rPr>
          <w:rFonts w:eastAsia="Calibri"/>
          <w:sz w:val="20"/>
          <w:szCs w:val="28"/>
          <w:lang w:val="en-US"/>
        </w:rPr>
        <w:t>Measured by visual analogue scal</w:t>
      </w:r>
      <w:r w:rsidR="001F4954" w:rsidRPr="00A46739">
        <w:rPr>
          <w:rFonts w:eastAsia="Calibri"/>
          <w:sz w:val="20"/>
          <w:szCs w:val="28"/>
          <w:lang w:val="en-US"/>
        </w:rPr>
        <w:t>e</w:t>
      </w:r>
      <w:r w:rsidR="001F4954">
        <w:rPr>
          <w:rFonts w:eastAsia="Calibri"/>
          <w:sz w:val="20"/>
          <w:szCs w:val="28"/>
          <w:lang w:val="en-US"/>
        </w:rPr>
        <w:t>.</w:t>
      </w:r>
    </w:p>
    <w:p w:rsidR="00105952" w:rsidRPr="00A46739" w:rsidRDefault="007757AE" w:rsidP="001F4954">
      <w:pPr>
        <w:snapToGrid w:val="0"/>
        <w:jc w:val="both"/>
        <w:rPr>
          <w:rFonts w:eastAsia="Calibri"/>
          <w:sz w:val="20"/>
          <w:szCs w:val="28"/>
          <w:lang w:val="en-US"/>
        </w:rPr>
      </w:pPr>
      <w:r w:rsidRPr="00A46739">
        <w:rPr>
          <w:rFonts w:eastAsia="Calibri"/>
          <w:b/>
          <w:bCs/>
          <w:sz w:val="20"/>
          <w:szCs w:val="28"/>
          <w:u w:val="single"/>
          <w:lang w:val="en-US"/>
        </w:rPr>
        <w:lastRenderedPageBreak/>
        <w:t>Affection of shoulder mobility</w:t>
      </w:r>
    </w:p>
    <w:p w:rsidR="007757AE" w:rsidRPr="00A46739" w:rsidRDefault="007757AE" w:rsidP="001F4954">
      <w:pPr>
        <w:snapToGrid w:val="0"/>
        <w:ind w:firstLine="425"/>
        <w:jc w:val="both"/>
        <w:rPr>
          <w:rFonts w:eastAsia="Calibri"/>
          <w:sz w:val="20"/>
          <w:szCs w:val="28"/>
          <w:lang w:val="en-US"/>
        </w:rPr>
      </w:pPr>
      <w:r w:rsidRPr="00A46739">
        <w:rPr>
          <w:rFonts w:eastAsia="Calibri"/>
          <w:sz w:val="20"/>
          <w:szCs w:val="28"/>
          <w:lang w:val="en-US"/>
        </w:rPr>
        <w:t>Shoulder mobility assessed by comparing both upper limbs mobility, it considered affected when the patient cannot abduct the arm more than 90 degree.</w:t>
      </w:r>
    </w:p>
    <w:p w:rsidR="00683AA7" w:rsidRPr="00A46739" w:rsidRDefault="00683AA7" w:rsidP="001F4954">
      <w:pPr>
        <w:snapToGrid w:val="0"/>
        <w:ind w:firstLine="425"/>
        <w:jc w:val="both"/>
        <w:rPr>
          <w:rFonts w:eastAsia="Calibri"/>
          <w:sz w:val="20"/>
          <w:szCs w:val="28"/>
          <w:lang w:val="en-US"/>
        </w:rPr>
      </w:pPr>
      <w:r w:rsidRPr="00A46739">
        <w:rPr>
          <w:rFonts w:eastAsia="Calibri"/>
          <w:sz w:val="20"/>
          <w:szCs w:val="28"/>
          <w:lang w:val="en-US"/>
        </w:rPr>
        <w:t xml:space="preserve">All </w:t>
      </w:r>
      <w:r w:rsidR="0082391E" w:rsidRPr="00A46739">
        <w:rPr>
          <w:rFonts w:eastAsia="Calibri"/>
          <w:sz w:val="20"/>
          <w:szCs w:val="28"/>
          <w:lang w:val="en-US"/>
        </w:rPr>
        <w:t>patients</w:t>
      </w:r>
      <w:r w:rsidRPr="00A46739">
        <w:rPr>
          <w:rFonts w:eastAsia="Calibri"/>
          <w:sz w:val="20"/>
          <w:szCs w:val="28"/>
          <w:lang w:val="en-US"/>
        </w:rPr>
        <w:t xml:space="preserve"> were followed up till April 2017</w:t>
      </w:r>
      <w:r w:rsidR="0082391E" w:rsidRPr="00A46739">
        <w:rPr>
          <w:rFonts w:eastAsia="Calibri"/>
          <w:sz w:val="20"/>
          <w:szCs w:val="28"/>
          <w:lang w:val="en-US"/>
        </w:rPr>
        <w:t xml:space="preserve"> with follow up period ranged from 30 – 49 month (mean follow up period was 39 month).</w:t>
      </w:r>
    </w:p>
    <w:p w:rsidR="00FB6A2B" w:rsidRPr="00A46739" w:rsidRDefault="00FB6A2B" w:rsidP="001F4954">
      <w:pPr>
        <w:snapToGrid w:val="0"/>
        <w:ind w:firstLine="425"/>
        <w:jc w:val="both"/>
        <w:rPr>
          <w:rFonts w:eastAsia="Calibri"/>
          <w:sz w:val="20"/>
          <w:szCs w:val="28"/>
          <w:lang w:val="en-US"/>
        </w:rPr>
      </w:pPr>
    </w:p>
    <w:p w:rsidR="00820623" w:rsidRPr="00A46739" w:rsidRDefault="001F4954" w:rsidP="001F4954">
      <w:pPr>
        <w:snapToGrid w:val="0"/>
        <w:jc w:val="both"/>
        <w:rPr>
          <w:b/>
          <w:bCs/>
          <w:sz w:val="20"/>
          <w:szCs w:val="28"/>
          <w:lang w:val="en-US"/>
        </w:rPr>
      </w:pPr>
      <w:r w:rsidRPr="00A46739">
        <w:rPr>
          <w:b/>
          <w:bCs/>
          <w:sz w:val="20"/>
          <w:szCs w:val="28"/>
          <w:lang w:val="en-US"/>
        </w:rPr>
        <w:t>Results</w:t>
      </w:r>
    </w:p>
    <w:p w:rsidR="001F4954" w:rsidRDefault="00A9069D" w:rsidP="001F4954">
      <w:pPr>
        <w:snapToGrid w:val="0"/>
        <w:ind w:firstLine="425"/>
        <w:jc w:val="both"/>
        <w:rPr>
          <w:sz w:val="20"/>
          <w:szCs w:val="28"/>
          <w:lang w:val="en-US"/>
        </w:rPr>
      </w:pPr>
      <w:r w:rsidRPr="00A46739">
        <w:rPr>
          <w:rFonts w:eastAsia="Calibri"/>
          <w:sz w:val="20"/>
          <w:szCs w:val="28"/>
          <w:lang w:val="en-US"/>
        </w:rPr>
        <w:t>Ninety-eight early breast cancer patients</w:t>
      </w:r>
      <w:r w:rsidRPr="00A46739">
        <w:rPr>
          <w:b/>
          <w:bCs/>
          <w:sz w:val="20"/>
          <w:szCs w:val="28"/>
          <w:lang w:val="en-US"/>
        </w:rPr>
        <w:t xml:space="preserve"> </w:t>
      </w:r>
      <w:r w:rsidRPr="00A46739">
        <w:rPr>
          <w:sz w:val="20"/>
          <w:szCs w:val="28"/>
          <w:lang w:val="en-US"/>
        </w:rPr>
        <w:t xml:space="preserve">were initially included in this study, 16 patients were negative </w:t>
      </w:r>
      <w:r w:rsidR="00865474" w:rsidRPr="00A46739">
        <w:rPr>
          <w:sz w:val="20"/>
          <w:szCs w:val="28"/>
          <w:lang w:val="en-US"/>
        </w:rPr>
        <w:t>SLNB,</w:t>
      </w:r>
      <w:r w:rsidRPr="00A46739">
        <w:rPr>
          <w:sz w:val="20"/>
          <w:szCs w:val="28"/>
          <w:lang w:val="en-US"/>
        </w:rPr>
        <w:t xml:space="preserve"> while 82 were positive SLNB.</w:t>
      </w:r>
    </w:p>
    <w:p w:rsidR="001F4954" w:rsidRDefault="00A9069D" w:rsidP="001F4954">
      <w:pPr>
        <w:snapToGrid w:val="0"/>
        <w:ind w:firstLine="425"/>
        <w:jc w:val="both"/>
        <w:rPr>
          <w:sz w:val="20"/>
          <w:szCs w:val="28"/>
          <w:lang w:val="en-US"/>
        </w:rPr>
      </w:pPr>
      <w:r w:rsidRPr="00A46739">
        <w:rPr>
          <w:sz w:val="20"/>
          <w:szCs w:val="28"/>
          <w:lang w:val="en-US"/>
        </w:rPr>
        <w:t xml:space="preserve">Positive nodal patients were </w:t>
      </w:r>
      <w:r w:rsidR="00865474" w:rsidRPr="00A46739">
        <w:rPr>
          <w:sz w:val="20"/>
          <w:szCs w:val="28"/>
          <w:lang w:val="en-US"/>
        </w:rPr>
        <w:t>randomized</w:t>
      </w:r>
      <w:r w:rsidRPr="00A46739">
        <w:rPr>
          <w:sz w:val="20"/>
          <w:szCs w:val="28"/>
          <w:lang w:val="en-US"/>
        </w:rPr>
        <w:t xml:space="preserve"> classified into two </w:t>
      </w:r>
      <w:r w:rsidR="00865474" w:rsidRPr="00A46739">
        <w:rPr>
          <w:sz w:val="20"/>
          <w:szCs w:val="28"/>
          <w:lang w:val="en-US"/>
        </w:rPr>
        <w:t>groups,</w:t>
      </w:r>
      <w:r w:rsidRPr="00A46739">
        <w:rPr>
          <w:sz w:val="20"/>
          <w:szCs w:val="28"/>
          <w:lang w:val="en-US"/>
        </w:rPr>
        <w:t xml:space="preserve"> 41 in each one. One </w:t>
      </w:r>
      <w:r w:rsidR="00865474" w:rsidRPr="00A46739">
        <w:rPr>
          <w:sz w:val="20"/>
          <w:szCs w:val="28"/>
          <w:lang w:val="en-US"/>
        </w:rPr>
        <w:t>patient was lost during follow</w:t>
      </w:r>
      <w:r w:rsidRPr="00A46739">
        <w:rPr>
          <w:sz w:val="20"/>
          <w:szCs w:val="28"/>
          <w:lang w:val="en-US"/>
        </w:rPr>
        <w:t xml:space="preserve"> up period in group </w:t>
      </w:r>
      <w:r w:rsidR="00865474" w:rsidRPr="00A46739">
        <w:rPr>
          <w:sz w:val="20"/>
          <w:szCs w:val="28"/>
          <w:lang w:val="en-US"/>
        </w:rPr>
        <w:t>I,</w:t>
      </w:r>
      <w:r w:rsidRPr="00A46739">
        <w:rPr>
          <w:sz w:val="20"/>
          <w:szCs w:val="28"/>
          <w:lang w:val="en-US"/>
        </w:rPr>
        <w:t xml:space="preserve"> while 3 were lost in group II.</w:t>
      </w:r>
    </w:p>
    <w:p w:rsidR="001F4954" w:rsidRDefault="00865474" w:rsidP="001F4954">
      <w:pPr>
        <w:snapToGrid w:val="0"/>
        <w:ind w:firstLine="425"/>
        <w:jc w:val="both"/>
        <w:rPr>
          <w:sz w:val="20"/>
          <w:szCs w:val="28"/>
          <w:lang w:val="en-US"/>
        </w:rPr>
      </w:pPr>
      <w:r w:rsidRPr="00A46739">
        <w:rPr>
          <w:sz w:val="20"/>
          <w:szCs w:val="28"/>
          <w:lang w:val="en-US"/>
        </w:rPr>
        <w:t>The mean age in group I was 49.8and 49.2 in groups II. As regarding tumor stage 12 patients in group I were stage I and 28 patients were stage II while in group II, 11 patients were stage I and 27 patients were stage II.</w:t>
      </w:r>
    </w:p>
    <w:p w:rsidR="001F4954" w:rsidRDefault="00865474" w:rsidP="001F4954">
      <w:pPr>
        <w:snapToGrid w:val="0"/>
        <w:ind w:firstLine="425"/>
        <w:jc w:val="both"/>
        <w:rPr>
          <w:sz w:val="20"/>
          <w:szCs w:val="28"/>
          <w:lang w:val="en-US"/>
        </w:rPr>
      </w:pPr>
      <w:r w:rsidRPr="00A46739">
        <w:rPr>
          <w:sz w:val="20"/>
          <w:szCs w:val="28"/>
          <w:lang w:val="en-US"/>
        </w:rPr>
        <w:t>IDC were the commonest histological type in both groups (25 patients in each group)</w:t>
      </w:r>
      <w:r w:rsidR="001F4954" w:rsidRPr="00A46739">
        <w:rPr>
          <w:sz w:val="20"/>
          <w:szCs w:val="28"/>
          <w:lang w:val="en-US"/>
        </w:rPr>
        <w:t>.</w:t>
      </w:r>
      <w:r w:rsidR="001F4954">
        <w:rPr>
          <w:sz w:val="20"/>
          <w:szCs w:val="28"/>
          <w:lang w:val="en-US"/>
        </w:rPr>
        <w:t xml:space="preserve"> </w:t>
      </w:r>
      <w:r w:rsidR="001F4954" w:rsidRPr="00A46739">
        <w:rPr>
          <w:sz w:val="20"/>
          <w:szCs w:val="28"/>
          <w:lang w:val="en-US"/>
        </w:rPr>
        <w:t>m</w:t>
      </w:r>
      <w:r w:rsidRPr="00A46739">
        <w:rPr>
          <w:sz w:val="20"/>
          <w:szCs w:val="28"/>
          <w:lang w:val="en-US"/>
        </w:rPr>
        <w:t>ost of tumors were located in upper outer quadrant 22patients in group I and 16 in group II</w:t>
      </w:r>
      <w:r w:rsidR="001F4954" w:rsidRPr="00A46739">
        <w:rPr>
          <w:sz w:val="20"/>
          <w:szCs w:val="28"/>
          <w:lang w:val="en-US"/>
        </w:rPr>
        <w:t>.</w:t>
      </w:r>
      <w:r w:rsidR="001F4954">
        <w:rPr>
          <w:sz w:val="20"/>
          <w:szCs w:val="28"/>
          <w:lang w:val="en-US"/>
        </w:rPr>
        <w:t xml:space="preserve"> </w:t>
      </w:r>
      <w:r w:rsidR="001F4954" w:rsidRPr="00A46739">
        <w:rPr>
          <w:sz w:val="20"/>
          <w:szCs w:val="28"/>
          <w:lang w:val="en-US"/>
        </w:rPr>
        <w:t>t</w:t>
      </w:r>
      <w:r w:rsidRPr="00A46739">
        <w:rPr>
          <w:sz w:val="20"/>
          <w:szCs w:val="28"/>
          <w:lang w:val="en-US"/>
        </w:rPr>
        <w:t xml:space="preserve">he mean number of excised lymph nodes </w:t>
      </w:r>
      <w:r w:rsidR="00A20A78" w:rsidRPr="00A46739">
        <w:rPr>
          <w:sz w:val="20"/>
          <w:szCs w:val="28"/>
          <w:lang w:val="en-US"/>
        </w:rPr>
        <w:t>in group I were 17.7 while in group II were 16.45.</w:t>
      </w:r>
    </w:p>
    <w:p w:rsidR="001F4954" w:rsidRDefault="00A20A78" w:rsidP="001F4954">
      <w:pPr>
        <w:snapToGrid w:val="0"/>
        <w:ind w:firstLine="425"/>
        <w:jc w:val="both"/>
        <w:rPr>
          <w:sz w:val="20"/>
          <w:szCs w:val="28"/>
          <w:lang w:val="en-US"/>
        </w:rPr>
      </w:pPr>
      <w:r w:rsidRPr="00A46739">
        <w:rPr>
          <w:sz w:val="20"/>
          <w:szCs w:val="28"/>
          <w:lang w:val="en-US"/>
        </w:rPr>
        <w:t>Most of our patients underwent BCS, 2in group I and 25 in group II</w:t>
      </w:r>
      <w:r w:rsidR="001F4954" w:rsidRPr="00A46739">
        <w:rPr>
          <w:sz w:val="20"/>
          <w:szCs w:val="28"/>
          <w:lang w:val="en-US"/>
        </w:rPr>
        <w:t>.</w:t>
      </w:r>
      <w:r w:rsidR="001F4954">
        <w:rPr>
          <w:sz w:val="20"/>
          <w:szCs w:val="28"/>
          <w:lang w:val="en-US"/>
        </w:rPr>
        <w:t xml:space="preserve"> </w:t>
      </w:r>
      <w:r w:rsidR="001F4954" w:rsidRPr="00A46739">
        <w:rPr>
          <w:sz w:val="20"/>
          <w:szCs w:val="28"/>
          <w:lang w:val="en-US"/>
        </w:rPr>
        <w:t>w</w:t>
      </w:r>
      <w:r w:rsidRPr="00A46739">
        <w:rPr>
          <w:sz w:val="20"/>
          <w:szCs w:val="28"/>
          <w:lang w:val="en-US"/>
        </w:rPr>
        <w:t>hile MRM performed in 18 patients in group I and 13 patients in group II.</w:t>
      </w:r>
      <w:r w:rsidR="00664E70" w:rsidRPr="00A46739">
        <w:rPr>
          <w:sz w:val="20"/>
        </w:rPr>
        <w:t xml:space="preserve"> </w:t>
      </w:r>
    </w:p>
    <w:p w:rsidR="001F4954" w:rsidRDefault="00664E70" w:rsidP="001F4954">
      <w:pPr>
        <w:snapToGrid w:val="0"/>
        <w:ind w:firstLine="425"/>
        <w:jc w:val="both"/>
        <w:rPr>
          <w:color w:val="FF0000"/>
          <w:sz w:val="20"/>
          <w:szCs w:val="28"/>
          <w:lang w:val="en-US"/>
        </w:rPr>
      </w:pPr>
      <w:r w:rsidRPr="00A46739">
        <w:rPr>
          <w:sz w:val="20"/>
          <w:szCs w:val="28"/>
          <w:lang w:val="en-US"/>
        </w:rPr>
        <w:t xml:space="preserve">Demographic, clinical and pathological features of patients in the study were summarized in </w:t>
      </w:r>
      <w:r w:rsidRPr="00A46739">
        <w:rPr>
          <w:color w:val="FF0000"/>
          <w:sz w:val="20"/>
          <w:szCs w:val="28"/>
          <w:lang w:val="en-US"/>
        </w:rPr>
        <w:t>table 1.</w:t>
      </w:r>
    </w:p>
    <w:p w:rsidR="001F4954" w:rsidRDefault="001F4954" w:rsidP="001F4954">
      <w:pPr>
        <w:snapToGrid w:val="0"/>
        <w:jc w:val="both"/>
        <w:rPr>
          <w:b/>
          <w:bCs/>
          <w:sz w:val="20"/>
          <w:szCs w:val="28"/>
          <w:u w:val="single"/>
          <w:lang w:val="en-US" w:eastAsia="zh-CN"/>
        </w:rPr>
        <w:sectPr w:rsidR="001F4954" w:rsidSect="001F4954"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26"/>
        </w:sectPr>
      </w:pPr>
    </w:p>
    <w:p w:rsidR="00A20A78" w:rsidRPr="00A46739" w:rsidRDefault="00A20A78" w:rsidP="001F4954">
      <w:pPr>
        <w:snapToGrid w:val="0"/>
        <w:jc w:val="both"/>
        <w:rPr>
          <w:b/>
          <w:bCs/>
          <w:sz w:val="20"/>
          <w:szCs w:val="28"/>
          <w:u w:val="single"/>
          <w:lang w:val="en-US" w:eastAsia="zh-CN"/>
        </w:rPr>
      </w:pPr>
    </w:p>
    <w:p w:rsidR="002840A4" w:rsidRPr="00A46739" w:rsidRDefault="002840A4" w:rsidP="001F4954">
      <w:pPr>
        <w:snapToGrid w:val="0"/>
        <w:jc w:val="center"/>
        <w:rPr>
          <w:sz w:val="20"/>
        </w:rPr>
      </w:pPr>
      <w:r w:rsidRPr="00A46739">
        <w:rPr>
          <w:sz w:val="20"/>
        </w:rPr>
        <w:t>Table 1: Demographic, clinical and pathological features of patients in the study.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855"/>
        <w:gridCol w:w="2782"/>
        <w:gridCol w:w="3198"/>
        <w:gridCol w:w="832"/>
        <w:gridCol w:w="807"/>
      </w:tblGrid>
      <w:tr w:rsidR="002840A4" w:rsidRPr="001B7C79" w:rsidTr="00A46739">
        <w:trPr>
          <w:jc w:val="center"/>
        </w:trPr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Group I</w:t>
            </w:r>
            <w:r w:rsidR="00A46739" w:rsidRPr="001B7C79">
              <w:rPr>
                <w:sz w:val="16"/>
                <w:szCs w:val="16"/>
                <w:lang w:bidi="ar-EG"/>
              </w:rPr>
              <w:t xml:space="preserve"> </w:t>
            </w:r>
            <w:r w:rsidRPr="001B7C79">
              <w:rPr>
                <w:sz w:val="16"/>
                <w:szCs w:val="16"/>
                <w:lang w:bidi="ar-EG"/>
              </w:rPr>
              <w:t>standard ALN</w:t>
            </w:r>
            <w:r w:rsidR="00A46739" w:rsidRPr="001B7C79">
              <w:rPr>
                <w:sz w:val="16"/>
                <w:szCs w:val="16"/>
                <w:lang w:bidi="ar-EG"/>
              </w:rPr>
              <w:t>D (</w:t>
            </w:r>
            <w:r w:rsidRPr="001B7C79">
              <w:rPr>
                <w:sz w:val="16"/>
                <w:szCs w:val="16"/>
                <w:lang w:bidi="ar-EG"/>
              </w:rPr>
              <w:t>n=40)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Group II conservative ALND (n=38)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X</w:t>
            </w:r>
            <w:r w:rsidRPr="001B7C79">
              <w:rPr>
                <w:sz w:val="16"/>
                <w:szCs w:val="16"/>
                <w:vertAlign w:val="superscript"/>
                <w:lang w:bidi="ar-EG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P- value</w:t>
            </w:r>
          </w:p>
        </w:tc>
      </w:tr>
      <w:tr w:rsidR="002840A4" w:rsidRPr="001B7C79" w:rsidTr="00A46739">
        <w:trPr>
          <w:jc w:val="center"/>
        </w:trPr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Age/year (mean)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vertAlign w:val="superscript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49.8 ± 8.81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49.2±9.97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0.277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0.391</w:t>
            </w:r>
          </w:p>
        </w:tc>
      </w:tr>
      <w:tr w:rsidR="002840A4" w:rsidRPr="001B7C79" w:rsidTr="00A46739">
        <w:trPr>
          <w:jc w:val="center"/>
        </w:trPr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proofErr w:type="spellStart"/>
            <w:r w:rsidRPr="001B7C79">
              <w:rPr>
                <w:sz w:val="16"/>
                <w:szCs w:val="16"/>
                <w:lang w:bidi="ar-EG"/>
              </w:rPr>
              <w:t>Tumor</w:t>
            </w:r>
            <w:proofErr w:type="spellEnd"/>
            <w:r w:rsidR="00A46739" w:rsidRPr="001B7C79">
              <w:rPr>
                <w:sz w:val="16"/>
                <w:szCs w:val="16"/>
                <w:lang w:bidi="ar-EG"/>
              </w:rPr>
              <w:t xml:space="preserve"> </w:t>
            </w:r>
            <w:r w:rsidRPr="001B7C79">
              <w:rPr>
                <w:sz w:val="16"/>
                <w:szCs w:val="16"/>
                <w:lang w:bidi="ar-EG"/>
              </w:rPr>
              <w:t>stage</w:t>
            </w:r>
          </w:p>
          <w:p w:rsidR="002840A4" w:rsidRPr="001B7C79" w:rsidRDefault="002840A4" w:rsidP="001F4954">
            <w:pPr>
              <w:numPr>
                <w:ilvl w:val="0"/>
                <w:numId w:val="18"/>
              </w:numPr>
              <w:snapToGrid w:val="0"/>
              <w:ind w:left="0" w:firstLine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T1</w:t>
            </w:r>
          </w:p>
          <w:p w:rsidR="002840A4" w:rsidRPr="001B7C79" w:rsidRDefault="002840A4" w:rsidP="001F4954">
            <w:pPr>
              <w:numPr>
                <w:ilvl w:val="0"/>
                <w:numId w:val="18"/>
              </w:numPr>
              <w:snapToGrid w:val="0"/>
              <w:ind w:left="0" w:firstLine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T2</w:t>
            </w:r>
          </w:p>
          <w:p w:rsidR="002840A4" w:rsidRPr="001B7C79" w:rsidRDefault="002840A4" w:rsidP="001F4954">
            <w:pPr>
              <w:numPr>
                <w:ilvl w:val="0"/>
                <w:numId w:val="18"/>
              </w:numPr>
              <w:snapToGrid w:val="0"/>
              <w:ind w:left="0" w:firstLine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T3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12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24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4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11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24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</w:rPr>
            </w:pPr>
            <w:r w:rsidRPr="001B7C79">
              <w:rPr>
                <w:sz w:val="16"/>
                <w:szCs w:val="16"/>
              </w:rPr>
              <w:t>0.135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0.934</w:t>
            </w:r>
          </w:p>
        </w:tc>
      </w:tr>
      <w:tr w:rsidR="002840A4" w:rsidRPr="001B7C79" w:rsidTr="00A46739">
        <w:trPr>
          <w:jc w:val="center"/>
        </w:trPr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 xml:space="preserve">Stage </w:t>
            </w:r>
          </w:p>
          <w:p w:rsidR="002840A4" w:rsidRPr="001B7C79" w:rsidRDefault="002840A4" w:rsidP="001F4954">
            <w:pPr>
              <w:numPr>
                <w:ilvl w:val="0"/>
                <w:numId w:val="19"/>
              </w:numPr>
              <w:snapToGrid w:val="0"/>
              <w:ind w:left="0" w:firstLine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I</w:t>
            </w:r>
          </w:p>
          <w:p w:rsidR="002840A4" w:rsidRPr="001B7C79" w:rsidRDefault="002840A4" w:rsidP="001F4954">
            <w:pPr>
              <w:numPr>
                <w:ilvl w:val="0"/>
                <w:numId w:val="19"/>
              </w:numPr>
              <w:snapToGrid w:val="0"/>
              <w:ind w:left="0" w:firstLine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II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12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28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11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rFonts w:hint="eastAsia"/>
                <w:color w:val="FF0000"/>
                <w:sz w:val="16"/>
                <w:szCs w:val="16"/>
                <w:shd w:val="clear" w:color="auto" w:fill="D9D9D9"/>
                <w:lang w:eastAsia="zh-CN"/>
              </w:rPr>
            </w:pPr>
            <w:r w:rsidRPr="001B7C79">
              <w:rPr>
                <w:sz w:val="16"/>
                <w:szCs w:val="16"/>
              </w:rPr>
              <w:t>0.01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</w:rPr>
              <w:t>0.918</w:t>
            </w:r>
          </w:p>
        </w:tc>
      </w:tr>
      <w:tr w:rsidR="002840A4" w:rsidRPr="001B7C79" w:rsidTr="00A46739">
        <w:trPr>
          <w:jc w:val="center"/>
        </w:trPr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Histology</w:t>
            </w:r>
          </w:p>
          <w:p w:rsidR="002840A4" w:rsidRPr="001B7C79" w:rsidRDefault="002840A4" w:rsidP="001F4954">
            <w:pPr>
              <w:numPr>
                <w:ilvl w:val="0"/>
                <w:numId w:val="20"/>
              </w:numPr>
              <w:snapToGrid w:val="0"/>
              <w:ind w:left="0" w:firstLine="0"/>
              <w:contextualSpacing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DCI</w:t>
            </w:r>
          </w:p>
          <w:p w:rsidR="002840A4" w:rsidRPr="001B7C79" w:rsidRDefault="002840A4" w:rsidP="001F4954">
            <w:pPr>
              <w:numPr>
                <w:ilvl w:val="0"/>
                <w:numId w:val="20"/>
              </w:numPr>
              <w:snapToGrid w:val="0"/>
              <w:ind w:left="0" w:firstLine="0"/>
              <w:contextualSpacing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Other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25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15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25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shd w:val="clear" w:color="auto" w:fill="D9D9D9"/>
              </w:rPr>
            </w:pPr>
            <w:r w:rsidRPr="001B7C79">
              <w:rPr>
                <w:sz w:val="16"/>
                <w:szCs w:val="16"/>
              </w:rPr>
              <w:t>0.091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</w:rPr>
              <w:t>0.762</w:t>
            </w:r>
          </w:p>
        </w:tc>
      </w:tr>
      <w:tr w:rsidR="002840A4" w:rsidRPr="001B7C79" w:rsidTr="00A46739">
        <w:trPr>
          <w:jc w:val="center"/>
        </w:trPr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proofErr w:type="spellStart"/>
            <w:r w:rsidRPr="001B7C79">
              <w:rPr>
                <w:sz w:val="16"/>
                <w:szCs w:val="16"/>
                <w:lang w:bidi="ar-EG"/>
              </w:rPr>
              <w:t>Tumor</w:t>
            </w:r>
            <w:proofErr w:type="spellEnd"/>
            <w:r w:rsidRPr="001B7C79">
              <w:rPr>
                <w:sz w:val="16"/>
                <w:szCs w:val="16"/>
                <w:lang w:bidi="ar-EG"/>
              </w:rPr>
              <w:t xml:space="preserve"> site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UOQ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UIQ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LOQ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LIQ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RETRO-AREOLAR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22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5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5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5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3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16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4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9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4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shd w:val="clear" w:color="auto" w:fill="D9D9D9"/>
              </w:rPr>
            </w:pPr>
            <w:r w:rsidRPr="001B7C79">
              <w:rPr>
                <w:sz w:val="16"/>
                <w:szCs w:val="16"/>
              </w:rPr>
              <w:t>2.763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</w:rPr>
              <w:t>0.598</w:t>
            </w:r>
          </w:p>
        </w:tc>
      </w:tr>
      <w:tr w:rsidR="002840A4" w:rsidRPr="001B7C79" w:rsidTr="00A46739">
        <w:trPr>
          <w:jc w:val="center"/>
        </w:trPr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No of excised LN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17.7±1.9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16.45±1.3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</w:rPr>
              <w:t>T=3.393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</w:rPr>
              <w:t>0.0005</w:t>
            </w:r>
          </w:p>
        </w:tc>
      </w:tr>
      <w:tr w:rsidR="002840A4" w:rsidRPr="001B7C79" w:rsidTr="00A46739">
        <w:trPr>
          <w:jc w:val="center"/>
        </w:trPr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ER +</w:t>
            </w:r>
            <w:proofErr w:type="spellStart"/>
            <w:r w:rsidRPr="001B7C79">
              <w:rPr>
                <w:sz w:val="16"/>
                <w:szCs w:val="16"/>
                <w:lang w:bidi="ar-EG"/>
              </w:rPr>
              <w:t>Ve</w:t>
            </w:r>
            <w:proofErr w:type="spellEnd"/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26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23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shd w:val="clear" w:color="auto" w:fill="D9D9D9"/>
              </w:rPr>
            </w:pPr>
            <w:r w:rsidRPr="001B7C79">
              <w:rPr>
                <w:sz w:val="16"/>
                <w:szCs w:val="16"/>
              </w:rPr>
              <w:t>0.167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</w:rPr>
              <w:t>0.682</w:t>
            </w:r>
          </w:p>
        </w:tc>
      </w:tr>
      <w:tr w:rsidR="002840A4" w:rsidRPr="001B7C79" w:rsidTr="00A46739">
        <w:trPr>
          <w:jc w:val="center"/>
        </w:trPr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PR +VE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21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20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shd w:val="clear" w:color="auto" w:fill="D9D9D9"/>
              </w:rPr>
            </w:pPr>
            <w:r w:rsidRPr="001B7C79">
              <w:rPr>
                <w:sz w:val="16"/>
                <w:szCs w:val="16"/>
              </w:rPr>
              <w:t>0.0001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</w:rPr>
              <w:t>0.99</w:t>
            </w:r>
          </w:p>
        </w:tc>
      </w:tr>
      <w:tr w:rsidR="002840A4" w:rsidRPr="001B7C79" w:rsidTr="00A46739">
        <w:trPr>
          <w:jc w:val="center"/>
        </w:trPr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HER2 +VE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17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16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shd w:val="clear" w:color="auto" w:fill="D9D9D9"/>
              </w:rPr>
            </w:pPr>
            <w:r w:rsidRPr="001B7C79">
              <w:rPr>
                <w:sz w:val="16"/>
                <w:szCs w:val="16"/>
              </w:rPr>
              <w:t>0.0012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</w:rPr>
              <w:t>0.971</w:t>
            </w:r>
          </w:p>
        </w:tc>
      </w:tr>
      <w:tr w:rsidR="002840A4" w:rsidRPr="001B7C79" w:rsidTr="00A46739">
        <w:trPr>
          <w:jc w:val="center"/>
        </w:trPr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Type of surgery</w:t>
            </w:r>
          </w:p>
          <w:p w:rsidR="002840A4" w:rsidRPr="001B7C79" w:rsidRDefault="002840A4" w:rsidP="001F4954">
            <w:pPr>
              <w:numPr>
                <w:ilvl w:val="0"/>
                <w:numId w:val="21"/>
              </w:numPr>
              <w:snapToGrid w:val="0"/>
              <w:ind w:left="0" w:firstLine="0"/>
              <w:contextualSpacing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BCS</w:t>
            </w:r>
          </w:p>
          <w:p w:rsidR="002840A4" w:rsidRPr="001B7C79" w:rsidRDefault="002840A4" w:rsidP="001F4954">
            <w:pPr>
              <w:numPr>
                <w:ilvl w:val="0"/>
                <w:numId w:val="21"/>
              </w:numPr>
              <w:snapToGrid w:val="0"/>
              <w:ind w:left="0" w:firstLine="0"/>
              <w:contextualSpacing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MRM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22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18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25</w:t>
            </w:r>
          </w:p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  <w:r w:rsidRPr="001B7C79">
              <w:rPr>
                <w:sz w:val="16"/>
                <w:szCs w:val="16"/>
                <w:lang w:bidi="ar-EG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shd w:val="clear" w:color="auto" w:fill="D9D9D9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0A4" w:rsidRPr="001B7C79" w:rsidRDefault="002840A4" w:rsidP="001F4954">
            <w:pPr>
              <w:snapToGrid w:val="0"/>
              <w:jc w:val="both"/>
              <w:rPr>
                <w:sz w:val="16"/>
                <w:szCs w:val="16"/>
                <w:lang w:bidi="ar-EG"/>
              </w:rPr>
            </w:pPr>
          </w:p>
        </w:tc>
      </w:tr>
    </w:tbl>
    <w:p w:rsidR="002840A4" w:rsidRDefault="002840A4" w:rsidP="001F4954">
      <w:pPr>
        <w:snapToGrid w:val="0"/>
        <w:jc w:val="both"/>
        <w:rPr>
          <w:rFonts w:hint="eastAsia"/>
          <w:b/>
          <w:bCs/>
          <w:sz w:val="20"/>
          <w:szCs w:val="28"/>
          <w:lang w:eastAsia="zh-CN"/>
        </w:rPr>
      </w:pPr>
    </w:p>
    <w:p w:rsidR="001B7C79" w:rsidRDefault="001B7C79" w:rsidP="001F4954">
      <w:pPr>
        <w:snapToGrid w:val="0"/>
        <w:jc w:val="both"/>
        <w:rPr>
          <w:b/>
          <w:bCs/>
          <w:sz w:val="20"/>
          <w:szCs w:val="28"/>
          <w:lang w:eastAsia="zh-CN"/>
        </w:rPr>
      </w:pPr>
    </w:p>
    <w:p w:rsidR="001F4954" w:rsidRDefault="001F4954" w:rsidP="001F4954">
      <w:pPr>
        <w:snapToGrid w:val="0"/>
        <w:ind w:firstLine="425"/>
        <w:jc w:val="both"/>
        <w:rPr>
          <w:sz w:val="20"/>
          <w:szCs w:val="28"/>
          <w:lang w:val="en-US"/>
        </w:rPr>
        <w:sectPr w:rsidR="001F4954" w:rsidSect="00A46739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26"/>
        </w:sectPr>
      </w:pPr>
    </w:p>
    <w:p w:rsidR="001F4954" w:rsidRDefault="001F4954" w:rsidP="001F4954">
      <w:pPr>
        <w:snapToGrid w:val="0"/>
        <w:ind w:firstLine="425"/>
        <w:jc w:val="both"/>
        <w:rPr>
          <w:sz w:val="20"/>
          <w:szCs w:val="28"/>
          <w:lang w:val="en-US"/>
        </w:rPr>
      </w:pPr>
      <w:proofErr w:type="spellStart"/>
      <w:r w:rsidRPr="00A46739">
        <w:rPr>
          <w:sz w:val="20"/>
          <w:szCs w:val="28"/>
          <w:lang w:val="en-US"/>
        </w:rPr>
        <w:lastRenderedPageBreak/>
        <w:t>Lymphedema</w:t>
      </w:r>
      <w:proofErr w:type="spellEnd"/>
      <w:r w:rsidRPr="00A46739">
        <w:rPr>
          <w:sz w:val="20"/>
          <w:szCs w:val="28"/>
          <w:lang w:val="en-US"/>
        </w:rPr>
        <w:t xml:space="preserve"> occurred in 10 patients in group I, while no </w:t>
      </w:r>
      <w:proofErr w:type="spellStart"/>
      <w:r w:rsidRPr="00A46739">
        <w:rPr>
          <w:sz w:val="20"/>
          <w:szCs w:val="28"/>
          <w:lang w:val="en-US"/>
        </w:rPr>
        <w:t>lymphedema</w:t>
      </w:r>
      <w:proofErr w:type="spellEnd"/>
      <w:r w:rsidRPr="00A46739">
        <w:rPr>
          <w:sz w:val="20"/>
          <w:szCs w:val="28"/>
          <w:lang w:val="en-US"/>
        </w:rPr>
        <w:t xml:space="preserve"> were recorded in group II.</w:t>
      </w:r>
    </w:p>
    <w:p w:rsidR="001F4954" w:rsidRDefault="001F4954" w:rsidP="001F4954">
      <w:pPr>
        <w:snapToGrid w:val="0"/>
        <w:ind w:firstLine="425"/>
        <w:jc w:val="both"/>
        <w:rPr>
          <w:sz w:val="20"/>
          <w:szCs w:val="28"/>
          <w:lang w:val="en-US"/>
        </w:rPr>
      </w:pPr>
      <w:r w:rsidRPr="00A46739">
        <w:rPr>
          <w:sz w:val="20"/>
          <w:szCs w:val="28"/>
          <w:lang w:val="en-US"/>
        </w:rPr>
        <w:t>No local recurrence in both groups during the period of follow up.</w:t>
      </w:r>
    </w:p>
    <w:p w:rsidR="001F4954" w:rsidRDefault="001F4954" w:rsidP="001B7C79">
      <w:pPr>
        <w:snapToGrid w:val="0"/>
        <w:ind w:firstLine="425"/>
        <w:jc w:val="both"/>
        <w:rPr>
          <w:b/>
          <w:bCs/>
          <w:sz w:val="20"/>
          <w:szCs w:val="28"/>
          <w:lang w:eastAsia="zh-CN"/>
        </w:rPr>
      </w:pPr>
      <w:proofErr w:type="spellStart"/>
      <w:r w:rsidRPr="00A46739">
        <w:rPr>
          <w:rFonts w:eastAsia="Calibri"/>
          <w:sz w:val="20"/>
          <w:szCs w:val="28"/>
          <w:lang w:val="en-US"/>
        </w:rPr>
        <w:lastRenderedPageBreak/>
        <w:t>Parasthesia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and numbness, Pain and affection of shoulder mobility were less common on group II. Post-operative complications were included in </w:t>
      </w:r>
      <w:r w:rsidRPr="00A46739">
        <w:rPr>
          <w:rFonts w:eastAsia="Calibri"/>
          <w:color w:val="FF0000"/>
          <w:sz w:val="20"/>
          <w:szCs w:val="28"/>
          <w:lang w:val="en-US"/>
        </w:rPr>
        <w:t>table 2.</w:t>
      </w:r>
    </w:p>
    <w:p w:rsidR="001F4954" w:rsidRDefault="001F4954" w:rsidP="001F4954">
      <w:pPr>
        <w:snapToGrid w:val="0"/>
        <w:jc w:val="both"/>
        <w:rPr>
          <w:b/>
          <w:bCs/>
          <w:sz w:val="20"/>
          <w:szCs w:val="28"/>
          <w:lang w:eastAsia="zh-CN"/>
        </w:rPr>
        <w:sectPr w:rsidR="001F4954" w:rsidSect="001F4954"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26"/>
        </w:sectPr>
      </w:pPr>
    </w:p>
    <w:p w:rsidR="001F4954" w:rsidRPr="001F4954" w:rsidRDefault="001F4954" w:rsidP="001F4954">
      <w:pPr>
        <w:snapToGrid w:val="0"/>
        <w:jc w:val="both"/>
        <w:rPr>
          <w:b/>
          <w:bCs/>
          <w:sz w:val="20"/>
          <w:szCs w:val="28"/>
          <w:lang w:eastAsia="zh-CN"/>
        </w:rPr>
      </w:pPr>
    </w:p>
    <w:p w:rsidR="001B7C79" w:rsidRDefault="001B7C79" w:rsidP="001F4954">
      <w:pPr>
        <w:snapToGrid w:val="0"/>
        <w:jc w:val="center"/>
        <w:rPr>
          <w:rFonts w:hint="eastAsia"/>
          <w:sz w:val="20"/>
          <w:lang w:eastAsia="zh-CN"/>
        </w:rPr>
      </w:pPr>
    </w:p>
    <w:p w:rsidR="002840A4" w:rsidRPr="00A46739" w:rsidRDefault="002840A4" w:rsidP="001F4954">
      <w:pPr>
        <w:snapToGrid w:val="0"/>
        <w:jc w:val="center"/>
        <w:rPr>
          <w:sz w:val="20"/>
        </w:rPr>
      </w:pPr>
      <w:r w:rsidRPr="00A46739">
        <w:rPr>
          <w:sz w:val="20"/>
        </w:rPr>
        <w:t>Table 2: post-operative complications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684"/>
        <w:gridCol w:w="2939"/>
        <w:gridCol w:w="3378"/>
        <w:gridCol w:w="620"/>
        <w:gridCol w:w="853"/>
      </w:tblGrid>
      <w:tr w:rsidR="002840A4" w:rsidRPr="00A46739" w:rsidTr="00A46739">
        <w:trPr>
          <w:jc w:val="center"/>
        </w:trPr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0A4" w:rsidRPr="00A46739" w:rsidRDefault="002840A4" w:rsidP="001F4954">
            <w:pPr>
              <w:snapToGrid w:val="0"/>
              <w:jc w:val="both"/>
              <w:rPr>
                <w:sz w:val="20"/>
                <w:lang w:bidi="ar-EG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A46739" w:rsidRDefault="002840A4" w:rsidP="001F4954">
            <w:pPr>
              <w:snapToGrid w:val="0"/>
              <w:jc w:val="both"/>
              <w:rPr>
                <w:sz w:val="20"/>
                <w:lang w:bidi="ar-EG"/>
              </w:rPr>
            </w:pPr>
            <w:r w:rsidRPr="00A46739">
              <w:rPr>
                <w:sz w:val="20"/>
                <w:lang w:bidi="ar-EG"/>
              </w:rPr>
              <w:t>Group I</w:t>
            </w:r>
            <w:r w:rsidR="00A46739" w:rsidRPr="00A46739">
              <w:rPr>
                <w:sz w:val="20"/>
                <w:lang w:bidi="ar-EG"/>
              </w:rPr>
              <w:t xml:space="preserve"> </w:t>
            </w:r>
            <w:r w:rsidRPr="00A46739">
              <w:rPr>
                <w:sz w:val="20"/>
                <w:lang w:bidi="ar-EG"/>
              </w:rPr>
              <w:t>standard ALN</w:t>
            </w:r>
            <w:r w:rsidR="00A46739" w:rsidRPr="00A46739">
              <w:rPr>
                <w:sz w:val="20"/>
                <w:lang w:bidi="ar-EG"/>
              </w:rPr>
              <w:t>D (</w:t>
            </w:r>
            <w:r w:rsidRPr="00A46739">
              <w:rPr>
                <w:sz w:val="20"/>
                <w:lang w:bidi="ar-EG"/>
              </w:rPr>
              <w:t>n=40)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A46739" w:rsidRDefault="002840A4" w:rsidP="001F4954">
            <w:pPr>
              <w:snapToGrid w:val="0"/>
              <w:jc w:val="both"/>
              <w:rPr>
                <w:sz w:val="20"/>
                <w:lang w:bidi="ar-EG"/>
              </w:rPr>
            </w:pPr>
            <w:r w:rsidRPr="00A46739">
              <w:rPr>
                <w:sz w:val="20"/>
                <w:lang w:bidi="ar-EG"/>
              </w:rPr>
              <w:t>Group II conservative ALND (n=38)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4" w:rsidRPr="00A46739" w:rsidRDefault="002840A4" w:rsidP="001F4954">
            <w:pPr>
              <w:snapToGrid w:val="0"/>
              <w:jc w:val="both"/>
              <w:rPr>
                <w:sz w:val="20"/>
                <w:lang w:bidi="ar-EG"/>
              </w:rPr>
            </w:pPr>
            <w:r w:rsidRPr="00A46739">
              <w:rPr>
                <w:sz w:val="20"/>
                <w:lang w:bidi="ar-EG"/>
              </w:rPr>
              <w:t>X</w:t>
            </w:r>
            <w:r w:rsidRPr="00A46739">
              <w:rPr>
                <w:sz w:val="20"/>
                <w:vertAlign w:val="superscript"/>
                <w:lang w:bidi="ar-EG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A4" w:rsidRPr="00A46739" w:rsidRDefault="002840A4" w:rsidP="001F4954">
            <w:pPr>
              <w:snapToGrid w:val="0"/>
              <w:jc w:val="both"/>
              <w:rPr>
                <w:sz w:val="20"/>
                <w:lang w:bidi="ar-EG"/>
              </w:rPr>
            </w:pPr>
            <w:r w:rsidRPr="00A46739">
              <w:rPr>
                <w:sz w:val="20"/>
                <w:lang w:bidi="ar-EG"/>
              </w:rPr>
              <w:t>P- value</w:t>
            </w:r>
          </w:p>
        </w:tc>
      </w:tr>
      <w:tr w:rsidR="002840A4" w:rsidRPr="00A46739" w:rsidTr="00A46739">
        <w:trPr>
          <w:jc w:val="center"/>
        </w:trPr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A46739" w:rsidRDefault="002840A4" w:rsidP="001F4954">
            <w:pPr>
              <w:snapToGrid w:val="0"/>
              <w:jc w:val="both"/>
              <w:rPr>
                <w:sz w:val="20"/>
                <w:lang w:bidi="ar-EG"/>
              </w:rPr>
            </w:pPr>
            <w:proofErr w:type="spellStart"/>
            <w:r w:rsidRPr="00A46739">
              <w:rPr>
                <w:sz w:val="20"/>
                <w:lang w:bidi="ar-EG"/>
              </w:rPr>
              <w:t>Lymphedema</w:t>
            </w:r>
            <w:proofErr w:type="spellEnd"/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A46739" w:rsidRDefault="002840A4" w:rsidP="001F4954">
            <w:pPr>
              <w:snapToGrid w:val="0"/>
              <w:jc w:val="both"/>
              <w:rPr>
                <w:sz w:val="20"/>
                <w:lang w:bidi="ar-EG"/>
              </w:rPr>
            </w:pPr>
            <w:r w:rsidRPr="00A46739">
              <w:rPr>
                <w:sz w:val="20"/>
                <w:lang w:bidi="ar-EG"/>
              </w:rPr>
              <w:t>10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A46739" w:rsidRDefault="002840A4" w:rsidP="001F4954">
            <w:pPr>
              <w:snapToGrid w:val="0"/>
              <w:jc w:val="both"/>
              <w:rPr>
                <w:sz w:val="20"/>
                <w:lang w:bidi="ar-EG"/>
              </w:rPr>
            </w:pPr>
            <w:r w:rsidRPr="00A46739">
              <w:rPr>
                <w:sz w:val="20"/>
                <w:lang w:bidi="ar-EG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A4" w:rsidRPr="00A46739" w:rsidRDefault="002840A4" w:rsidP="001F4954">
            <w:pPr>
              <w:snapToGrid w:val="0"/>
              <w:jc w:val="both"/>
              <w:rPr>
                <w:sz w:val="20"/>
                <w:lang w:bidi="ar-EG"/>
              </w:rPr>
            </w:pPr>
            <w:r w:rsidRPr="00A46739">
              <w:rPr>
                <w:sz w:val="20"/>
                <w:lang w:bidi="ar-EG"/>
              </w:rPr>
              <w:t>8.049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A4" w:rsidRPr="00A46739" w:rsidRDefault="002840A4" w:rsidP="001F4954">
            <w:pPr>
              <w:snapToGrid w:val="0"/>
              <w:jc w:val="both"/>
              <w:rPr>
                <w:sz w:val="20"/>
                <w:lang w:bidi="ar-EG"/>
              </w:rPr>
            </w:pPr>
            <w:r w:rsidRPr="00A46739">
              <w:rPr>
                <w:sz w:val="20"/>
                <w:lang w:bidi="ar-EG"/>
              </w:rPr>
              <w:t>0.004</w:t>
            </w:r>
          </w:p>
        </w:tc>
      </w:tr>
      <w:tr w:rsidR="002840A4" w:rsidRPr="00A46739" w:rsidTr="00A46739">
        <w:trPr>
          <w:jc w:val="center"/>
        </w:trPr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A46739" w:rsidRDefault="002840A4" w:rsidP="001F4954">
            <w:pPr>
              <w:snapToGrid w:val="0"/>
              <w:jc w:val="both"/>
              <w:rPr>
                <w:sz w:val="20"/>
                <w:lang w:bidi="ar-EG"/>
              </w:rPr>
            </w:pPr>
            <w:r w:rsidRPr="00A46739">
              <w:rPr>
                <w:sz w:val="20"/>
                <w:lang w:bidi="ar-EG"/>
              </w:rPr>
              <w:t>Local Recurrence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A46739" w:rsidRDefault="002840A4" w:rsidP="001F4954">
            <w:pPr>
              <w:snapToGrid w:val="0"/>
              <w:jc w:val="both"/>
              <w:rPr>
                <w:sz w:val="20"/>
              </w:rPr>
            </w:pPr>
            <w:r w:rsidRPr="00A46739">
              <w:rPr>
                <w:sz w:val="20"/>
              </w:rPr>
              <w:t>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A46739" w:rsidRDefault="002840A4" w:rsidP="001F4954">
            <w:pPr>
              <w:snapToGrid w:val="0"/>
              <w:jc w:val="both"/>
              <w:rPr>
                <w:sz w:val="20"/>
              </w:rPr>
            </w:pPr>
            <w:r w:rsidRPr="00A46739">
              <w:rPr>
                <w:sz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A4" w:rsidRPr="00A46739" w:rsidRDefault="002840A4" w:rsidP="001F495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A4" w:rsidRPr="00A46739" w:rsidRDefault="002840A4" w:rsidP="001F4954">
            <w:pPr>
              <w:snapToGrid w:val="0"/>
              <w:jc w:val="both"/>
              <w:rPr>
                <w:sz w:val="20"/>
              </w:rPr>
            </w:pPr>
          </w:p>
        </w:tc>
      </w:tr>
    </w:tbl>
    <w:p w:rsidR="00A46739" w:rsidRDefault="00A46739" w:rsidP="001F4954">
      <w:pPr>
        <w:snapToGrid w:val="0"/>
        <w:ind w:firstLine="425"/>
        <w:jc w:val="both"/>
        <w:rPr>
          <w:rFonts w:hint="eastAsia"/>
          <w:sz w:val="20"/>
          <w:lang w:eastAsia="zh-CN"/>
        </w:rPr>
      </w:pPr>
    </w:p>
    <w:p w:rsidR="001B7C79" w:rsidRPr="00A46739" w:rsidRDefault="001B7C79" w:rsidP="001F4954">
      <w:pPr>
        <w:snapToGrid w:val="0"/>
        <w:ind w:firstLine="425"/>
        <w:jc w:val="both"/>
        <w:rPr>
          <w:sz w:val="20"/>
          <w:lang w:eastAsia="zh-CN"/>
        </w:rPr>
      </w:pPr>
    </w:p>
    <w:p w:rsidR="002840A4" w:rsidRPr="00A46739" w:rsidRDefault="002840A4" w:rsidP="001F4954">
      <w:pPr>
        <w:snapToGrid w:val="0"/>
        <w:jc w:val="both"/>
        <w:rPr>
          <w:b/>
          <w:sz w:val="20"/>
          <w:szCs w:val="28"/>
          <w:lang w:eastAsia="zh-CN"/>
        </w:rPr>
      </w:pPr>
      <w:r w:rsidRPr="00A46739">
        <w:rPr>
          <w:b/>
          <w:sz w:val="20"/>
          <w:szCs w:val="28"/>
        </w:rPr>
        <w:t>CONSORT Flow Diagram</w:t>
      </w:r>
    </w:p>
    <w:p w:rsidR="00A46739" w:rsidRPr="00A46739" w:rsidRDefault="00A46739" w:rsidP="001F4954">
      <w:pPr>
        <w:snapToGrid w:val="0"/>
        <w:jc w:val="both"/>
        <w:rPr>
          <w:b/>
          <w:sz w:val="20"/>
          <w:szCs w:val="28"/>
          <w:lang w:eastAsia="zh-CN"/>
        </w:rPr>
      </w:pPr>
    </w:p>
    <w:p w:rsidR="00A46739" w:rsidRPr="00A46739" w:rsidRDefault="00A46739" w:rsidP="001F4954">
      <w:pPr>
        <w:snapToGrid w:val="0"/>
        <w:jc w:val="center"/>
        <w:rPr>
          <w:sz w:val="20"/>
          <w:szCs w:val="28"/>
          <w:lang w:eastAsia="zh-CN"/>
        </w:rPr>
      </w:pPr>
      <w:r w:rsidRPr="00A46739">
        <w:rPr>
          <w:rFonts w:hint="eastAsia"/>
          <w:noProof/>
          <w:sz w:val="20"/>
          <w:szCs w:val="28"/>
          <w:lang w:val="en-US" w:eastAsia="zh-CN"/>
        </w:rPr>
        <w:drawing>
          <wp:inline distT="0" distB="0" distL="0" distR="0">
            <wp:extent cx="5937885" cy="3770630"/>
            <wp:effectExtent l="1905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7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0A4" w:rsidRPr="00A46739" w:rsidRDefault="002840A4" w:rsidP="001F4954">
      <w:pPr>
        <w:snapToGrid w:val="0"/>
        <w:jc w:val="center"/>
        <w:rPr>
          <w:sz w:val="20"/>
          <w:szCs w:val="28"/>
        </w:rPr>
      </w:pPr>
      <w:r w:rsidRPr="00A46739">
        <w:rPr>
          <w:sz w:val="20"/>
          <w:szCs w:val="28"/>
        </w:rPr>
        <w:t>Figure1: consort flow diagram.</w:t>
      </w:r>
    </w:p>
    <w:p w:rsidR="002840A4" w:rsidRDefault="002840A4" w:rsidP="001F4954">
      <w:pPr>
        <w:snapToGrid w:val="0"/>
        <w:jc w:val="both"/>
        <w:rPr>
          <w:rFonts w:hint="eastAsia"/>
          <w:b/>
          <w:bCs/>
          <w:sz w:val="20"/>
          <w:szCs w:val="28"/>
          <w:u w:val="single"/>
          <w:lang w:val="en-US" w:eastAsia="zh-CN"/>
        </w:rPr>
      </w:pPr>
    </w:p>
    <w:p w:rsidR="001B7C79" w:rsidRPr="00A46739" w:rsidRDefault="001B7C79" w:rsidP="001F4954">
      <w:pPr>
        <w:snapToGrid w:val="0"/>
        <w:jc w:val="both"/>
        <w:rPr>
          <w:b/>
          <w:bCs/>
          <w:sz w:val="20"/>
          <w:szCs w:val="28"/>
          <w:u w:val="single"/>
          <w:lang w:val="en-US" w:eastAsia="zh-CN"/>
        </w:rPr>
      </w:pPr>
    </w:p>
    <w:p w:rsidR="001F4954" w:rsidRDefault="001F4954" w:rsidP="001F4954">
      <w:pPr>
        <w:snapToGrid w:val="0"/>
        <w:jc w:val="both"/>
        <w:rPr>
          <w:b/>
          <w:bCs/>
          <w:sz w:val="20"/>
          <w:szCs w:val="28"/>
          <w:u w:val="single"/>
          <w:lang w:val="en-US" w:eastAsia="zh-CN"/>
        </w:rPr>
        <w:sectPr w:rsidR="001F4954" w:rsidSect="00A46739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26"/>
        </w:sectPr>
      </w:pPr>
    </w:p>
    <w:p w:rsidR="00820623" w:rsidRPr="00A46739" w:rsidRDefault="00820623" w:rsidP="001F4954">
      <w:pPr>
        <w:autoSpaceDE w:val="0"/>
        <w:autoSpaceDN w:val="0"/>
        <w:adjustRightInd w:val="0"/>
        <w:snapToGrid w:val="0"/>
        <w:jc w:val="both"/>
        <w:rPr>
          <w:color w:val="000000"/>
          <w:sz w:val="20"/>
          <w:szCs w:val="28"/>
          <w:lang w:val="en-US"/>
        </w:rPr>
      </w:pPr>
      <w:r w:rsidRPr="00A46739">
        <w:rPr>
          <w:rFonts w:eastAsia="Calibri"/>
          <w:b/>
          <w:bCs/>
          <w:sz w:val="20"/>
          <w:szCs w:val="28"/>
          <w:lang w:val="en-US" w:bidi="ar-EG"/>
        </w:rPr>
        <w:lastRenderedPageBreak/>
        <w:t>Discussion:</w:t>
      </w:r>
    </w:p>
    <w:p w:rsidR="00196485" w:rsidRPr="00A46739" w:rsidRDefault="006D70F3" w:rsidP="001F4954">
      <w:pPr>
        <w:autoSpaceDE w:val="0"/>
        <w:autoSpaceDN w:val="0"/>
        <w:adjustRightInd w:val="0"/>
        <w:snapToGrid w:val="0"/>
        <w:ind w:firstLine="425"/>
        <w:jc w:val="both"/>
        <w:rPr>
          <w:color w:val="000000"/>
          <w:sz w:val="20"/>
          <w:szCs w:val="28"/>
          <w:lang w:val="en-US"/>
        </w:rPr>
      </w:pPr>
      <w:r w:rsidRPr="00A46739">
        <w:rPr>
          <w:color w:val="000000"/>
          <w:sz w:val="20"/>
          <w:szCs w:val="28"/>
          <w:lang w:val="en-US"/>
        </w:rPr>
        <w:t xml:space="preserve">Management of the </w:t>
      </w:r>
      <w:proofErr w:type="spellStart"/>
      <w:r w:rsidRPr="00A46739">
        <w:rPr>
          <w:color w:val="000000"/>
          <w:sz w:val="20"/>
          <w:szCs w:val="28"/>
          <w:lang w:val="en-US"/>
        </w:rPr>
        <w:t>axilla</w:t>
      </w:r>
      <w:proofErr w:type="spellEnd"/>
      <w:r w:rsidRPr="00A46739">
        <w:rPr>
          <w:color w:val="000000"/>
          <w:sz w:val="20"/>
          <w:szCs w:val="28"/>
          <w:lang w:val="en-US"/>
        </w:rPr>
        <w:t xml:space="preserve"> in breast cancer patients has been a subject of many </w:t>
      </w:r>
      <w:r w:rsidR="00A55332" w:rsidRPr="00A46739">
        <w:rPr>
          <w:color w:val="000000"/>
          <w:sz w:val="20"/>
          <w:szCs w:val="28"/>
          <w:lang w:val="en-US"/>
        </w:rPr>
        <w:t>debates</w:t>
      </w:r>
      <w:r w:rsidR="00A55332" w:rsidRPr="00A46739">
        <w:rPr>
          <w:color w:val="FF0000"/>
          <w:sz w:val="20"/>
          <w:szCs w:val="28"/>
          <w:lang w:val="en-US"/>
        </w:rPr>
        <w:t xml:space="preserve"> [14].</w:t>
      </w:r>
      <w:r w:rsidRPr="00A46739">
        <w:rPr>
          <w:color w:val="FF0000"/>
          <w:sz w:val="20"/>
          <w:szCs w:val="28"/>
          <w:lang w:val="en-US"/>
        </w:rPr>
        <w:t xml:space="preserve"> </w:t>
      </w:r>
    </w:p>
    <w:p w:rsidR="006D70F3" w:rsidRPr="00A46739" w:rsidRDefault="00BB4FF0" w:rsidP="001F4954">
      <w:pPr>
        <w:autoSpaceDE w:val="0"/>
        <w:autoSpaceDN w:val="0"/>
        <w:adjustRightInd w:val="0"/>
        <w:snapToGrid w:val="0"/>
        <w:ind w:firstLine="425"/>
        <w:jc w:val="both"/>
        <w:rPr>
          <w:color w:val="000000"/>
          <w:sz w:val="20"/>
          <w:szCs w:val="28"/>
          <w:lang w:val="en-US"/>
        </w:rPr>
      </w:pPr>
      <w:proofErr w:type="spellStart"/>
      <w:r w:rsidRPr="00A46739">
        <w:rPr>
          <w:color w:val="000000"/>
          <w:sz w:val="20"/>
          <w:szCs w:val="28"/>
          <w:lang w:val="en-US"/>
        </w:rPr>
        <w:t>Lymphedema</w:t>
      </w:r>
      <w:proofErr w:type="spellEnd"/>
      <w:r w:rsidRPr="00A46739">
        <w:rPr>
          <w:color w:val="000000"/>
          <w:sz w:val="20"/>
          <w:szCs w:val="28"/>
          <w:lang w:val="en-US"/>
        </w:rPr>
        <w:t xml:space="preserve"> is a major post </w:t>
      </w:r>
      <w:proofErr w:type="spellStart"/>
      <w:r w:rsidRPr="00A46739">
        <w:rPr>
          <w:color w:val="000000"/>
          <w:sz w:val="20"/>
          <w:szCs w:val="28"/>
          <w:lang w:val="en-US"/>
        </w:rPr>
        <w:t>axillary</w:t>
      </w:r>
      <w:proofErr w:type="spellEnd"/>
      <w:r w:rsidRPr="00A46739">
        <w:rPr>
          <w:color w:val="000000"/>
          <w:sz w:val="20"/>
          <w:szCs w:val="28"/>
          <w:lang w:val="en-US"/>
        </w:rPr>
        <w:t xml:space="preserve"> dissection complication; the main target of our study was</w:t>
      </w:r>
      <w:r w:rsidR="00855C31" w:rsidRPr="00A46739">
        <w:rPr>
          <w:color w:val="000000"/>
          <w:sz w:val="20"/>
          <w:szCs w:val="28"/>
          <w:lang w:val="en-US"/>
        </w:rPr>
        <w:t xml:space="preserve"> </w:t>
      </w:r>
      <w:r w:rsidRPr="00A46739">
        <w:rPr>
          <w:color w:val="000000"/>
          <w:sz w:val="20"/>
          <w:szCs w:val="28"/>
          <w:lang w:val="en-US"/>
        </w:rPr>
        <w:t>ho</w:t>
      </w:r>
      <w:r w:rsidR="00855C31" w:rsidRPr="00A46739">
        <w:rPr>
          <w:color w:val="000000"/>
          <w:sz w:val="20"/>
          <w:szCs w:val="28"/>
          <w:lang w:val="en-US"/>
        </w:rPr>
        <w:t>w</w:t>
      </w:r>
      <w:r w:rsidRPr="00A46739">
        <w:rPr>
          <w:color w:val="000000"/>
          <w:sz w:val="20"/>
          <w:szCs w:val="28"/>
          <w:lang w:val="en-US"/>
        </w:rPr>
        <w:t xml:space="preserve"> to decrease </w:t>
      </w:r>
      <w:r w:rsidR="00855C31" w:rsidRPr="00A46739">
        <w:rPr>
          <w:color w:val="000000"/>
          <w:sz w:val="20"/>
          <w:szCs w:val="28"/>
          <w:lang w:val="en-US"/>
        </w:rPr>
        <w:t>the standard ALND associated morbidity.</w:t>
      </w:r>
    </w:p>
    <w:p w:rsidR="00A46739" w:rsidRPr="00A46739" w:rsidRDefault="006D70F3" w:rsidP="001F4954">
      <w:pPr>
        <w:autoSpaceDE w:val="0"/>
        <w:autoSpaceDN w:val="0"/>
        <w:adjustRightInd w:val="0"/>
        <w:snapToGrid w:val="0"/>
        <w:ind w:firstLine="425"/>
        <w:jc w:val="both"/>
        <w:rPr>
          <w:color w:val="000000"/>
          <w:sz w:val="20"/>
          <w:szCs w:val="28"/>
          <w:lang w:val="en-US"/>
        </w:rPr>
      </w:pPr>
      <w:r w:rsidRPr="00A46739">
        <w:rPr>
          <w:color w:val="000000"/>
          <w:sz w:val="20"/>
          <w:szCs w:val="28"/>
          <w:lang w:val="en-US"/>
        </w:rPr>
        <w:t xml:space="preserve">About 50% of SLN positive </w:t>
      </w:r>
      <w:proofErr w:type="spellStart"/>
      <w:r w:rsidRPr="00A46739">
        <w:rPr>
          <w:color w:val="000000"/>
          <w:sz w:val="20"/>
          <w:szCs w:val="28"/>
          <w:lang w:val="en-US"/>
        </w:rPr>
        <w:t>axilla</w:t>
      </w:r>
      <w:proofErr w:type="spellEnd"/>
      <w:r w:rsidRPr="00A46739">
        <w:rPr>
          <w:color w:val="000000"/>
          <w:sz w:val="20"/>
          <w:szCs w:val="28"/>
          <w:lang w:val="en-US"/>
        </w:rPr>
        <w:t xml:space="preserve"> have no further positive lymph nodes</w:t>
      </w:r>
      <w:r w:rsidR="004827E0" w:rsidRPr="00A46739">
        <w:rPr>
          <w:sz w:val="20"/>
          <w:szCs w:val="28"/>
          <w:lang w:val="en-US" w:bidi="ar-EG"/>
        </w:rPr>
        <w:t xml:space="preserve"> </w:t>
      </w:r>
      <w:r w:rsidR="00A55332" w:rsidRPr="00A46739">
        <w:rPr>
          <w:color w:val="FF0000"/>
          <w:sz w:val="20"/>
          <w:szCs w:val="28"/>
          <w:lang w:val="en-US"/>
        </w:rPr>
        <w:t xml:space="preserve">[15]. </w:t>
      </w:r>
      <w:r w:rsidRPr="00A46739">
        <w:rPr>
          <w:color w:val="000000"/>
          <w:sz w:val="20"/>
          <w:szCs w:val="28"/>
          <w:lang w:val="en-US"/>
        </w:rPr>
        <w:t xml:space="preserve">The ARM procedure was introduced to decrease the incidence of post </w:t>
      </w:r>
      <w:proofErr w:type="spellStart"/>
      <w:r w:rsidRPr="00A46739">
        <w:rPr>
          <w:color w:val="000000"/>
          <w:sz w:val="20"/>
          <w:szCs w:val="28"/>
          <w:lang w:val="en-US"/>
        </w:rPr>
        <w:t>axillary</w:t>
      </w:r>
      <w:proofErr w:type="spellEnd"/>
      <w:r w:rsidRPr="00A46739">
        <w:rPr>
          <w:color w:val="000000"/>
          <w:sz w:val="20"/>
          <w:szCs w:val="28"/>
          <w:lang w:val="en-US"/>
        </w:rPr>
        <w:t xml:space="preserve"> dissection </w:t>
      </w:r>
      <w:proofErr w:type="spellStart"/>
      <w:r w:rsidRPr="00A46739">
        <w:rPr>
          <w:color w:val="000000"/>
          <w:sz w:val="20"/>
          <w:szCs w:val="28"/>
          <w:lang w:val="en-US"/>
        </w:rPr>
        <w:t>lymphedema</w:t>
      </w:r>
      <w:proofErr w:type="spellEnd"/>
      <w:r w:rsidRPr="00A46739">
        <w:rPr>
          <w:color w:val="000000"/>
          <w:sz w:val="20"/>
          <w:szCs w:val="28"/>
          <w:lang w:val="en-US"/>
        </w:rPr>
        <w:t>. This procedure based on separate identification of both breast and arm lymphatic.</w:t>
      </w:r>
    </w:p>
    <w:p w:rsidR="00F47680" w:rsidRPr="00A46739" w:rsidRDefault="00A46739" w:rsidP="001F4954">
      <w:pPr>
        <w:autoSpaceDE w:val="0"/>
        <w:autoSpaceDN w:val="0"/>
        <w:adjustRightInd w:val="0"/>
        <w:snapToGrid w:val="0"/>
        <w:ind w:firstLine="425"/>
        <w:jc w:val="both"/>
        <w:rPr>
          <w:color w:val="000000"/>
          <w:sz w:val="20"/>
          <w:szCs w:val="28"/>
          <w:lang w:val="en-US"/>
        </w:rPr>
      </w:pPr>
      <w:r w:rsidRPr="00A46739">
        <w:rPr>
          <w:color w:val="000000"/>
          <w:sz w:val="20"/>
          <w:szCs w:val="28"/>
          <w:lang w:val="en-US"/>
        </w:rPr>
        <w:lastRenderedPageBreak/>
        <w:t>I</w:t>
      </w:r>
      <w:r w:rsidR="006D70F3" w:rsidRPr="00A46739">
        <w:rPr>
          <w:color w:val="000000"/>
          <w:sz w:val="20"/>
          <w:szCs w:val="28"/>
          <w:lang w:val="en-US"/>
        </w:rPr>
        <w:t xml:space="preserve">n the current study we assessed the </w:t>
      </w:r>
      <w:proofErr w:type="spellStart"/>
      <w:r w:rsidR="006D70F3" w:rsidRPr="00A46739">
        <w:rPr>
          <w:color w:val="000000"/>
          <w:sz w:val="20"/>
          <w:szCs w:val="28"/>
          <w:lang w:val="en-US"/>
        </w:rPr>
        <w:t>oncological</w:t>
      </w:r>
      <w:proofErr w:type="spellEnd"/>
      <w:r w:rsidR="006D70F3" w:rsidRPr="00A46739">
        <w:rPr>
          <w:color w:val="000000"/>
          <w:sz w:val="20"/>
          <w:szCs w:val="28"/>
          <w:lang w:val="en-US"/>
        </w:rPr>
        <w:t xml:space="preserve"> safety of CALND in clinically negative </w:t>
      </w:r>
      <w:proofErr w:type="spellStart"/>
      <w:r w:rsidR="006D70F3" w:rsidRPr="00A46739">
        <w:rPr>
          <w:color w:val="000000"/>
          <w:sz w:val="20"/>
          <w:szCs w:val="28"/>
          <w:lang w:val="en-US"/>
        </w:rPr>
        <w:t>axilla</w:t>
      </w:r>
      <w:proofErr w:type="spellEnd"/>
      <w:r w:rsidR="006D70F3" w:rsidRPr="00A46739">
        <w:rPr>
          <w:color w:val="000000"/>
          <w:sz w:val="20"/>
          <w:szCs w:val="28"/>
          <w:lang w:val="en-US"/>
        </w:rPr>
        <w:t xml:space="preserve"> and its ability</w:t>
      </w:r>
      <w:r w:rsidR="00F47680" w:rsidRPr="00A46739">
        <w:rPr>
          <w:color w:val="000000"/>
          <w:sz w:val="20"/>
          <w:szCs w:val="28"/>
          <w:lang w:val="en-US"/>
        </w:rPr>
        <w:t xml:space="preserve"> to decrease </w:t>
      </w:r>
      <w:proofErr w:type="spellStart"/>
      <w:r w:rsidR="00F47680" w:rsidRPr="00A46739">
        <w:rPr>
          <w:color w:val="000000"/>
          <w:sz w:val="20"/>
          <w:szCs w:val="28"/>
          <w:lang w:val="en-US"/>
        </w:rPr>
        <w:t>axillary</w:t>
      </w:r>
      <w:proofErr w:type="spellEnd"/>
      <w:r w:rsidR="00F47680" w:rsidRPr="00A46739">
        <w:rPr>
          <w:color w:val="000000"/>
          <w:sz w:val="20"/>
          <w:szCs w:val="28"/>
          <w:lang w:val="en-US"/>
        </w:rPr>
        <w:t xml:space="preserve"> surgery associated </w:t>
      </w:r>
      <w:proofErr w:type="spellStart"/>
      <w:r w:rsidR="00F47680" w:rsidRPr="00A46739">
        <w:rPr>
          <w:color w:val="000000"/>
          <w:sz w:val="20"/>
          <w:szCs w:val="28"/>
          <w:lang w:val="en-US"/>
        </w:rPr>
        <w:t>lymphedema</w:t>
      </w:r>
      <w:proofErr w:type="spellEnd"/>
      <w:r w:rsidR="00F47680" w:rsidRPr="00A46739">
        <w:rPr>
          <w:color w:val="000000"/>
          <w:sz w:val="20"/>
          <w:szCs w:val="28"/>
          <w:lang w:val="en-US"/>
        </w:rPr>
        <w:t>.</w:t>
      </w:r>
    </w:p>
    <w:p w:rsidR="00F47680" w:rsidRPr="00A46739" w:rsidRDefault="00F47680" w:rsidP="001F4954">
      <w:pPr>
        <w:autoSpaceDE w:val="0"/>
        <w:autoSpaceDN w:val="0"/>
        <w:adjustRightInd w:val="0"/>
        <w:snapToGrid w:val="0"/>
        <w:ind w:firstLine="425"/>
        <w:jc w:val="both"/>
        <w:rPr>
          <w:color w:val="000000"/>
          <w:sz w:val="20"/>
          <w:szCs w:val="28"/>
          <w:lang w:val="en-US"/>
        </w:rPr>
      </w:pPr>
      <w:r w:rsidRPr="00A46739">
        <w:rPr>
          <w:color w:val="000000"/>
          <w:sz w:val="20"/>
          <w:szCs w:val="28"/>
          <w:lang w:val="en-US"/>
        </w:rPr>
        <w:t xml:space="preserve">In our study </w:t>
      </w:r>
      <w:proofErr w:type="spellStart"/>
      <w:r w:rsidRPr="00A46739">
        <w:rPr>
          <w:color w:val="000000"/>
          <w:sz w:val="20"/>
          <w:szCs w:val="28"/>
          <w:lang w:val="en-US"/>
        </w:rPr>
        <w:t>axillary</w:t>
      </w:r>
      <w:proofErr w:type="spellEnd"/>
      <w:r w:rsidRPr="00A46739">
        <w:rPr>
          <w:color w:val="000000"/>
          <w:sz w:val="20"/>
          <w:szCs w:val="28"/>
          <w:lang w:val="en-US"/>
        </w:rPr>
        <w:t xml:space="preserve"> surgery associated </w:t>
      </w:r>
      <w:proofErr w:type="spellStart"/>
      <w:r w:rsidRPr="00A46739">
        <w:rPr>
          <w:color w:val="000000"/>
          <w:sz w:val="20"/>
          <w:szCs w:val="28"/>
          <w:lang w:val="en-US"/>
        </w:rPr>
        <w:t>lymphedema</w:t>
      </w:r>
      <w:proofErr w:type="spellEnd"/>
      <w:r w:rsidRPr="00A46739">
        <w:rPr>
          <w:color w:val="000000"/>
          <w:sz w:val="20"/>
          <w:szCs w:val="28"/>
          <w:lang w:val="en-US"/>
        </w:rPr>
        <w:t xml:space="preserve"> was significantly decreased in the conservative group this is </w:t>
      </w:r>
      <w:r w:rsidRPr="00A46739">
        <w:rPr>
          <w:sz w:val="20"/>
          <w:szCs w:val="28"/>
          <w:lang w:val="en-US"/>
        </w:rPr>
        <w:t xml:space="preserve">in agreement with </w:t>
      </w:r>
      <w:proofErr w:type="spellStart"/>
      <w:r w:rsidR="00A55332" w:rsidRPr="00A46739">
        <w:rPr>
          <w:sz w:val="20"/>
          <w:szCs w:val="28"/>
          <w:lang w:val="en-US" w:bidi="ar-EG"/>
        </w:rPr>
        <w:t>Boneti</w:t>
      </w:r>
      <w:proofErr w:type="spellEnd"/>
      <w:r w:rsidR="00A55332" w:rsidRPr="00A46739">
        <w:rPr>
          <w:color w:val="000000"/>
          <w:sz w:val="20"/>
          <w:szCs w:val="28"/>
          <w:lang w:val="en-US"/>
        </w:rPr>
        <w:t xml:space="preserve"> </w:t>
      </w:r>
      <w:proofErr w:type="spellStart"/>
      <w:r w:rsidR="00A55332" w:rsidRPr="00A46739">
        <w:rPr>
          <w:color w:val="000000"/>
          <w:sz w:val="20"/>
          <w:szCs w:val="28"/>
          <w:lang w:val="en-US"/>
        </w:rPr>
        <w:t>etal</w:t>
      </w:r>
      <w:proofErr w:type="spellEnd"/>
      <w:r w:rsidR="00A55332" w:rsidRPr="00A46739">
        <w:rPr>
          <w:color w:val="000000"/>
          <w:sz w:val="20"/>
          <w:szCs w:val="28"/>
          <w:lang w:val="en-US"/>
        </w:rPr>
        <w:t>.</w:t>
      </w:r>
      <w:r w:rsidR="00A55332" w:rsidRPr="00A46739">
        <w:rPr>
          <w:color w:val="FF0000"/>
          <w:sz w:val="20"/>
          <w:szCs w:val="28"/>
          <w:lang w:val="en-US"/>
        </w:rPr>
        <w:t xml:space="preserve"> [16].</w:t>
      </w:r>
      <w:r w:rsidR="00A46739" w:rsidRPr="00A46739">
        <w:rPr>
          <w:color w:val="FF0000"/>
          <w:sz w:val="20"/>
          <w:szCs w:val="28"/>
          <w:lang w:val="en-US"/>
        </w:rPr>
        <w:t xml:space="preserve"> </w:t>
      </w:r>
      <w:r w:rsidR="00A55332" w:rsidRPr="00A46739">
        <w:rPr>
          <w:color w:val="000000"/>
          <w:sz w:val="20"/>
          <w:szCs w:val="28"/>
          <w:lang w:val="en-US"/>
        </w:rPr>
        <w:t xml:space="preserve">While, </w:t>
      </w:r>
      <w:proofErr w:type="spellStart"/>
      <w:r w:rsidR="00A55332" w:rsidRPr="00A46739">
        <w:rPr>
          <w:color w:val="000000"/>
          <w:sz w:val="20"/>
          <w:szCs w:val="28"/>
          <w:lang w:val="en-US"/>
        </w:rPr>
        <w:t>Tauscho</w:t>
      </w:r>
      <w:proofErr w:type="spellEnd"/>
      <w:r w:rsidRPr="00A46739">
        <w:rPr>
          <w:color w:val="000000"/>
          <w:sz w:val="20"/>
          <w:szCs w:val="28"/>
          <w:lang w:val="en-US"/>
        </w:rPr>
        <w:t xml:space="preserve"> </w:t>
      </w:r>
      <w:proofErr w:type="spellStart"/>
      <w:r w:rsidRPr="00A46739">
        <w:rPr>
          <w:color w:val="000000"/>
          <w:sz w:val="20"/>
          <w:szCs w:val="28"/>
          <w:lang w:val="en-US"/>
        </w:rPr>
        <w:t>eta</w:t>
      </w:r>
      <w:r w:rsidR="00A46739" w:rsidRPr="00A46739">
        <w:rPr>
          <w:color w:val="000000"/>
          <w:sz w:val="20"/>
          <w:szCs w:val="28"/>
          <w:lang w:val="en-US"/>
        </w:rPr>
        <w:t>l</w:t>
      </w:r>
      <w:proofErr w:type="spellEnd"/>
      <w:r w:rsidR="00A46739" w:rsidRPr="00A46739">
        <w:rPr>
          <w:color w:val="000000"/>
          <w:sz w:val="20"/>
          <w:szCs w:val="28"/>
          <w:lang w:val="en-US"/>
        </w:rPr>
        <w:t xml:space="preserve"> </w:t>
      </w:r>
      <w:r w:rsidR="00A46739" w:rsidRPr="00A46739">
        <w:rPr>
          <w:color w:val="FF0000"/>
          <w:sz w:val="20"/>
          <w:szCs w:val="28"/>
          <w:lang w:val="en-US"/>
        </w:rPr>
        <w:t>[</w:t>
      </w:r>
      <w:r w:rsidR="00A55332" w:rsidRPr="00A46739">
        <w:rPr>
          <w:color w:val="FF0000"/>
          <w:sz w:val="20"/>
          <w:szCs w:val="28"/>
          <w:lang w:val="en-US"/>
        </w:rPr>
        <w:t>17].</w:t>
      </w:r>
      <w:r w:rsidRPr="00A46739">
        <w:rPr>
          <w:color w:val="000000"/>
          <w:sz w:val="20"/>
          <w:szCs w:val="28"/>
          <w:lang w:val="en-US"/>
        </w:rPr>
        <w:t xml:space="preserve">. </w:t>
      </w:r>
      <w:r w:rsidR="00A55332" w:rsidRPr="00A46739">
        <w:rPr>
          <w:color w:val="000000"/>
          <w:sz w:val="20"/>
          <w:szCs w:val="28"/>
          <w:lang w:val="en-US"/>
        </w:rPr>
        <w:t xml:space="preserve">and </w:t>
      </w:r>
      <w:proofErr w:type="spellStart"/>
      <w:r w:rsidRPr="00A46739">
        <w:rPr>
          <w:color w:val="000000"/>
          <w:sz w:val="20"/>
          <w:szCs w:val="28"/>
          <w:lang w:val="en-US"/>
        </w:rPr>
        <w:t>Gennaro</w:t>
      </w:r>
      <w:proofErr w:type="spellEnd"/>
      <w:r w:rsidRPr="00A46739">
        <w:rPr>
          <w:color w:val="000000"/>
          <w:sz w:val="20"/>
          <w:szCs w:val="28"/>
          <w:lang w:val="en-US"/>
        </w:rPr>
        <w:t xml:space="preserve"> </w:t>
      </w:r>
      <w:proofErr w:type="spellStart"/>
      <w:r w:rsidRPr="00A46739">
        <w:rPr>
          <w:color w:val="000000"/>
          <w:sz w:val="20"/>
          <w:szCs w:val="28"/>
          <w:lang w:val="en-US"/>
        </w:rPr>
        <w:t>etal</w:t>
      </w:r>
      <w:proofErr w:type="spellEnd"/>
      <w:r w:rsidRPr="00A46739">
        <w:rPr>
          <w:color w:val="000000"/>
          <w:sz w:val="20"/>
          <w:szCs w:val="28"/>
          <w:lang w:val="en-US"/>
        </w:rPr>
        <w:t>.</w:t>
      </w:r>
      <w:r w:rsidR="00A55332" w:rsidRPr="00A46739">
        <w:rPr>
          <w:color w:val="FF0000"/>
          <w:sz w:val="20"/>
          <w:szCs w:val="28"/>
          <w:lang w:val="en-US"/>
        </w:rPr>
        <w:t xml:space="preserve"> [18].</w:t>
      </w:r>
      <w:r w:rsidR="00A46739" w:rsidRPr="00A46739">
        <w:rPr>
          <w:color w:val="FF0000"/>
          <w:sz w:val="20"/>
          <w:szCs w:val="28"/>
          <w:lang w:val="en-US"/>
        </w:rPr>
        <w:t xml:space="preserve"> </w:t>
      </w:r>
      <w:r w:rsidRPr="00A46739">
        <w:rPr>
          <w:color w:val="000000"/>
          <w:sz w:val="20"/>
          <w:szCs w:val="28"/>
          <w:lang w:val="en-US"/>
        </w:rPr>
        <w:t xml:space="preserve">Showed no significant reduction in </w:t>
      </w:r>
      <w:proofErr w:type="spellStart"/>
      <w:r w:rsidRPr="00A46739">
        <w:rPr>
          <w:color w:val="000000"/>
          <w:sz w:val="20"/>
          <w:szCs w:val="28"/>
          <w:lang w:val="en-US"/>
        </w:rPr>
        <w:t>lymphedema</w:t>
      </w:r>
      <w:proofErr w:type="spellEnd"/>
      <w:r w:rsidRPr="00A46739">
        <w:rPr>
          <w:color w:val="000000"/>
          <w:sz w:val="20"/>
          <w:szCs w:val="28"/>
          <w:lang w:val="en-US"/>
        </w:rPr>
        <w:t xml:space="preserve"> but this result mostly due to small number of patients and short follow up </w:t>
      </w:r>
      <w:r w:rsidR="00357ACD" w:rsidRPr="00A46739">
        <w:rPr>
          <w:color w:val="000000"/>
          <w:sz w:val="20"/>
          <w:szCs w:val="28"/>
          <w:lang w:val="en-US"/>
        </w:rPr>
        <w:t>period, as</w:t>
      </w:r>
      <w:r w:rsidRPr="00A46739">
        <w:rPr>
          <w:color w:val="000000"/>
          <w:sz w:val="20"/>
          <w:szCs w:val="28"/>
          <w:lang w:val="en-US"/>
        </w:rPr>
        <w:t xml:space="preserve"> mostly </w:t>
      </w:r>
      <w:proofErr w:type="spellStart"/>
      <w:r w:rsidRPr="00A46739">
        <w:rPr>
          <w:color w:val="000000"/>
          <w:sz w:val="20"/>
          <w:szCs w:val="28"/>
          <w:lang w:val="en-US"/>
        </w:rPr>
        <w:t>lymphedema</w:t>
      </w:r>
      <w:proofErr w:type="spellEnd"/>
      <w:r w:rsidRPr="00A46739">
        <w:rPr>
          <w:color w:val="000000"/>
          <w:sz w:val="20"/>
          <w:szCs w:val="28"/>
          <w:lang w:val="en-US"/>
        </w:rPr>
        <w:t xml:space="preserve"> appears within 3 years after </w:t>
      </w:r>
      <w:proofErr w:type="spellStart"/>
      <w:r w:rsidRPr="00A46739">
        <w:rPr>
          <w:color w:val="000000"/>
          <w:sz w:val="20"/>
          <w:szCs w:val="28"/>
          <w:lang w:val="en-US"/>
        </w:rPr>
        <w:t>axillary</w:t>
      </w:r>
      <w:proofErr w:type="spellEnd"/>
      <w:r w:rsidRPr="00A46739">
        <w:rPr>
          <w:color w:val="000000"/>
          <w:sz w:val="20"/>
          <w:szCs w:val="28"/>
          <w:lang w:val="en-US"/>
        </w:rPr>
        <w:t xml:space="preserve"> dissection. </w:t>
      </w:r>
    </w:p>
    <w:p w:rsidR="00357ACD" w:rsidRPr="00A46739" w:rsidRDefault="00F47680" w:rsidP="001F4954">
      <w:pPr>
        <w:autoSpaceDE w:val="0"/>
        <w:autoSpaceDN w:val="0"/>
        <w:adjustRightInd w:val="0"/>
        <w:snapToGrid w:val="0"/>
        <w:ind w:firstLine="425"/>
        <w:jc w:val="both"/>
        <w:rPr>
          <w:color w:val="000000"/>
          <w:sz w:val="20"/>
          <w:szCs w:val="28"/>
          <w:lang w:val="en-US"/>
        </w:rPr>
      </w:pPr>
      <w:r w:rsidRPr="00A46739">
        <w:rPr>
          <w:color w:val="000000"/>
          <w:sz w:val="20"/>
          <w:szCs w:val="28"/>
          <w:lang w:val="en-US"/>
        </w:rPr>
        <w:lastRenderedPageBreak/>
        <w:t xml:space="preserve">As regarding </w:t>
      </w:r>
      <w:proofErr w:type="spellStart"/>
      <w:r w:rsidRPr="00A46739">
        <w:rPr>
          <w:color w:val="000000"/>
          <w:sz w:val="20"/>
          <w:szCs w:val="28"/>
          <w:lang w:val="en-US"/>
        </w:rPr>
        <w:t>oncological</w:t>
      </w:r>
      <w:proofErr w:type="spellEnd"/>
      <w:r w:rsidRPr="00A46739">
        <w:rPr>
          <w:color w:val="000000"/>
          <w:sz w:val="20"/>
          <w:szCs w:val="28"/>
          <w:lang w:val="en-US"/>
        </w:rPr>
        <w:t xml:space="preserve"> safety no local recurrence were occurred in our patients and this is in agreement with </w:t>
      </w:r>
      <w:r w:rsidR="00A366A9" w:rsidRPr="00A46739">
        <w:rPr>
          <w:sz w:val="20"/>
          <w:szCs w:val="28"/>
          <w:lang w:val="en-US" w:bidi="ar-EG"/>
        </w:rPr>
        <w:t>Ikeda</w:t>
      </w:r>
      <w:r w:rsidR="00357ACD" w:rsidRPr="00A46739">
        <w:rPr>
          <w:color w:val="000000"/>
          <w:sz w:val="20"/>
          <w:szCs w:val="28"/>
          <w:lang w:val="en-US"/>
        </w:rPr>
        <w:t xml:space="preserve"> </w:t>
      </w:r>
      <w:proofErr w:type="spellStart"/>
      <w:r w:rsidR="00357ACD" w:rsidRPr="00A46739">
        <w:rPr>
          <w:color w:val="000000"/>
          <w:sz w:val="20"/>
          <w:szCs w:val="28"/>
          <w:lang w:val="en-US"/>
        </w:rPr>
        <w:t>etal</w:t>
      </w:r>
      <w:proofErr w:type="spellEnd"/>
      <w:r w:rsidR="00357ACD" w:rsidRPr="00A46739">
        <w:rPr>
          <w:color w:val="000000"/>
          <w:sz w:val="20"/>
          <w:szCs w:val="28"/>
          <w:lang w:val="en-US"/>
        </w:rPr>
        <w:t>.</w:t>
      </w:r>
      <w:r w:rsidR="006D291B" w:rsidRPr="00A46739">
        <w:rPr>
          <w:color w:val="FF0000"/>
          <w:sz w:val="20"/>
          <w:szCs w:val="28"/>
          <w:lang w:val="en-US"/>
        </w:rPr>
        <w:t xml:space="preserve"> [19].</w:t>
      </w:r>
      <w:r w:rsidR="00A46739" w:rsidRPr="00A46739">
        <w:rPr>
          <w:color w:val="FF0000"/>
          <w:sz w:val="20"/>
          <w:szCs w:val="28"/>
          <w:lang w:val="en-US"/>
        </w:rPr>
        <w:t xml:space="preserve"> </w:t>
      </w:r>
      <w:r w:rsidR="00357ACD" w:rsidRPr="00A46739">
        <w:rPr>
          <w:color w:val="000000"/>
          <w:sz w:val="20"/>
          <w:szCs w:val="28"/>
          <w:lang w:val="en-US"/>
        </w:rPr>
        <w:t xml:space="preserve">Who conclude that clinically negative </w:t>
      </w:r>
      <w:proofErr w:type="spellStart"/>
      <w:r w:rsidR="00357ACD" w:rsidRPr="00A46739">
        <w:rPr>
          <w:color w:val="000000"/>
          <w:sz w:val="20"/>
          <w:szCs w:val="28"/>
          <w:lang w:val="en-US"/>
        </w:rPr>
        <w:t>axilla</w:t>
      </w:r>
      <w:proofErr w:type="spellEnd"/>
      <w:r w:rsidR="00357ACD" w:rsidRPr="00A46739">
        <w:rPr>
          <w:color w:val="000000"/>
          <w:sz w:val="20"/>
          <w:szCs w:val="28"/>
          <w:lang w:val="en-US"/>
        </w:rPr>
        <w:t xml:space="preserve"> and positive SLN had a significantly lower incidence of positive </w:t>
      </w:r>
      <w:smartTag w:uri="urn:schemas-microsoft-com:office:smarttags" w:element="stockticker">
        <w:r w:rsidR="00357ACD" w:rsidRPr="00A46739">
          <w:rPr>
            <w:color w:val="000000"/>
            <w:sz w:val="20"/>
            <w:szCs w:val="28"/>
            <w:lang w:val="en-US"/>
          </w:rPr>
          <w:t>ARM</w:t>
        </w:r>
      </w:smartTag>
      <w:r w:rsidR="00357ACD" w:rsidRPr="00A46739">
        <w:rPr>
          <w:color w:val="000000"/>
          <w:sz w:val="20"/>
          <w:szCs w:val="28"/>
          <w:lang w:val="en-US"/>
        </w:rPr>
        <w:t xml:space="preserve">. </w:t>
      </w:r>
    </w:p>
    <w:p w:rsidR="00357ACD" w:rsidRPr="00A46739" w:rsidRDefault="00357ACD" w:rsidP="001F4954">
      <w:pPr>
        <w:autoSpaceDE w:val="0"/>
        <w:autoSpaceDN w:val="0"/>
        <w:adjustRightInd w:val="0"/>
        <w:snapToGrid w:val="0"/>
        <w:ind w:firstLine="425"/>
        <w:jc w:val="both"/>
        <w:rPr>
          <w:color w:val="000000"/>
          <w:sz w:val="20"/>
          <w:szCs w:val="28"/>
          <w:lang w:val="en-US"/>
        </w:rPr>
      </w:pPr>
      <w:r w:rsidRPr="00A46739">
        <w:rPr>
          <w:color w:val="000000"/>
          <w:sz w:val="20"/>
          <w:szCs w:val="28"/>
          <w:lang w:val="en-US"/>
        </w:rPr>
        <w:t xml:space="preserve">As regarding </w:t>
      </w:r>
      <w:proofErr w:type="spellStart"/>
      <w:r w:rsidRPr="00A46739">
        <w:rPr>
          <w:color w:val="000000"/>
          <w:sz w:val="20"/>
          <w:szCs w:val="28"/>
          <w:lang w:val="en-US"/>
        </w:rPr>
        <w:t>parasthesia</w:t>
      </w:r>
      <w:proofErr w:type="spellEnd"/>
      <w:r w:rsidRPr="00A46739">
        <w:rPr>
          <w:color w:val="000000"/>
          <w:sz w:val="20"/>
          <w:szCs w:val="28"/>
          <w:lang w:val="en-US"/>
        </w:rPr>
        <w:t xml:space="preserve"> and numbness, there is no significant difference as this related to </w:t>
      </w:r>
      <w:proofErr w:type="spellStart"/>
      <w:r w:rsidRPr="00A46739">
        <w:rPr>
          <w:color w:val="000000"/>
          <w:sz w:val="20"/>
          <w:szCs w:val="28"/>
          <w:lang w:val="en-US"/>
        </w:rPr>
        <w:t>intercosto</w:t>
      </w:r>
      <w:proofErr w:type="spellEnd"/>
      <w:r w:rsidRPr="00A46739">
        <w:rPr>
          <w:color w:val="000000"/>
          <w:sz w:val="20"/>
          <w:szCs w:val="28"/>
          <w:lang w:val="en-US"/>
        </w:rPr>
        <w:t>-brachial nerve sparing.</w:t>
      </w:r>
    </w:p>
    <w:p w:rsidR="00F47680" w:rsidRPr="00A46739" w:rsidRDefault="00357ACD" w:rsidP="001F4954">
      <w:pPr>
        <w:autoSpaceDE w:val="0"/>
        <w:autoSpaceDN w:val="0"/>
        <w:adjustRightInd w:val="0"/>
        <w:snapToGrid w:val="0"/>
        <w:ind w:firstLine="425"/>
        <w:jc w:val="both"/>
        <w:rPr>
          <w:color w:val="000000"/>
          <w:sz w:val="20"/>
          <w:szCs w:val="28"/>
          <w:lang w:val="en-US"/>
        </w:rPr>
      </w:pPr>
      <w:r w:rsidRPr="00A46739">
        <w:rPr>
          <w:color w:val="000000"/>
          <w:sz w:val="20"/>
          <w:szCs w:val="28"/>
          <w:lang w:val="en-US"/>
        </w:rPr>
        <w:t>As regarding pain and shoulder affection, there is no significant difference between the two procedures.</w:t>
      </w:r>
    </w:p>
    <w:p w:rsidR="006D291B" w:rsidRPr="00A46739" w:rsidRDefault="006D291B" w:rsidP="001F4954">
      <w:pPr>
        <w:snapToGrid w:val="0"/>
        <w:jc w:val="both"/>
        <w:rPr>
          <w:rFonts w:eastAsia="Calibri"/>
          <w:b/>
          <w:bCs/>
          <w:sz w:val="20"/>
          <w:szCs w:val="28"/>
          <w:lang w:val="en-US" w:bidi="ar-EG"/>
        </w:rPr>
      </w:pPr>
    </w:p>
    <w:p w:rsidR="001F4954" w:rsidRDefault="00820623" w:rsidP="001F4954">
      <w:pPr>
        <w:snapToGrid w:val="0"/>
        <w:jc w:val="both"/>
        <w:rPr>
          <w:sz w:val="20"/>
          <w:szCs w:val="28"/>
          <w:lang w:val="en-US" w:eastAsia="zh-CN"/>
        </w:rPr>
      </w:pPr>
      <w:r w:rsidRPr="00A46739">
        <w:rPr>
          <w:rFonts w:eastAsia="Calibri"/>
          <w:b/>
          <w:bCs/>
          <w:sz w:val="20"/>
          <w:szCs w:val="28"/>
          <w:lang w:val="en-US" w:bidi="ar-EG"/>
        </w:rPr>
        <w:t>Conclusions:</w:t>
      </w:r>
      <w:r w:rsidR="00AE7022" w:rsidRPr="00A46739">
        <w:rPr>
          <w:rFonts w:eastAsia="Calibri"/>
          <w:sz w:val="20"/>
          <w:szCs w:val="28"/>
          <w:lang w:val="en-US"/>
        </w:rPr>
        <w:t xml:space="preserve"> </w:t>
      </w:r>
    </w:p>
    <w:p w:rsidR="00AE7022" w:rsidRPr="00A46739" w:rsidRDefault="00AE7022" w:rsidP="001F4954">
      <w:pPr>
        <w:snapToGrid w:val="0"/>
        <w:ind w:firstLine="425"/>
        <w:jc w:val="both"/>
        <w:rPr>
          <w:rFonts w:eastAsia="Calibri"/>
          <w:sz w:val="20"/>
          <w:szCs w:val="28"/>
          <w:lang w:val="en-US" w:bidi="ar-EG"/>
        </w:rPr>
      </w:pPr>
      <w:r w:rsidRPr="00A46739">
        <w:rPr>
          <w:rFonts w:eastAsia="Calibri"/>
          <w:sz w:val="20"/>
          <w:szCs w:val="28"/>
          <w:lang w:val="en-US"/>
        </w:rPr>
        <w:t>Conservative ALND</w:t>
      </w:r>
      <w:r w:rsidRPr="00A46739">
        <w:rPr>
          <w:rFonts w:eastAsia="Calibri"/>
          <w:b/>
          <w:bCs/>
          <w:sz w:val="20"/>
          <w:szCs w:val="28"/>
          <w:lang w:val="en-US"/>
        </w:rPr>
        <w:t xml:space="preserve"> </w:t>
      </w:r>
      <w:r w:rsidRPr="00A46739">
        <w:rPr>
          <w:rFonts w:eastAsia="Calibri"/>
          <w:sz w:val="20"/>
          <w:szCs w:val="28"/>
          <w:lang w:val="en-US"/>
        </w:rPr>
        <w:t xml:space="preserve">is </w:t>
      </w:r>
      <w:proofErr w:type="spellStart"/>
      <w:r w:rsidRPr="00A46739">
        <w:rPr>
          <w:rFonts w:eastAsia="Calibri"/>
          <w:sz w:val="20"/>
          <w:szCs w:val="28"/>
          <w:lang w:val="en-US"/>
        </w:rPr>
        <w:t>oncologically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safe as standard ALND in pathologically positive </w:t>
      </w:r>
      <w:proofErr w:type="spellStart"/>
      <w:r w:rsidRPr="00A46739">
        <w:rPr>
          <w:rFonts w:eastAsia="Calibri"/>
          <w:sz w:val="20"/>
          <w:szCs w:val="28"/>
          <w:lang w:val="en-US"/>
        </w:rPr>
        <w:t>axilla</w:t>
      </w:r>
      <w:proofErr w:type="spellEnd"/>
      <w:r w:rsidRPr="00A46739">
        <w:rPr>
          <w:rFonts w:eastAsia="Calibri"/>
          <w:sz w:val="20"/>
          <w:szCs w:val="28"/>
          <w:lang w:val="en-US"/>
        </w:rPr>
        <w:t xml:space="preserve"> and less in complications regarding </w:t>
      </w:r>
      <w:proofErr w:type="spellStart"/>
      <w:r w:rsidRPr="00A46739">
        <w:rPr>
          <w:rFonts w:eastAsia="Calibri"/>
          <w:sz w:val="20"/>
          <w:szCs w:val="28"/>
          <w:lang w:val="en-US"/>
        </w:rPr>
        <w:t>lymphedema</w:t>
      </w:r>
      <w:proofErr w:type="spellEnd"/>
      <w:r w:rsidRPr="00A46739">
        <w:rPr>
          <w:rFonts w:eastAsia="Calibri"/>
          <w:sz w:val="20"/>
          <w:szCs w:val="28"/>
          <w:lang w:val="en-US"/>
        </w:rPr>
        <w:t>,</w:t>
      </w:r>
      <w:r w:rsidRPr="00A46739">
        <w:rPr>
          <w:rFonts w:eastAsia="Calibri"/>
          <w:sz w:val="20"/>
          <w:szCs w:val="28"/>
          <w:lang w:val="en-US" w:bidi="ar-EG"/>
        </w:rPr>
        <w:t xml:space="preserve"> </w:t>
      </w:r>
      <w:proofErr w:type="spellStart"/>
      <w:r w:rsidRPr="00A46739">
        <w:rPr>
          <w:rFonts w:eastAsia="Calibri"/>
          <w:sz w:val="20"/>
          <w:szCs w:val="28"/>
          <w:lang w:val="en-US" w:bidi="ar-EG"/>
        </w:rPr>
        <w:t>parasthesia</w:t>
      </w:r>
      <w:proofErr w:type="spellEnd"/>
      <w:r w:rsidRPr="00A46739">
        <w:rPr>
          <w:rFonts w:eastAsia="Calibri"/>
          <w:sz w:val="20"/>
          <w:szCs w:val="28"/>
          <w:lang w:val="en-US" w:bidi="ar-EG"/>
        </w:rPr>
        <w:t>, pain and loss of shoulder mobility</w:t>
      </w:r>
      <w:r w:rsidRPr="00A46739">
        <w:rPr>
          <w:rFonts w:eastAsia="Calibri"/>
          <w:sz w:val="20"/>
          <w:szCs w:val="28"/>
          <w:lang w:val="en-US"/>
        </w:rPr>
        <w:t>.</w:t>
      </w:r>
    </w:p>
    <w:p w:rsidR="001F4954" w:rsidRDefault="001F4954" w:rsidP="001F4954">
      <w:pPr>
        <w:snapToGrid w:val="0"/>
        <w:jc w:val="both"/>
        <w:rPr>
          <w:b/>
          <w:bCs/>
          <w:sz w:val="20"/>
          <w:szCs w:val="28"/>
          <w:lang w:val="en-US" w:eastAsia="zh-CN" w:bidi="ar-EG"/>
        </w:rPr>
      </w:pPr>
    </w:p>
    <w:p w:rsidR="000C37D0" w:rsidRPr="00A46739" w:rsidRDefault="000C37D0" w:rsidP="001F4954">
      <w:pPr>
        <w:snapToGrid w:val="0"/>
        <w:jc w:val="both"/>
        <w:rPr>
          <w:rFonts w:eastAsia="Calibri"/>
          <w:b/>
          <w:bCs/>
          <w:sz w:val="20"/>
          <w:szCs w:val="28"/>
          <w:lang w:val="en-US" w:bidi="ar-EG"/>
        </w:rPr>
      </w:pPr>
      <w:r w:rsidRPr="00A46739">
        <w:rPr>
          <w:rFonts w:eastAsia="Calibri"/>
          <w:b/>
          <w:bCs/>
          <w:sz w:val="20"/>
          <w:szCs w:val="28"/>
          <w:lang w:val="en-US" w:bidi="ar-EG"/>
        </w:rPr>
        <w:t xml:space="preserve">Conflict of Interest </w:t>
      </w:r>
    </w:p>
    <w:p w:rsidR="00820623" w:rsidRPr="00A46739" w:rsidRDefault="000C37D0" w:rsidP="001F4954">
      <w:pPr>
        <w:snapToGrid w:val="0"/>
        <w:ind w:firstLine="425"/>
        <w:jc w:val="both"/>
        <w:rPr>
          <w:rFonts w:eastAsia="Calibri"/>
          <w:sz w:val="20"/>
          <w:szCs w:val="28"/>
          <w:lang w:val="en-US" w:bidi="ar-EG"/>
        </w:rPr>
      </w:pPr>
      <w:r w:rsidRPr="00A46739">
        <w:rPr>
          <w:rFonts w:eastAsia="Calibri"/>
          <w:sz w:val="20"/>
          <w:szCs w:val="28"/>
          <w:lang w:val="en-US" w:bidi="ar-EG"/>
        </w:rPr>
        <w:t>The authors declare that they have no conflict of interest.</w:t>
      </w:r>
    </w:p>
    <w:p w:rsidR="002840A4" w:rsidRPr="00A46739" w:rsidRDefault="002840A4" w:rsidP="001F4954">
      <w:pPr>
        <w:tabs>
          <w:tab w:val="left" w:pos="720"/>
          <w:tab w:val="left" w:pos="1440"/>
        </w:tabs>
        <w:snapToGrid w:val="0"/>
        <w:jc w:val="both"/>
        <w:rPr>
          <w:rFonts w:eastAsia="Times New Roman"/>
          <w:b/>
          <w:sz w:val="20"/>
        </w:rPr>
      </w:pPr>
    </w:p>
    <w:p w:rsidR="001F4954" w:rsidRDefault="002840A4" w:rsidP="001F4954">
      <w:pPr>
        <w:tabs>
          <w:tab w:val="left" w:pos="720"/>
          <w:tab w:val="left" w:pos="1440"/>
        </w:tabs>
        <w:snapToGrid w:val="0"/>
        <w:ind w:left="425" w:hanging="425"/>
        <w:jc w:val="both"/>
        <w:rPr>
          <w:rFonts w:eastAsia="Times New Roman"/>
          <w:b/>
          <w:sz w:val="20"/>
        </w:rPr>
      </w:pPr>
      <w:r w:rsidRPr="00A46739">
        <w:rPr>
          <w:rFonts w:eastAsia="Times New Roman"/>
          <w:b/>
          <w:sz w:val="20"/>
        </w:rPr>
        <w:t>Author Details:</w:t>
      </w:r>
    </w:p>
    <w:p w:rsidR="001F4954" w:rsidRDefault="002840A4" w:rsidP="001F4954">
      <w:pPr>
        <w:pStyle w:val="ListParagraph"/>
        <w:numPr>
          <w:ilvl w:val="0"/>
          <w:numId w:val="17"/>
        </w:numPr>
        <w:tabs>
          <w:tab w:val="left" w:pos="720"/>
          <w:tab w:val="left" w:pos="1440"/>
        </w:tabs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6739">
        <w:rPr>
          <w:rFonts w:ascii="Times New Roman" w:eastAsia="Times New Roman" w:hAnsi="Times New Roman" w:cs="Times New Roman"/>
          <w:sz w:val="20"/>
          <w:szCs w:val="20"/>
        </w:rPr>
        <w:t>Mohamed</w:t>
      </w:r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Abdelhamid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>, MD, lecturer of general surgery, General</w:t>
      </w:r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 xml:space="preserve"> &amp; 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Lap Surgery Department,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Zagazig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University,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Zagazig</w:t>
      </w:r>
      <w:proofErr w:type="spellEnd"/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Egypt,</w:t>
      </w:r>
      <w:r w:rsidRPr="00A4673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>E mail</w:t>
      </w:r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dr_moh2003@yahoo.com.</w:t>
      </w:r>
    </w:p>
    <w:p w:rsidR="001F4954" w:rsidRDefault="002840A4" w:rsidP="001F4954">
      <w:pPr>
        <w:pStyle w:val="ListParagraph"/>
        <w:numPr>
          <w:ilvl w:val="0"/>
          <w:numId w:val="17"/>
        </w:numPr>
        <w:tabs>
          <w:tab w:val="left" w:pos="720"/>
          <w:tab w:val="left" w:pos="1440"/>
        </w:tabs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Mohammed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Alkilany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>, MD, lecturer of general surgery, General</w:t>
      </w:r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 xml:space="preserve"> &amp; 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Lap Surgery Department,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Zagazig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University,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Zagazig</w:t>
      </w:r>
      <w:proofErr w:type="spellEnd"/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Egypt,</w:t>
      </w:r>
      <w:r w:rsidRPr="00A4673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E mail: </w:t>
      </w:r>
      <w:hyperlink r:id="rId21" w:history="1">
        <w:r w:rsidRPr="00A4673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dr_keko_2007@yahoo.com</w:t>
        </w:r>
      </w:hyperlink>
      <w:r w:rsidRPr="00A4673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F4954" w:rsidRDefault="002840A4" w:rsidP="001F4954">
      <w:pPr>
        <w:pStyle w:val="ListParagraph"/>
        <w:numPr>
          <w:ilvl w:val="0"/>
          <w:numId w:val="17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Osama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abd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Elaziz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>, MD, lecturer of general surgery, General</w:t>
      </w:r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 xml:space="preserve"> &amp; 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Lap Surgery Department,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Zagazig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University,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Zagazig</w:t>
      </w:r>
      <w:proofErr w:type="spellEnd"/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Egypt, E mail: osamaeltih1975@gmail.com</w:t>
      </w:r>
    </w:p>
    <w:p w:rsidR="001F4954" w:rsidRDefault="002840A4" w:rsidP="001F4954">
      <w:pPr>
        <w:pStyle w:val="ListParagraph"/>
        <w:numPr>
          <w:ilvl w:val="0"/>
          <w:numId w:val="17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Wael</w:t>
      </w:r>
      <w:proofErr w:type="spellEnd"/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>Al-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shelfa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>, MD, lecturer of general surgery, General</w:t>
      </w:r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 xml:space="preserve"> &amp; 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Lap Surgery Department,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Zagazig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University,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Zagazig</w:t>
      </w:r>
      <w:proofErr w:type="spellEnd"/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Egypt, E mail: Waelshel74@yahoo.com</w:t>
      </w:r>
    </w:p>
    <w:p w:rsidR="001F4954" w:rsidRDefault="002840A4" w:rsidP="001F4954">
      <w:pPr>
        <w:pStyle w:val="ListParagraph"/>
        <w:numPr>
          <w:ilvl w:val="0"/>
          <w:numId w:val="17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Hassan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Ashour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>, MD, lecturer of general surgery, General</w:t>
      </w:r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 xml:space="preserve"> &amp; 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Lap Surgery Department,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Zagazig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University,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Zagazig</w:t>
      </w:r>
      <w:proofErr w:type="spellEnd"/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Egypt, E mail: Drhassanashour@hotmail</w:t>
      </w:r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>com</w:t>
      </w:r>
    </w:p>
    <w:p w:rsidR="001F4954" w:rsidRDefault="002840A4" w:rsidP="001F4954">
      <w:pPr>
        <w:pStyle w:val="ListParagraph"/>
        <w:numPr>
          <w:ilvl w:val="0"/>
          <w:numId w:val="17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Salah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Ab</w:t>
      </w:r>
      <w:r w:rsidR="001F4954" w:rsidRPr="00A46739"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 w:rsidR="001F49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1F4954" w:rsidRPr="00A4673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>laal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>, MD, lecturer of general surgery, General</w:t>
      </w:r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 xml:space="preserve"> &amp; 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Lap Surgery Department,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Zagazig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University,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Zagazig</w:t>
      </w:r>
      <w:proofErr w:type="spellEnd"/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Egypt, E mail: Nooredo@yahoo.com</w:t>
      </w:r>
    </w:p>
    <w:p w:rsidR="001F4954" w:rsidRDefault="002840A4" w:rsidP="001F4954">
      <w:pPr>
        <w:pStyle w:val="ListParagraph"/>
        <w:numPr>
          <w:ilvl w:val="0"/>
          <w:numId w:val="17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Mansour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M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Morsy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>, MD, lecturer of general surgery, General</w:t>
      </w:r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 xml:space="preserve"> &amp; 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Lap Surgery Department,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Zagazig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University,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Zagazig</w:t>
      </w:r>
      <w:proofErr w:type="spellEnd"/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Egypt, E mail: </w:t>
      </w:r>
      <w:hyperlink r:id="rId22" w:history="1">
        <w:r w:rsidRPr="00A4673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mansourmorsy@gmail.com</w:t>
        </w:r>
      </w:hyperlink>
    </w:p>
    <w:p w:rsidR="002840A4" w:rsidRPr="00A46739" w:rsidRDefault="002840A4" w:rsidP="001F4954">
      <w:pPr>
        <w:pStyle w:val="ListParagraph"/>
        <w:numPr>
          <w:ilvl w:val="0"/>
          <w:numId w:val="17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Ahmed R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Elsayed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>, MD, lecturer of general surgery, General</w:t>
      </w:r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 xml:space="preserve"> &amp; 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Lap Surgery Department,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Zagazig</w:t>
      </w:r>
      <w:proofErr w:type="spellEnd"/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University, </w:t>
      </w:r>
      <w:proofErr w:type="spellStart"/>
      <w:r w:rsidRPr="00A46739">
        <w:rPr>
          <w:rFonts w:ascii="Times New Roman" w:eastAsia="Times New Roman" w:hAnsi="Times New Roman" w:cs="Times New Roman"/>
          <w:sz w:val="20"/>
          <w:szCs w:val="20"/>
        </w:rPr>
        <w:t>Zagazig</w:t>
      </w:r>
      <w:proofErr w:type="spellEnd"/>
      <w:r w:rsidR="00A46739" w:rsidRPr="00A4673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46739">
        <w:rPr>
          <w:rFonts w:ascii="Times New Roman" w:eastAsia="Times New Roman" w:hAnsi="Times New Roman" w:cs="Times New Roman"/>
          <w:sz w:val="20"/>
          <w:szCs w:val="20"/>
        </w:rPr>
        <w:t xml:space="preserve"> Egypt, E mail: Dr_ahmedraafat@yahoo.com</w:t>
      </w:r>
    </w:p>
    <w:p w:rsidR="002840A4" w:rsidRDefault="002840A4" w:rsidP="001F4954">
      <w:pPr>
        <w:snapToGrid w:val="0"/>
        <w:jc w:val="both"/>
        <w:rPr>
          <w:rFonts w:hint="eastAsia"/>
          <w:b/>
          <w:bCs/>
          <w:sz w:val="20"/>
          <w:szCs w:val="20"/>
          <w:u w:val="single"/>
          <w:lang w:eastAsia="zh-CN"/>
        </w:rPr>
      </w:pPr>
    </w:p>
    <w:p w:rsidR="001B7C79" w:rsidRPr="001B7C79" w:rsidRDefault="001B7C79" w:rsidP="001F4954">
      <w:pPr>
        <w:snapToGrid w:val="0"/>
        <w:jc w:val="both"/>
        <w:rPr>
          <w:rFonts w:hint="eastAsia"/>
          <w:b/>
          <w:bCs/>
          <w:sz w:val="20"/>
          <w:szCs w:val="20"/>
          <w:u w:val="single"/>
          <w:lang w:eastAsia="zh-CN"/>
        </w:rPr>
      </w:pPr>
    </w:p>
    <w:p w:rsidR="002840A4" w:rsidRPr="00A46739" w:rsidRDefault="001F4954" w:rsidP="001F4954">
      <w:pPr>
        <w:snapToGrid w:val="0"/>
        <w:jc w:val="both"/>
        <w:rPr>
          <w:rFonts w:eastAsia="Times New Roman"/>
          <w:b/>
          <w:bCs/>
          <w:sz w:val="20"/>
          <w:szCs w:val="20"/>
          <w:u w:val="single"/>
        </w:rPr>
      </w:pPr>
      <w:r w:rsidRPr="00A46739">
        <w:rPr>
          <w:rFonts w:eastAsia="Times New Roman"/>
          <w:b/>
          <w:bCs/>
          <w:sz w:val="20"/>
          <w:szCs w:val="20"/>
          <w:u w:val="single"/>
        </w:rPr>
        <w:lastRenderedPageBreak/>
        <w:t xml:space="preserve">Corresponding Author Details </w:t>
      </w:r>
    </w:p>
    <w:p w:rsidR="002840A4" w:rsidRPr="00A46739" w:rsidRDefault="002840A4" w:rsidP="001F4954">
      <w:pPr>
        <w:tabs>
          <w:tab w:val="left" w:pos="720"/>
          <w:tab w:val="left" w:pos="1440"/>
        </w:tabs>
        <w:snapToGrid w:val="0"/>
        <w:jc w:val="both"/>
        <w:rPr>
          <w:rFonts w:eastAsia="Times New Roman"/>
          <w:sz w:val="20"/>
        </w:rPr>
      </w:pPr>
      <w:r w:rsidRPr="00A46739">
        <w:rPr>
          <w:rFonts w:eastAsia="Times New Roman"/>
          <w:sz w:val="20"/>
        </w:rPr>
        <w:t xml:space="preserve">Mohamed Ibrahim </w:t>
      </w:r>
      <w:proofErr w:type="spellStart"/>
      <w:r w:rsidRPr="00A46739">
        <w:rPr>
          <w:rFonts w:eastAsia="Times New Roman"/>
          <w:sz w:val="20"/>
        </w:rPr>
        <w:t>Abdelhamid</w:t>
      </w:r>
      <w:proofErr w:type="spellEnd"/>
    </w:p>
    <w:p w:rsidR="002840A4" w:rsidRPr="00A46739" w:rsidRDefault="002840A4" w:rsidP="001F4954">
      <w:pPr>
        <w:tabs>
          <w:tab w:val="left" w:pos="720"/>
          <w:tab w:val="left" w:pos="1440"/>
        </w:tabs>
        <w:snapToGrid w:val="0"/>
        <w:jc w:val="both"/>
        <w:rPr>
          <w:rFonts w:eastAsia="Times New Roman"/>
          <w:sz w:val="20"/>
        </w:rPr>
      </w:pPr>
      <w:r w:rsidRPr="00A46739">
        <w:rPr>
          <w:rFonts w:eastAsia="Times New Roman"/>
          <w:sz w:val="20"/>
        </w:rPr>
        <w:t xml:space="preserve">Postal address: General and Laparoscopic Surgery Department, </w:t>
      </w:r>
      <w:proofErr w:type="spellStart"/>
      <w:r w:rsidRPr="00A46739">
        <w:rPr>
          <w:rFonts w:eastAsia="Times New Roman"/>
          <w:sz w:val="20"/>
        </w:rPr>
        <w:t>Zagazig</w:t>
      </w:r>
      <w:proofErr w:type="spellEnd"/>
      <w:r w:rsidRPr="00A46739">
        <w:rPr>
          <w:rFonts w:eastAsia="Times New Roman"/>
          <w:sz w:val="20"/>
        </w:rPr>
        <w:t xml:space="preserve"> University.</w:t>
      </w:r>
    </w:p>
    <w:p w:rsidR="002840A4" w:rsidRPr="00A46739" w:rsidRDefault="002840A4" w:rsidP="001F4954">
      <w:pPr>
        <w:snapToGrid w:val="0"/>
        <w:jc w:val="both"/>
        <w:rPr>
          <w:rFonts w:eastAsia="Times New Roman"/>
          <w:sz w:val="20"/>
        </w:rPr>
      </w:pPr>
      <w:proofErr w:type="spellStart"/>
      <w:r w:rsidRPr="00A46739">
        <w:rPr>
          <w:rFonts w:eastAsia="Times New Roman"/>
          <w:sz w:val="20"/>
        </w:rPr>
        <w:t>Zagazig</w:t>
      </w:r>
      <w:proofErr w:type="spellEnd"/>
    </w:p>
    <w:p w:rsidR="002840A4" w:rsidRPr="00A46739" w:rsidRDefault="002840A4" w:rsidP="001F4954">
      <w:pPr>
        <w:snapToGrid w:val="0"/>
        <w:jc w:val="both"/>
        <w:rPr>
          <w:rFonts w:eastAsia="Times New Roman"/>
          <w:sz w:val="20"/>
        </w:rPr>
      </w:pPr>
      <w:proofErr w:type="spellStart"/>
      <w:r w:rsidRPr="00A46739">
        <w:rPr>
          <w:rFonts w:eastAsia="Times New Roman"/>
          <w:sz w:val="20"/>
        </w:rPr>
        <w:t>sharkia</w:t>
      </w:r>
      <w:proofErr w:type="spellEnd"/>
      <w:r w:rsidRPr="00A46739">
        <w:rPr>
          <w:rFonts w:eastAsia="Times New Roman"/>
          <w:sz w:val="20"/>
        </w:rPr>
        <w:t xml:space="preserve"> </w:t>
      </w:r>
    </w:p>
    <w:p w:rsidR="002840A4" w:rsidRPr="00A46739" w:rsidRDefault="002840A4" w:rsidP="001F4954">
      <w:pPr>
        <w:snapToGrid w:val="0"/>
        <w:jc w:val="both"/>
        <w:rPr>
          <w:rFonts w:eastAsia="Times New Roman"/>
          <w:color w:val="FF0000"/>
          <w:sz w:val="20"/>
          <w:szCs w:val="20"/>
        </w:rPr>
      </w:pPr>
      <w:r w:rsidRPr="00A46739">
        <w:rPr>
          <w:rFonts w:eastAsia="Times New Roman"/>
          <w:sz w:val="20"/>
        </w:rPr>
        <w:t>Egypt</w:t>
      </w:r>
      <w:r w:rsidRPr="00A46739">
        <w:rPr>
          <w:rFonts w:eastAsia="Times New Roman"/>
          <w:color w:val="FF0000"/>
          <w:sz w:val="20"/>
          <w:szCs w:val="20"/>
        </w:rPr>
        <w:t xml:space="preserve"> </w:t>
      </w:r>
    </w:p>
    <w:p w:rsidR="002840A4" w:rsidRPr="00A46739" w:rsidRDefault="002840A4" w:rsidP="001F4954">
      <w:pPr>
        <w:tabs>
          <w:tab w:val="left" w:pos="720"/>
          <w:tab w:val="left" w:pos="1440"/>
        </w:tabs>
        <w:snapToGrid w:val="0"/>
        <w:jc w:val="both"/>
        <w:rPr>
          <w:rFonts w:eastAsia="Times New Roman"/>
          <w:sz w:val="20"/>
        </w:rPr>
      </w:pPr>
      <w:r w:rsidRPr="00A46739">
        <w:rPr>
          <w:rFonts w:eastAsia="Times New Roman"/>
          <w:sz w:val="20"/>
        </w:rPr>
        <w:t>Tel: +20552336364 - 002 01226205757 - 0021117861414</w:t>
      </w:r>
    </w:p>
    <w:p w:rsidR="002840A4" w:rsidRPr="001B7C79" w:rsidRDefault="002840A4" w:rsidP="001F4954">
      <w:pPr>
        <w:tabs>
          <w:tab w:val="left" w:pos="720"/>
          <w:tab w:val="left" w:pos="1440"/>
        </w:tabs>
        <w:snapToGrid w:val="0"/>
        <w:jc w:val="both"/>
        <w:rPr>
          <w:rFonts w:hint="eastAsia"/>
          <w:sz w:val="20"/>
          <w:lang w:eastAsia="zh-CN"/>
        </w:rPr>
      </w:pPr>
      <w:r w:rsidRPr="00A46739">
        <w:rPr>
          <w:rFonts w:eastAsia="Times New Roman"/>
          <w:sz w:val="20"/>
          <w:szCs w:val="20"/>
        </w:rPr>
        <w:t xml:space="preserve">Contact </w:t>
      </w:r>
      <w:r w:rsidRPr="00A46739">
        <w:rPr>
          <w:rFonts w:eastAsia="Times New Roman"/>
          <w:sz w:val="20"/>
        </w:rPr>
        <w:t xml:space="preserve">E mail: </w:t>
      </w:r>
      <w:hyperlink r:id="rId23" w:history="1">
        <w:r w:rsidR="001B7C79" w:rsidRPr="00824B24">
          <w:rPr>
            <w:rStyle w:val="Hyperlink"/>
            <w:rFonts w:eastAsia="Times New Roman"/>
            <w:sz w:val="20"/>
          </w:rPr>
          <w:t>dr_moh2003@yahoo.com</w:t>
        </w:r>
      </w:hyperlink>
      <w:r w:rsidR="001B7C79">
        <w:rPr>
          <w:rFonts w:hint="eastAsia"/>
          <w:sz w:val="20"/>
          <w:lang w:eastAsia="zh-CN"/>
        </w:rPr>
        <w:t xml:space="preserve"> </w:t>
      </w:r>
    </w:p>
    <w:p w:rsidR="00A46739" w:rsidRPr="00A46739" w:rsidRDefault="002840A4" w:rsidP="001F4954">
      <w:pPr>
        <w:snapToGrid w:val="0"/>
        <w:jc w:val="both"/>
        <w:rPr>
          <w:rFonts w:eastAsia="Times New Roman"/>
          <w:sz w:val="20"/>
          <w:szCs w:val="20"/>
        </w:rPr>
      </w:pPr>
      <w:r w:rsidRPr="00A46739">
        <w:rPr>
          <w:rFonts w:eastAsia="Times New Roman"/>
          <w:sz w:val="20"/>
          <w:szCs w:val="20"/>
        </w:rPr>
        <w:t>Fax: +20552370600</w:t>
      </w:r>
    </w:p>
    <w:p w:rsidR="005D20E1" w:rsidRPr="00A46739" w:rsidRDefault="005D20E1" w:rsidP="001F4954">
      <w:pPr>
        <w:snapToGrid w:val="0"/>
        <w:jc w:val="both"/>
        <w:rPr>
          <w:rFonts w:eastAsia="Calibri"/>
          <w:b/>
          <w:bCs/>
          <w:sz w:val="20"/>
          <w:szCs w:val="28"/>
          <w:lang w:val="en-US" w:bidi="ar-EG"/>
        </w:rPr>
      </w:pPr>
    </w:p>
    <w:p w:rsidR="009C1D0E" w:rsidRPr="00A46739" w:rsidRDefault="00820623" w:rsidP="001F4954">
      <w:pPr>
        <w:snapToGrid w:val="0"/>
        <w:jc w:val="both"/>
        <w:rPr>
          <w:rFonts w:eastAsia="Calibri"/>
          <w:b/>
          <w:bCs/>
          <w:sz w:val="20"/>
          <w:szCs w:val="28"/>
          <w:lang w:val="en-US" w:bidi="ar-EG"/>
        </w:rPr>
      </w:pPr>
      <w:r w:rsidRPr="00A46739">
        <w:rPr>
          <w:rFonts w:eastAsia="Calibri"/>
          <w:b/>
          <w:bCs/>
          <w:sz w:val="20"/>
          <w:szCs w:val="28"/>
          <w:lang w:val="en-US" w:bidi="ar-EG"/>
        </w:rPr>
        <w:t>References:</w:t>
      </w:r>
    </w:p>
    <w:p w:rsidR="00A46739" w:rsidRPr="00A46739" w:rsidRDefault="009C1D0E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Lucci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McCall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L,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Beitsch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P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(2007).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Surgical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complications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associated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with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sentinel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lymph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node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dissection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(SLND)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plus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axillary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lymph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node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dissection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compared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with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SLND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alone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in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the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American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College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of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Surgeons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Oncology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Group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Trial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Z0011.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J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Clin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Oncol.;25: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3657–63.</w:t>
      </w:r>
    </w:p>
    <w:p w:rsidR="00A46739" w:rsidRPr="00A46739" w:rsidRDefault="00A46739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r w:rsidRPr="00A46739">
        <w:rPr>
          <w:rFonts w:ascii="Times New Roman" w:hAnsi="Times New Roman" w:cs="Times New Roman"/>
          <w:sz w:val="20"/>
          <w:szCs w:val="28"/>
          <w:lang w:bidi="ar-EG"/>
        </w:rPr>
        <w:t>L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anger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I,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Guller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U,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Berclaz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G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(2007).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Morbidity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of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sentinel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lymph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node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biopsy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(SLN)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alone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versus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SLN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and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completion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axillary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lymph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node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dissection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after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breast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cancer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surgery: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a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prospective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Swiss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multicenter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study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of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659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patients.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Ann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Surg</w:t>
      </w:r>
      <w:proofErr w:type="spellEnd"/>
      <w:r w:rsidRPr="00A46739">
        <w:rPr>
          <w:rFonts w:ascii="Times New Roman" w:hAnsi="Times New Roman" w:cs="Times New Roman"/>
          <w:sz w:val="20"/>
          <w:szCs w:val="28"/>
          <w:lang w:bidi="ar-EG"/>
        </w:rPr>
        <w:t>;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245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(3):452–61.</w:t>
      </w:r>
    </w:p>
    <w:p w:rsidR="00A46739" w:rsidRPr="00A46739" w:rsidRDefault="00A46739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r w:rsidRPr="00A46739">
        <w:rPr>
          <w:rFonts w:ascii="Times New Roman" w:hAnsi="Times New Roman" w:cs="Times New Roman"/>
          <w:sz w:val="20"/>
          <w:szCs w:val="28"/>
          <w:lang w:bidi="ar-EG"/>
        </w:rPr>
        <w:t>M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cLaughlin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S,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Wright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M,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Morris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K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(2008).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Prevalence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of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lymphedema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in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women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with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breast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cancer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5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years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after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sentinel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1743B" w:rsidRPr="00A46739">
        <w:rPr>
          <w:rFonts w:ascii="Times New Roman" w:hAnsi="Times New Roman" w:cs="Times New Roman"/>
          <w:sz w:val="20"/>
          <w:szCs w:val="28"/>
          <w:lang w:bidi="ar-EG"/>
        </w:rPr>
        <w:t>lymph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1743B" w:rsidRPr="00A46739">
        <w:rPr>
          <w:rFonts w:ascii="Times New Roman" w:hAnsi="Times New Roman" w:cs="Times New Roman"/>
          <w:sz w:val="20"/>
          <w:szCs w:val="28"/>
          <w:lang w:bidi="ar-EG"/>
        </w:rPr>
        <w:t>node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1743B" w:rsidRPr="00A46739">
        <w:rPr>
          <w:rFonts w:ascii="Times New Roman" w:hAnsi="Times New Roman" w:cs="Times New Roman"/>
          <w:sz w:val="20"/>
          <w:szCs w:val="28"/>
          <w:lang w:bidi="ar-EG"/>
        </w:rPr>
        <w:t>biopsy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1743B" w:rsidRPr="00A46739">
        <w:rPr>
          <w:rFonts w:ascii="Times New Roman" w:hAnsi="Times New Roman" w:cs="Times New Roman"/>
          <w:sz w:val="20"/>
          <w:szCs w:val="28"/>
          <w:lang w:bidi="ar-EG"/>
        </w:rPr>
        <w:t>or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axillary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dissection: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objective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measurements.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J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Clin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Oncol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;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26(32):5213–9.</w:t>
      </w:r>
    </w:p>
    <w:p w:rsidR="00CC2B58" w:rsidRPr="00A46739" w:rsidRDefault="00A46739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B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ani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H,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Fasching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A,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Lux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M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(2007).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Lymphedema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in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breast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cancer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survivors: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assessment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and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information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provision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in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a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specialized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breast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unit.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Patient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Educ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Couns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;</w:t>
      </w:r>
      <w:r w:rsidR="009C1D0E" w:rsidRPr="00A46739">
        <w:rPr>
          <w:rFonts w:ascii="Times New Roman" w:hAnsi="Times New Roman" w:cs="Times New Roman"/>
          <w:sz w:val="20"/>
          <w:szCs w:val="28"/>
          <w:lang w:bidi="ar-EG"/>
        </w:rPr>
        <w:t>66:311–8.</w:t>
      </w:r>
    </w:p>
    <w:p w:rsidR="00CC2B58" w:rsidRPr="00A46739" w:rsidRDefault="009C1D0E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r w:rsidRPr="00A46739">
        <w:rPr>
          <w:rFonts w:ascii="Times New Roman" w:hAnsi="Times New Roman" w:cs="Times New Roman"/>
          <w:sz w:val="20"/>
          <w:szCs w:val="28"/>
          <w:lang w:bidi="ar-EG"/>
        </w:rPr>
        <w:t>Michael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S,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Charikleia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S,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Konstantinos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K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(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2011)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Lymphedema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and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breast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cancer: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review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of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the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literatur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e.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Breast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Cancer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;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18:174–80.</w:t>
      </w:r>
    </w:p>
    <w:p w:rsidR="00CC2B58" w:rsidRPr="00A46739" w:rsidRDefault="009C1D0E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r w:rsidRPr="00A46739">
        <w:rPr>
          <w:rFonts w:ascii="Times New Roman" w:hAnsi="Times New Roman" w:cs="Times New Roman"/>
          <w:sz w:val="20"/>
          <w:szCs w:val="28"/>
          <w:lang w:bidi="ar-EG"/>
        </w:rPr>
        <w:t>Thompson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M,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Korourian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S,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Henry-Tillman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R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etal</w:t>
      </w:r>
      <w:proofErr w:type="spellEnd"/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(2007)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Axillary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reverse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mapping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(ARM):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new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concept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to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identify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and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enhance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lymphatic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preservation.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Ann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Surg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Oncol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;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14(6):1890–5.</w:t>
      </w:r>
    </w:p>
    <w:p w:rsidR="00A46739" w:rsidRPr="00A46739" w:rsidRDefault="009C1D0E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Nos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C,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Lesieur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B,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Clough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K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(2007)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Blue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dye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injection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in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the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arm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in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order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to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conserve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the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lymphatic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drainage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of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the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arm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in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breast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cancer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patients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requiring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axillary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dissection.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Ann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Surg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Oncol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;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14(9):2490–6.</w:t>
      </w:r>
    </w:p>
    <w:p w:rsidR="00A46739" w:rsidRPr="00A46739" w:rsidRDefault="00A46739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G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iuliano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A,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Kirgan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D,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Gutenther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J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(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1994)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.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Lymphatic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mapping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and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sentinel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lymphadenect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omy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for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breast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cancer.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Ann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Surg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;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220:391–401.</w:t>
      </w:r>
    </w:p>
    <w:p w:rsidR="00A46739" w:rsidRPr="00A46739" w:rsidRDefault="00A46739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V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eronesi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U,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Paganelli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G,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Galimberti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V</w:t>
      </w:r>
      <w:r w:rsidR="001F4954" w:rsidRPr="00A46739">
        <w:rPr>
          <w:rFonts w:ascii="Times New Roman" w:hAnsi="Times New Roman" w:cs="Times New Roman"/>
          <w:sz w:val="20"/>
          <w:szCs w:val="28"/>
          <w:lang w:bidi="ar-EG"/>
        </w:rPr>
        <w:t>,</w:t>
      </w:r>
      <w:r w:rsidR="001F4954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1F4954" w:rsidRPr="00A46739">
        <w:rPr>
          <w:rFonts w:ascii="Times New Roman" w:hAnsi="Times New Roman" w:cs="Times New Roman"/>
          <w:sz w:val="20"/>
          <w:szCs w:val="28"/>
          <w:lang w:bidi="ar-EG"/>
        </w:rPr>
        <w:t>e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t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al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.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(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1997).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Sentinel-node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biopsy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to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avoid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Axillary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dissection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in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breast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cancer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with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clinical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ly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negative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lymph-nodes.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Lancet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;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349:1864–7.</w:t>
      </w:r>
    </w:p>
    <w:p w:rsidR="00A46739" w:rsidRPr="00A46739" w:rsidRDefault="00A46739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lastRenderedPageBreak/>
        <w:t>K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rag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D,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Weaver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D,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Ashikaga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T,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et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al.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(1998).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The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sentinel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node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in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breast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cancer: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a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multicenter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validation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study.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N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Engl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J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Med.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1998;339:941–6.</w:t>
      </w:r>
    </w:p>
    <w:p w:rsidR="00E94A10" w:rsidRPr="00A46739" w:rsidRDefault="00A46739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r w:rsidRPr="00A46739">
        <w:rPr>
          <w:rFonts w:ascii="Times New Roman" w:hAnsi="Times New Roman" w:cs="Times New Roman"/>
          <w:sz w:val="20"/>
          <w:szCs w:val="28"/>
          <w:lang w:bidi="ar-EG"/>
        </w:rPr>
        <w:t>C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ox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C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,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Pendas</w:t>
      </w:r>
      <w:proofErr w:type="spellEnd"/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S,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Cox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J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,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et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al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.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(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1998).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Guidelines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for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sentinel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node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biopsy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and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lymphatic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mapping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of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patien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ts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with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breast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cancer.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Ann</w:t>
      </w:r>
      <w:r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Surg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;</w:t>
      </w:r>
      <w:r w:rsidR="008D1BB6" w:rsidRPr="00A46739">
        <w:rPr>
          <w:rFonts w:ascii="Times New Roman" w:hAnsi="Times New Roman" w:cs="Times New Roman"/>
          <w:sz w:val="20"/>
          <w:szCs w:val="28"/>
          <w:lang w:bidi="ar-EG"/>
        </w:rPr>
        <w:t>227:645–53.</w:t>
      </w:r>
    </w:p>
    <w:p w:rsidR="001F4954" w:rsidRDefault="00A55332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Klompenh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ouwer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E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Gobardhan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P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Beek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M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(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2013).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The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clinical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relevance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of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axillary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reverse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mappin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g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(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ARM):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study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protocol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for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randomized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controlled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trial.</w:t>
      </w:r>
      <w:r w:rsidR="00A46739">
        <w:rPr>
          <w:rFonts w:ascii="Times New Roman" w:hAnsi="Times New Roman" w:cs="Times New Roman"/>
          <w:color w:val="131413"/>
          <w:sz w:val="20"/>
          <w:szCs w:val="16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Trials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2013,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14:11</w:t>
      </w:r>
      <w:r w:rsidR="001F4954" w:rsidRPr="00A46739">
        <w:rPr>
          <w:rFonts w:ascii="Times New Roman" w:hAnsi="Times New Roman" w:cs="Times New Roman"/>
          <w:sz w:val="20"/>
          <w:szCs w:val="28"/>
          <w:lang w:bidi="ar-EG"/>
        </w:rPr>
        <w:t>1</w:t>
      </w:r>
      <w:r w:rsidR="001F4954">
        <w:rPr>
          <w:rFonts w:ascii="Times New Roman" w:hAnsi="Times New Roman" w:cs="Times New Roman"/>
          <w:sz w:val="20"/>
          <w:szCs w:val="28"/>
          <w:lang w:bidi="ar-EG"/>
        </w:rPr>
        <w:t>.</w:t>
      </w:r>
    </w:p>
    <w:p w:rsidR="00A55332" w:rsidRPr="00A46739" w:rsidRDefault="00A55332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Ververs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J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Roumen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R,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Vingerhoets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A</w:t>
      </w:r>
      <w:r w:rsidR="001F4954" w:rsidRPr="00A46739">
        <w:rPr>
          <w:rFonts w:ascii="Times New Roman" w:hAnsi="Times New Roman" w:cs="Times New Roman"/>
          <w:sz w:val="20"/>
          <w:szCs w:val="28"/>
          <w:lang w:bidi="ar-EG"/>
        </w:rPr>
        <w:t>,</w:t>
      </w:r>
      <w:r w:rsidR="001F4954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1F4954" w:rsidRPr="00A46739">
        <w:rPr>
          <w:rFonts w:ascii="Times New Roman" w:hAnsi="Times New Roman" w:cs="Times New Roman"/>
          <w:sz w:val="20"/>
          <w:szCs w:val="28"/>
          <w:lang w:bidi="ar-EG"/>
        </w:rPr>
        <w:t>e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t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a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l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(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2001).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Risk,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severity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and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predictors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of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physical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and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psychological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morbidity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after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axillary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lymph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node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dissection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forbreast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cancer.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Eur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J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Cancer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37(8):991</w:t>
      </w:r>
      <w:r w:rsidRPr="00A46739">
        <w:rPr>
          <w:rFonts w:ascii="Times New Roman" w:hAnsi="Times New Roman" w:cs="Times New Roman" w:hint="cs"/>
          <w:sz w:val="20"/>
          <w:szCs w:val="28"/>
          <w:lang w:bidi="ar-EG"/>
        </w:rPr>
        <w:t>–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999.</w:t>
      </w:r>
    </w:p>
    <w:p w:rsidR="00A55332" w:rsidRPr="00A46739" w:rsidRDefault="00F4509E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r w:rsidRPr="00A46739">
        <w:rPr>
          <w:rFonts w:ascii="Times New Roman" w:hAnsi="Times New Roman" w:cs="Times New Roman"/>
          <w:sz w:val="20"/>
          <w:szCs w:val="28"/>
          <w:lang w:bidi="ar-EG"/>
        </w:rPr>
        <w:t>Kim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T,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Giuliano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Lyman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G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(2006)</w:t>
      </w:r>
      <w:r w:rsidR="001F4954" w:rsidRPr="00A46739">
        <w:rPr>
          <w:rFonts w:ascii="Times New Roman" w:hAnsi="Times New Roman" w:cs="Times New Roman"/>
          <w:sz w:val="20"/>
          <w:szCs w:val="28"/>
          <w:lang w:bidi="ar-EG"/>
        </w:rPr>
        <w:t>.</w:t>
      </w:r>
      <w:r w:rsidR="001F4954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1F4954" w:rsidRPr="00A46739">
        <w:rPr>
          <w:rFonts w:ascii="Times New Roman" w:hAnsi="Times New Roman" w:cs="Times New Roman"/>
          <w:sz w:val="20"/>
          <w:szCs w:val="28"/>
          <w:lang w:bidi="ar-EG"/>
        </w:rPr>
        <w:t>L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ymphatic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mapping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and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sentinel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lymph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node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biopsy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in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early-stage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breast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carcinoma: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a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meta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analysis.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Cancer,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106(1):4</w:t>
      </w:r>
      <w:r w:rsidR="00A55332" w:rsidRPr="00A46739">
        <w:rPr>
          <w:rFonts w:ascii="Times New Roman" w:hAnsi="Times New Roman" w:cs="Times New Roman" w:hint="cs"/>
          <w:sz w:val="20"/>
          <w:szCs w:val="28"/>
          <w:lang w:bidi="ar-EG"/>
        </w:rPr>
        <w:t>–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16.</w:t>
      </w:r>
    </w:p>
    <w:p w:rsidR="00A55332" w:rsidRPr="00A46739" w:rsidRDefault="00F4509E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Straver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M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Meijnen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P,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van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Tienhoven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G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et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al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(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2010).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Role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of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axillary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clearance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after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a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tumor-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lastRenderedPageBreak/>
        <w:t>positive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sentinel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node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in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the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administration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of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adjuvant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therapy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in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early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breast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cancer.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J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Clin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Oncol</w:t>
      </w:r>
      <w:proofErr w:type="spellEnd"/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28(5):731</w:t>
      </w:r>
      <w:r w:rsidR="00A55332" w:rsidRPr="00A46739">
        <w:rPr>
          <w:rFonts w:ascii="Times New Roman" w:hAnsi="Times New Roman" w:cs="Times New Roman" w:hint="cs"/>
          <w:sz w:val="20"/>
          <w:szCs w:val="28"/>
          <w:lang w:bidi="ar-EG"/>
        </w:rPr>
        <w:t>–</w:t>
      </w:r>
      <w:r w:rsidR="00A55332" w:rsidRPr="00A46739">
        <w:rPr>
          <w:rFonts w:ascii="Times New Roman" w:hAnsi="Times New Roman" w:cs="Times New Roman"/>
          <w:sz w:val="20"/>
          <w:szCs w:val="28"/>
          <w:lang w:bidi="ar-EG"/>
        </w:rPr>
        <w:t>737.</w:t>
      </w:r>
    </w:p>
    <w:p w:rsidR="001F4954" w:rsidRDefault="006D291B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Boneti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C,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Korourian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S,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Diaz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Z</w:t>
      </w:r>
      <w:r w:rsidR="001F4954" w:rsidRPr="00A46739">
        <w:rPr>
          <w:rFonts w:ascii="Times New Roman" w:hAnsi="Times New Roman" w:cs="Times New Roman"/>
          <w:sz w:val="20"/>
          <w:szCs w:val="28"/>
          <w:lang w:bidi="ar-EG"/>
        </w:rPr>
        <w:t>,</w:t>
      </w:r>
      <w:r w:rsidR="001F4954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1F4954" w:rsidRPr="00A46739">
        <w:rPr>
          <w:rFonts w:ascii="Times New Roman" w:hAnsi="Times New Roman" w:cs="Times New Roman"/>
          <w:sz w:val="20"/>
          <w:szCs w:val="28"/>
          <w:lang w:bidi="ar-EG"/>
        </w:rPr>
        <w:t>e</w:t>
      </w:r>
      <w:r w:rsidR="00F4509E" w:rsidRPr="00A46739">
        <w:rPr>
          <w:rFonts w:ascii="Times New Roman" w:hAnsi="Times New Roman" w:cs="Times New Roman"/>
          <w:sz w:val="20"/>
          <w:szCs w:val="28"/>
          <w:lang w:bidi="ar-EG"/>
        </w:rPr>
        <w:t>tal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(2009)</w:t>
      </w:r>
      <w:r w:rsidR="008526BC" w:rsidRPr="00A46739">
        <w:rPr>
          <w:rFonts w:ascii="Times New Roman" w:hAnsi="Times New Roman" w:cs="Times New Roman"/>
          <w:sz w:val="20"/>
          <w:szCs w:val="28"/>
          <w:lang w:bidi="ar-EG"/>
        </w:rPr>
        <w:t>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Scientific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impact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award: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axillary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reverse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mapping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(ARM)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to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identify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and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protect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lymphatics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draining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the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arm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during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axillary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lymphadenectomy</w:t>
      </w:r>
      <w:proofErr w:type="spellEnd"/>
      <w:r w:rsidRPr="00A46739">
        <w:rPr>
          <w:rFonts w:ascii="Times New Roman" w:hAnsi="Times New Roman" w:cs="Times New Roman"/>
          <w:sz w:val="20"/>
          <w:szCs w:val="28"/>
          <w:lang w:bidi="ar-EG"/>
        </w:rPr>
        <w:t>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Am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J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Surg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198(4):482–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48</w:t>
      </w:r>
      <w:r w:rsidR="001F4954" w:rsidRPr="00A46739">
        <w:rPr>
          <w:rFonts w:ascii="Times New Roman" w:hAnsi="Times New Roman" w:cs="Times New Roman"/>
          <w:sz w:val="20"/>
          <w:szCs w:val="28"/>
          <w:lang w:bidi="ar-EG"/>
        </w:rPr>
        <w:t>7</w:t>
      </w:r>
      <w:r w:rsidR="001F4954">
        <w:rPr>
          <w:rFonts w:ascii="Times New Roman" w:hAnsi="Times New Roman" w:cs="Times New Roman"/>
          <w:sz w:val="20"/>
          <w:szCs w:val="28"/>
          <w:lang w:bidi="ar-EG"/>
        </w:rPr>
        <w:t>.</w:t>
      </w:r>
    </w:p>
    <w:p w:rsidR="006D291B" w:rsidRPr="00A46739" w:rsidRDefault="006D291B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Tausch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C,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Baege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Dietrich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D,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et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al.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(2013)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Can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axillary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reverse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mapping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avoid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lymphedema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in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node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positive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breast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cancer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patients?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Eur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J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Surg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Oncol</w:t>
      </w:r>
      <w:proofErr w:type="spellEnd"/>
      <w:r w:rsidRPr="00A46739">
        <w:rPr>
          <w:rFonts w:ascii="Times New Roman" w:hAnsi="Times New Roman" w:cs="Times New Roman"/>
          <w:sz w:val="20"/>
          <w:szCs w:val="28"/>
          <w:lang w:bidi="ar-EG"/>
        </w:rPr>
        <w:t>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39(8):880–6.</w:t>
      </w:r>
    </w:p>
    <w:p w:rsidR="006D291B" w:rsidRPr="00A46739" w:rsidRDefault="006D291B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Gennaro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M,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Maccauro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M,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Sigari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C,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et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al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(</w:t>
      </w:r>
      <w:r w:rsidR="008526BC" w:rsidRPr="00A46739">
        <w:rPr>
          <w:rFonts w:ascii="Times New Roman" w:hAnsi="Times New Roman" w:cs="Times New Roman"/>
          <w:sz w:val="20"/>
          <w:szCs w:val="28"/>
          <w:lang w:bidi="ar-EG"/>
        </w:rPr>
        <w:t>2013).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Selective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axillary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dissection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after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axillary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reverse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mapping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to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prevent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breast-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cancerreleated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8526BC" w:rsidRPr="00A46739">
        <w:rPr>
          <w:rFonts w:ascii="Times New Roman" w:hAnsi="Times New Roman" w:cs="Times New Roman"/>
          <w:sz w:val="20"/>
          <w:szCs w:val="28"/>
          <w:lang w:bidi="ar-EG"/>
        </w:rPr>
        <w:t>lymphoedema</w:t>
      </w:r>
      <w:proofErr w:type="spellEnd"/>
      <w:r w:rsidR="008526BC" w:rsidRPr="00A46739">
        <w:rPr>
          <w:rFonts w:ascii="Times New Roman" w:hAnsi="Times New Roman" w:cs="Times New Roman"/>
          <w:sz w:val="20"/>
          <w:szCs w:val="28"/>
          <w:lang w:bidi="ar-EG"/>
        </w:rPr>
        <w:t>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8526BC" w:rsidRPr="00A46739">
        <w:rPr>
          <w:rFonts w:ascii="Times New Roman" w:hAnsi="Times New Roman" w:cs="Times New Roman"/>
          <w:sz w:val="20"/>
          <w:szCs w:val="28"/>
          <w:lang w:bidi="ar-EG"/>
        </w:rPr>
        <w:t>Eur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526BC" w:rsidRPr="00A46739">
        <w:rPr>
          <w:rFonts w:ascii="Times New Roman" w:hAnsi="Times New Roman" w:cs="Times New Roman"/>
          <w:sz w:val="20"/>
          <w:szCs w:val="28"/>
          <w:lang w:bidi="ar-EG"/>
        </w:rPr>
        <w:t>J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8526BC" w:rsidRPr="00A46739">
        <w:rPr>
          <w:rFonts w:ascii="Times New Roman" w:hAnsi="Times New Roman" w:cs="Times New Roman"/>
          <w:sz w:val="20"/>
          <w:szCs w:val="28"/>
          <w:lang w:bidi="ar-EG"/>
        </w:rPr>
        <w:t>Surg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8526BC" w:rsidRPr="00A46739">
        <w:rPr>
          <w:rFonts w:ascii="Times New Roman" w:hAnsi="Times New Roman" w:cs="Times New Roman"/>
          <w:sz w:val="20"/>
          <w:szCs w:val="28"/>
          <w:lang w:bidi="ar-EG"/>
        </w:rPr>
        <w:t>Oncol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;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39(12):1341–5.</w:t>
      </w:r>
    </w:p>
    <w:p w:rsidR="001F4954" w:rsidRDefault="008526BC" w:rsidP="001F4954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r w:rsidRPr="00A46739">
        <w:rPr>
          <w:rFonts w:ascii="Times New Roman" w:hAnsi="Times New Roman" w:cs="Times New Roman"/>
          <w:sz w:val="20"/>
          <w:szCs w:val="28"/>
          <w:lang w:bidi="ar-EG"/>
        </w:rPr>
        <w:t>Ikeda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K,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Ogawa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Y,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Pr="00A46739">
        <w:rPr>
          <w:rFonts w:ascii="Times New Roman" w:hAnsi="Times New Roman" w:cs="Times New Roman"/>
          <w:sz w:val="20"/>
          <w:szCs w:val="28"/>
          <w:lang w:bidi="ar-EG"/>
        </w:rPr>
        <w:t>Komats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H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(</w:t>
      </w:r>
      <w:r w:rsidRPr="00A46739">
        <w:rPr>
          <w:rFonts w:ascii="Times New Roman" w:hAnsi="Times New Roman" w:cs="Times New Roman"/>
          <w:sz w:val="20"/>
          <w:szCs w:val="28"/>
          <w:lang w:bidi="ar-EG"/>
        </w:rPr>
        <w:t>2012).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Evaluation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of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the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metastatic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status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of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lymph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nodes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identified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using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proofErr w:type="spellStart"/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axillary</w:t>
      </w:r>
      <w:proofErr w:type="spellEnd"/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reverse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mapping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in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breast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cancer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patients.</w:t>
      </w:r>
      <w:r w:rsidR="00A46739">
        <w:rPr>
          <w:rFonts w:ascii="Times New Roman" w:hAnsi="Times New Roman" w:cs="Times New Roman"/>
          <w:sz w:val="20"/>
          <w:szCs w:val="16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World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Journal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of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Surgical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Oncology</w:t>
      </w:r>
      <w:r w:rsidR="00A46739" w:rsidRPr="00A46739">
        <w:rPr>
          <w:rFonts w:ascii="Times New Roman" w:hAnsi="Times New Roman" w:cs="Times New Roman"/>
          <w:sz w:val="20"/>
          <w:szCs w:val="28"/>
          <w:lang w:bidi="ar-EG"/>
        </w:rPr>
        <w:t>,</w:t>
      </w:r>
      <w:r w:rsidR="00A46739">
        <w:rPr>
          <w:rFonts w:ascii="Times New Roman" w:hAnsi="Times New Roman" w:cs="Times New Roman"/>
          <w:sz w:val="20"/>
          <w:szCs w:val="28"/>
          <w:lang w:bidi="ar-EG"/>
        </w:rPr>
        <w:t xml:space="preserve"> </w:t>
      </w:r>
      <w:r w:rsidR="006D291B" w:rsidRPr="00A46739">
        <w:rPr>
          <w:rFonts w:ascii="Times New Roman" w:hAnsi="Times New Roman" w:cs="Times New Roman"/>
          <w:sz w:val="20"/>
          <w:szCs w:val="28"/>
          <w:lang w:bidi="ar-EG"/>
        </w:rPr>
        <w:t>10:23</w:t>
      </w:r>
      <w:r w:rsidR="001F4954" w:rsidRPr="00A46739">
        <w:rPr>
          <w:rFonts w:ascii="Times New Roman" w:hAnsi="Times New Roman" w:cs="Times New Roman"/>
          <w:sz w:val="20"/>
          <w:szCs w:val="28"/>
          <w:lang w:bidi="ar-EG"/>
        </w:rPr>
        <w:t>3</w:t>
      </w:r>
      <w:r w:rsidR="001F4954">
        <w:rPr>
          <w:rFonts w:ascii="Times New Roman" w:hAnsi="Times New Roman" w:cs="Times New Roman"/>
          <w:sz w:val="20"/>
          <w:szCs w:val="28"/>
          <w:lang w:bidi="ar-EG"/>
        </w:rPr>
        <w:t>.</w:t>
      </w:r>
    </w:p>
    <w:p w:rsidR="001F4954" w:rsidRDefault="001F4954" w:rsidP="001F4954">
      <w:pPr>
        <w:pStyle w:val="ListParagraph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  <w:sectPr w:rsidR="001F4954" w:rsidSect="001F4954"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26"/>
        </w:sectPr>
      </w:pPr>
    </w:p>
    <w:p w:rsidR="00A55332" w:rsidRPr="00A46739" w:rsidRDefault="00A55332" w:rsidP="001F4954">
      <w:pPr>
        <w:pStyle w:val="ListParagraph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</w:p>
    <w:p w:rsidR="009B3995" w:rsidRPr="00A46739" w:rsidRDefault="009B3995" w:rsidP="001F4954">
      <w:pPr>
        <w:snapToGrid w:val="0"/>
        <w:ind w:left="425" w:hanging="425"/>
        <w:jc w:val="both"/>
        <w:rPr>
          <w:sz w:val="20"/>
          <w:szCs w:val="28"/>
          <w:lang w:val="en-US" w:bidi="ar-EG"/>
        </w:rPr>
      </w:pPr>
    </w:p>
    <w:p w:rsidR="00A46739" w:rsidRPr="00A46739" w:rsidRDefault="00A46739" w:rsidP="001F4954">
      <w:pPr>
        <w:snapToGrid w:val="0"/>
        <w:ind w:left="425" w:hanging="425"/>
        <w:jc w:val="both"/>
        <w:rPr>
          <w:sz w:val="20"/>
          <w:szCs w:val="28"/>
          <w:lang w:val="en-US" w:bidi="ar-EG"/>
        </w:rPr>
      </w:pPr>
    </w:p>
    <w:p w:rsidR="009B3995" w:rsidRPr="00A46739" w:rsidRDefault="00CC39DD" w:rsidP="001F4954">
      <w:pPr>
        <w:snapToGrid w:val="0"/>
        <w:ind w:left="425" w:hanging="425"/>
        <w:jc w:val="both"/>
        <w:rPr>
          <w:sz w:val="20"/>
          <w:szCs w:val="28"/>
          <w:lang w:val="en-US" w:bidi="ar-EG"/>
        </w:rPr>
      </w:pPr>
      <w:r>
        <w:rPr>
          <w:rFonts w:hint="eastAsia"/>
          <w:sz w:val="20"/>
          <w:szCs w:val="28"/>
          <w:lang w:val="en-US" w:eastAsia="zh-CN" w:bidi="ar-EG"/>
        </w:rPr>
        <w:t>9</w:t>
      </w:r>
      <w:r w:rsidR="00A46739" w:rsidRPr="00A46739">
        <w:rPr>
          <w:sz w:val="20"/>
          <w:szCs w:val="28"/>
          <w:lang w:val="en-US" w:bidi="ar-EG"/>
        </w:rPr>
        <w:t>/</w:t>
      </w:r>
      <w:r>
        <w:rPr>
          <w:rFonts w:hint="eastAsia"/>
          <w:sz w:val="20"/>
          <w:szCs w:val="28"/>
          <w:lang w:val="en-US" w:eastAsia="zh-CN" w:bidi="ar-EG"/>
        </w:rPr>
        <w:t>25</w:t>
      </w:r>
      <w:r w:rsidR="00A46739" w:rsidRPr="00A46739">
        <w:rPr>
          <w:sz w:val="20"/>
          <w:szCs w:val="28"/>
          <w:lang w:val="en-US" w:bidi="ar-EG"/>
        </w:rPr>
        <w:t>/2017</w:t>
      </w:r>
    </w:p>
    <w:sectPr w:rsidR="009B3995" w:rsidRPr="00A46739" w:rsidSect="00A46739">
      <w:type w:val="continuous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DEA" w:rsidRDefault="00606DEA">
      <w:r>
        <w:separator/>
      </w:r>
    </w:p>
  </w:endnote>
  <w:endnote w:type="continuationSeparator" w:id="0">
    <w:p w:rsidR="00606DEA" w:rsidRDefault="00606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MS PMincho"/>
    <w:charset w:val="00"/>
    <w:family w:val="roman"/>
    <w:pitch w:val="variable"/>
    <w:sig w:usb0="00000001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54" w:rsidRPr="00F8125D" w:rsidRDefault="00E767FD" w:rsidP="00F8125D">
    <w:pPr>
      <w:jc w:val="center"/>
      <w:rPr>
        <w:sz w:val="20"/>
      </w:rPr>
    </w:pPr>
    <w:r w:rsidRPr="00F8125D">
      <w:rPr>
        <w:sz w:val="20"/>
      </w:rPr>
      <w:fldChar w:fldCharType="begin"/>
    </w:r>
    <w:r w:rsidR="00F8125D" w:rsidRPr="00F8125D">
      <w:rPr>
        <w:sz w:val="20"/>
      </w:rPr>
      <w:instrText xml:space="preserve"> page </w:instrText>
    </w:r>
    <w:r w:rsidRPr="00F8125D">
      <w:rPr>
        <w:sz w:val="20"/>
      </w:rPr>
      <w:fldChar w:fldCharType="separate"/>
    </w:r>
    <w:r w:rsidR="001B7C79">
      <w:rPr>
        <w:noProof/>
        <w:sz w:val="20"/>
      </w:rPr>
      <w:t>93</w:t>
    </w:r>
    <w:r w:rsidRPr="00F8125D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DEA" w:rsidRDefault="00606DEA">
      <w:r>
        <w:separator/>
      </w:r>
    </w:p>
  </w:footnote>
  <w:footnote w:type="continuationSeparator" w:id="0">
    <w:p w:rsidR="00606DEA" w:rsidRDefault="00606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25D" w:rsidRPr="00F8125D" w:rsidRDefault="00F8125D" w:rsidP="00F8125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F8125D">
      <w:rPr>
        <w:rFonts w:hint="eastAsia"/>
        <w:iCs/>
        <w:color w:val="000000"/>
        <w:sz w:val="20"/>
      </w:rPr>
      <w:tab/>
    </w:r>
    <w:r w:rsidRPr="00F8125D">
      <w:rPr>
        <w:iCs/>
        <w:color w:val="000000"/>
        <w:sz w:val="20"/>
      </w:rPr>
      <w:t xml:space="preserve">Cancer Biology </w:t>
    </w:r>
    <w:r w:rsidRPr="00F8125D">
      <w:rPr>
        <w:iCs/>
        <w:sz w:val="20"/>
      </w:rPr>
      <w:t>201</w:t>
    </w:r>
    <w:r w:rsidRPr="00F8125D">
      <w:rPr>
        <w:rFonts w:hint="eastAsia"/>
        <w:iCs/>
        <w:sz w:val="20"/>
      </w:rPr>
      <w:t>7</w:t>
    </w:r>
    <w:r w:rsidRPr="00F8125D">
      <w:rPr>
        <w:iCs/>
        <w:sz w:val="20"/>
      </w:rPr>
      <w:t>;</w:t>
    </w:r>
    <w:r w:rsidRPr="00F8125D">
      <w:rPr>
        <w:rFonts w:hint="eastAsia"/>
        <w:iCs/>
        <w:sz w:val="20"/>
      </w:rPr>
      <w:t>7</w:t>
    </w:r>
    <w:r w:rsidRPr="00F8125D">
      <w:rPr>
        <w:iCs/>
        <w:sz w:val="20"/>
      </w:rPr>
      <w:t>(</w:t>
    </w:r>
    <w:r w:rsidRPr="00F8125D">
      <w:rPr>
        <w:rFonts w:hint="eastAsia"/>
        <w:iCs/>
        <w:sz w:val="20"/>
      </w:rPr>
      <w:t>3</w:t>
    </w:r>
    <w:r w:rsidRPr="00F8125D">
      <w:rPr>
        <w:iCs/>
        <w:sz w:val="20"/>
      </w:rPr>
      <w:t xml:space="preserve">)  </w:t>
    </w:r>
    <w:r w:rsidRPr="00F8125D">
      <w:rPr>
        <w:rFonts w:hint="eastAsia"/>
        <w:iCs/>
        <w:sz w:val="20"/>
      </w:rPr>
      <w:t xml:space="preserve">   </w:t>
    </w:r>
    <w:r w:rsidRPr="00F8125D">
      <w:rPr>
        <w:rFonts w:hint="eastAsia"/>
        <w:iCs/>
        <w:sz w:val="20"/>
      </w:rPr>
      <w:tab/>
      <w:t xml:space="preserve">     </w:t>
    </w:r>
    <w:r w:rsidRPr="00F8125D">
      <w:rPr>
        <w:iCs/>
        <w:sz w:val="20"/>
      </w:rPr>
      <w:t xml:space="preserve"> </w:t>
    </w:r>
    <w:r w:rsidRPr="00F8125D">
      <w:rPr>
        <w:sz w:val="20"/>
      </w:rPr>
      <w:t xml:space="preserve">  </w:t>
    </w:r>
    <w:hyperlink r:id="rId1" w:history="1">
      <w:r w:rsidRPr="00F8125D">
        <w:rPr>
          <w:rStyle w:val="Hyperlink"/>
          <w:sz w:val="20"/>
        </w:rPr>
        <w:t>http://www.cancerbio.net</w:t>
      </w:r>
    </w:hyperlink>
  </w:p>
  <w:p w:rsidR="00F8125D" w:rsidRPr="00F8125D" w:rsidRDefault="00F8125D" w:rsidP="00F8125D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221"/>
    <w:multiLevelType w:val="hybridMultilevel"/>
    <w:tmpl w:val="2520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B4096"/>
    <w:multiLevelType w:val="hybridMultilevel"/>
    <w:tmpl w:val="3D5C5298"/>
    <w:lvl w:ilvl="0" w:tplc="03682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C7FEE"/>
    <w:multiLevelType w:val="hybridMultilevel"/>
    <w:tmpl w:val="6694D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25249"/>
    <w:multiLevelType w:val="hybridMultilevel"/>
    <w:tmpl w:val="F0B0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23E39"/>
    <w:multiLevelType w:val="hybridMultilevel"/>
    <w:tmpl w:val="C4B8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C53543"/>
    <w:multiLevelType w:val="hybridMultilevel"/>
    <w:tmpl w:val="2506D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92004"/>
    <w:multiLevelType w:val="hybridMultilevel"/>
    <w:tmpl w:val="0874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C667E"/>
    <w:multiLevelType w:val="hybridMultilevel"/>
    <w:tmpl w:val="0D4447BC"/>
    <w:lvl w:ilvl="0" w:tplc="03682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07FB2"/>
    <w:multiLevelType w:val="hybridMultilevel"/>
    <w:tmpl w:val="5F56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2">
    <w:nsid w:val="664D6B4B"/>
    <w:multiLevelType w:val="hybridMultilevel"/>
    <w:tmpl w:val="90BC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97AEC"/>
    <w:multiLevelType w:val="hybridMultilevel"/>
    <w:tmpl w:val="6694D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53A06"/>
    <w:multiLevelType w:val="hybridMultilevel"/>
    <w:tmpl w:val="5266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57B72"/>
    <w:multiLevelType w:val="hybridMultilevel"/>
    <w:tmpl w:val="23E6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21782"/>
    <w:multiLevelType w:val="hybridMultilevel"/>
    <w:tmpl w:val="0F8CDF64"/>
    <w:lvl w:ilvl="0" w:tplc="B49C75F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2"/>
  </w:num>
  <w:num w:numId="14">
    <w:abstractNumId w:val="9"/>
  </w:num>
  <w:num w:numId="15">
    <w:abstractNumId w:val="3"/>
  </w:num>
  <w:num w:numId="16">
    <w:abstractNumId w:val="1"/>
  </w:num>
  <w:num w:numId="17">
    <w:abstractNumId w:val="13"/>
  </w:num>
  <w:num w:numId="18">
    <w:abstractNumId w:val="7"/>
  </w:num>
  <w:num w:numId="19">
    <w:abstractNumId w:val="15"/>
  </w:num>
  <w:num w:numId="20">
    <w:abstractNumId w:val="1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attachedTemplate r:id="rId1"/>
  <w:stylePaneFormatFilter w:val="3F01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2C2F"/>
    <w:rsid w:val="00013561"/>
    <w:rsid w:val="00021E9D"/>
    <w:rsid w:val="000258C1"/>
    <w:rsid w:val="000B1A61"/>
    <w:rsid w:val="000B3C3D"/>
    <w:rsid w:val="000B454B"/>
    <w:rsid w:val="000B6DBE"/>
    <w:rsid w:val="000C2EA5"/>
    <w:rsid w:val="000C37D0"/>
    <w:rsid w:val="000D265C"/>
    <w:rsid w:val="000D5CFE"/>
    <w:rsid w:val="000F00B0"/>
    <w:rsid w:val="00105952"/>
    <w:rsid w:val="00123ABB"/>
    <w:rsid w:val="00124149"/>
    <w:rsid w:val="00156F23"/>
    <w:rsid w:val="00176656"/>
    <w:rsid w:val="00196485"/>
    <w:rsid w:val="001B34A4"/>
    <w:rsid w:val="001B7C79"/>
    <w:rsid w:val="001F4954"/>
    <w:rsid w:val="00202C2F"/>
    <w:rsid w:val="00232721"/>
    <w:rsid w:val="00250F1B"/>
    <w:rsid w:val="00253B4B"/>
    <w:rsid w:val="00254E21"/>
    <w:rsid w:val="00260234"/>
    <w:rsid w:val="00270B25"/>
    <w:rsid w:val="002840A4"/>
    <w:rsid w:val="0029651B"/>
    <w:rsid w:val="002B157C"/>
    <w:rsid w:val="002C6B7A"/>
    <w:rsid w:val="002D0268"/>
    <w:rsid w:val="002D5799"/>
    <w:rsid w:val="002E72DA"/>
    <w:rsid w:val="003145E5"/>
    <w:rsid w:val="003402DA"/>
    <w:rsid w:val="00343DBE"/>
    <w:rsid w:val="00345EE9"/>
    <w:rsid w:val="00357ACD"/>
    <w:rsid w:val="0037636F"/>
    <w:rsid w:val="003A5002"/>
    <w:rsid w:val="003A748C"/>
    <w:rsid w:val="003D5779"/>
    <w:rsid w:val="003E5D38"/>
    <w:rsid w:val="004028D7"/>
    <w:rsid w:val="004121BA"/>
    <w:rsid w:val="00430436"/>
    <w:rsid w:val="004343ED"/>
    <w:rsid w:val="0044005C"/>
    <w:rsid w:val="00453837"/>
    <w:rsid w:val="00457827"/>
    <w:rsid w:val="004827E0"/>
    <w:rsid w:val="004B7403"/>
    <w:rsid w:val="00503DF2"/>
    <w:rsid w:val="00505171"/>
    <w:rsid w:val="005374CE"/>
    <w:rsid w:val="00537C4C"/>
    <w:rsid w:val="00553519"/>
    <w:rsid w:val="00555C68"/>
    <w:rsid w:val="00556AE8"/>
    <w:rsid w:val="00557018"/>
    <w:rsid w:val="00573E5B"/>
    <w:rsid w:val="005C4C49"/>
    <w:rsid w:val="005C7A2B"/>
    <w:rsid w:val="005D20E1"/>
    <w:rsid w:val="005F326F"/>
    <w:rsid w:val="006000F6"/>
    <w:rsid w:val="00606DEA"/>
    <w:rsid w:val="0061743B"/>
    <w:rsid w:val="006230A9"/>
    <w:rsid w:val="00636C41"/>
    <w:rsid w:val="00664E70"/>
    <w:rsid w:val="00677712"/>
    <w:rsid w:val="00680141"/>
    <w:rsid w:val="00683AA7"/>
    <w:rsid w:val="006A2633"/>
    <w:rsid w:val="006C23F2"/>
    <w:rsid w:val="006D291B"/>
    <w:rsid w:val="006D70F3"/>
    <w:rsid w:val="00703CC6"/>
    <w:rsid w:val="00705F39"/>
    <w:rsid w:val="00726305"/>
    <w:rsid w:val="007757AE"/>
    <w:rsid w:val="007836DF"/>
    <w:rsid w:val="007E0F75"/>
    <w:rsid w:val="007F07FA"/>
    <w:rsid w:val="0080698B"/>
    <w:rsid w:val="00820623"/>
    <w:rsid w:val="0082391E"/>
    <w:rsid w:val="008526BC"/>
    <w:rsid w:val="00855C31"/>
    <w:rsid w:val="00865474"/>
    <w:rsid w:val="008832F1"/>
    <w:rsid w:val="0088525F"/>
    <w:rsid w:val="008A3A5B"/>
    <w:rsid w:val="008C7F53"/>
    <w:rsid w:val="008D1BB6"/>
    <w:rsid w:val="008D6507"/>
    <w:rsid w:val="008F7BF2"/>
    <w:rsid w:val="00905AE5"/>
    <w:rsid w:val="009136A2"/>
    <w:rsid w:val="00934B0D"/>
    <w:rsid w:val="009445AC"/>
    <w:rsid w:val="00965055"/>
    <w:rsid w:val="009902AA"/>
    <w:rsid w:val="009A7D0D"/>
    <w:rsid w:val="009B3995"/>
    <w:rsid w:val="009B3B62"/>
    <w:rsid w:val="009C1D0E"/>
    <w:rsid w:val="009D45B1"/>
    <w:rsid w:val="009D685A"/>
    <w:rsid w:val="009E738D"/>
    <w:rsid w:val="00A01DEC"/>
    <w:rsid w:val="00A20A78"/>
    <w:rsid w:val="00A366A9"/>
    <w:rsid w:val="00A46739"/>
    <w:rsid w:val="00A543D8"/>
    <w:rsid w:val="00A55332"/>
    <w:rsid w:val="00A9069D"/>
    <w:rsid w:val="00AC40BC"/>
    <w:rsid w:val="00AE7022"/>
    <w:rsid w:val="00AF1D77"/>
    <w:rsid w:val="00AF4047"/>
    <w:rsid w:val="00B07805"/>
    <w:rsid w:val="00B14BB7"/>
    <w:rsid w:val="00B35370"/>
    <w:rsid w:val="00B80DD8"/>
    <w:rsid w:val="00B84410"/>
    <w:rsid w:val="00BA67AD"/>
    <w:rsid w:val="00BB3337"/>
    <w:rsid w:val="00BB4FF0"/>
    <w:rsid w:val="00BD41AA"/>
    <w:rsid w:val="00BF585F"/>
    <w:rsid w:val="00C416B8"/>
    <w:rsid w:val="00C42BA6"/>
    <w:rsid w:val="00C42BA8"/>
    <w:rsid w:val="00C52A48"/>
    <w:rsid w:val="00C72F05"/>
    <w:rsid w:val="00C95D7C"/>
    <w:rsid w:val="00CA09D8"/>
    <w:rsid w:val="00CA1449"/>
    <w:rsid w:val="00CA1853"/>
    <w:rsid w:val="00CA2391"/>
    <w:rsid w:val="00CC16B1"/>
    <w:rsid w:val="00CC2B58"/>
    <w:rsid w:val="00CC39DD"/>
    <w:rsid w:val="00CE6CB5"/>
    <w:rsid w:val="00D21B42"/>
    <w:rsid w:val="00D24D8B"/>
    <w:rsid w:val="00D305A7"/>
    <w:rsid w:val="00D33EC0"/>
    <w:rsid w:val="00D40044"/>
    <w:rsid w:val="00D42DBE"/>
    <w:rsid w:val="00D66B1A"/>
    <w:rsid w:val="00D74885"/>
    <w:rsid w:val="00DC31A0"/>
    <w:rsid w:val="00DD596F"/>
    <w:rsid w:val="00DF797E"/>
    <w:rsid w:val="00E57412"/>
    <w:rsid w:val="00E767FD"/>
    <w:rsid w:val="00E94A10"/>
    <w:rsid w:val="00ED125A"/>
    <w:rsid w:val="00EE5E55"/>
    <w:rsid w:val="00EF456A"/>
    <w:rsid w:val="00EF7801"/>
    <w:rsid w:val="00F06EE6"/>
    <w:rsid w:val="00F4509E"/>
    <w:rsid w:val="00F47680"/>
    <w:rsid w:val="00F56F75"/>
    <w:rsid w:val="00F80277"/>
    <w:rsid w:val="00F8125D"/>
    <w:rsid w:val="00F82DC8"/>
    <w:rsid w:val="00FB2A6E"/>
    <w:rsid w:val="00FB6A2B"/>
    <w:rsid w:val="00FC1216"/>
    <w:rsid w:val="00FC3C30"/>
    <w:rsid w:val="00FF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A5"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0A4"/>
    <w:pPr>
      <w:keepNext/>
      <w:bidi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2EA5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0C2EA5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2E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2EA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C2EA5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sid w:val="000C2EA5"/>
    <w:rPr>
      <w:i/>
    </w:rPr>
  </w:style>
  <w:style w:type="character" w:styleId="Hyperlink">
    <w:name w:val="Hyperlink"/>
    <w:basedOn w:val="DefaultParagraphFont"/>
    <w:uiPriority w:val="99"/>
    <w:rsid w:val="000C2EA5"/>
    <w:rPr>
      <w:color w:val="0000FF"/>
      <w:u w:val="single"/>
    </w:rPr>
  </w:style>
  <w:style w:type="character" w:styleId="FollowedHyperlink">
    <w:name w:val="FollowedHyperlink"/>
    <w:basedOn w:val="DefaultParagraphFont"/>
    <w:rsid w:val="000C2EA5"/>
    <w:rPr>
      <w:color w:val="800080"/>
      <w:u w:val="single"/>
    </w:rPr>
  </w:style>
  <w:style w:type="paragraph" w:styleId="DocumentMap">
    <w:name w:val="Document Map"/>
    <w:basedOn w:val="Normal"/>
    <w:semiHidden/>
    <w:rsid w:val="000C2EA5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0C2EA5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sid w:val="000C2EA5"/>
    <w:rPr>
      <w:sz w:val="16"/>
      <w:szCs w:val="16"/>
    </w:rPr>
  </w:style>
  <w:style w:type="paragraph" w:styleId="CommentText">
    <w:name w:val="annotation text"/>
    <w:basedOn w:val="Normal"/>
    <w:semiHidden/>
    <w:rsid w:val="000C2EA5"/>
    <w:rPr>
      <w:sz w:val="20"/>
      <w:szCs w:val="20"/>
    </w:rPr>
  </w:style>
  <w:style w:type="paragraph" w:styleId="BalloonText">
    <w:name w:val="Balloon Text"/>
    <w:basedOn w:val="Normal"/>
    <w:semiHidden/>
    <w:rsid w:val="00FB2A6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B2A6E"/>
    <w:rPr>
      <w:b/>
      <w:bCs/>
    </w:rPr>
  </w:style>
  <w:style w:type="character" w:customStyle="1" w:styleId="Heading3Char">
    <w:name w:val="Heading 3 Char"/>
    <w:link w:val="Heading3"/>
    <w:uiPriority w:val="9"/>
    <w:rsid w:val="00202C2F"/>
    <w:rPr>
      <w:rFonts w:ascii="Garamond" w:eastAsia="PMingLiU" w:hAnsi="Garamond"/>
      <w:b/>
      <w:caps/>
      <w:sz w:val="22"/>
    </w:rPr>
  </w:style>
  <w:style w:type="paragraph" w:styleId="ListParagraph">
    <w:name w:val="List Paragraph"/>
    <w:basedOn w:val="Normal"/>
    <w:uiPriority w:val="34"/>
    <w:qFormat/>
    <w:rsid w:val="00BB3337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206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06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840A4"/>
    <w:rPr>
      <w:rFonts w:ascii="Cambria" w:eastAsia="Times New Roman" w:hAnsi="Cambria"/>
      <w:b/>
      <w:bCs/>
      <w:i/>
      <w:iCs/>
      <w:sz w:val="28"/>
      <w:szCs w:val="28"/>
    </w:rPr>
  </w:style>
  <w:style w:type="paragraph" w:styleId="NoSpacing">
    <w:name w:val="No Spacing"/>
    <w:basedOn w:val="Normal"/>
    <w:link w:val="NoSpacingChar"/>
    <w:qFormat/>
    <w:rsid w:val="001F4954"/>
    <w:pPr>
      <w:spacing w:before="100" w:beforeAutospacing="1" w:after="100" w:afterAutospacing="1"/>
    </w:pPr>
    <w:rPr>
      <w:rFonts w:eastAsia="宋体"/>
      <w:lang w:val="en-US" w:eastAsia="zh-CN"/>
    </w:rPr>
  </w:style>
  <w:style w:type="character" w:customStyle="1" w:styleId="NoSpacingChar">
    <w:name w:val="No Spacing Char"/>
    <w:basedOn w:val="DefaultParagraphFont"/>
    <w:link w:val="NoSpacing"/>
    <w:locked/>
    <w:rsid w:val="001F4954"/>
    <w:rPr>
      <w:rFonts w:eastAsia="宋体"/>
      <w:sz w:val="24"/>
      <w:szCs w:val="24"/>
      <w:lang w:eastAsia="zh-CN"/>
    </w:rPr>
  </w:style>
  <w:style w:type="character" w:customStyle="1" w:styleId="msonormal0">
    <w:name w:val="msonormal0"/>
    <w:basedOn w:val="DefaultParagraphFont"/>
    <w:rsid w:val="001F4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_moh2003@yahoo.com" TargetMode="External"/><Relationship Id="rId13" Type="http://schemas.openxmlformats.org/officeDocument/2006/relationships/hyperlink" Target="mailto:Nooredo@yahoo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dr_keko_2007@yahoo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rhassanashour@hotmail.com" TargetMode="External"/><Relationship Id="rId17" Type="http://schemas.openxmlformats.org/officeDocument/2006/relationships/hyperlink" Target="http://www.dx.doi.org/10.7537/marscbj070317.1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ancerbio.net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elshel74@yahoo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r_ahmedraafat@yahoo.com" TargetMode="External"/><Relationship Id="rId23" Type="http://schemas.openxmlformats.org/officeDocument/2006/relationships/hyperlink" Target="mailto:dr_moh2003@yahoo.com" TargetMode="External"/><Relationship Id="rId10" Type="http://schemas.openxmlformats.org/officeDocument/2006/relationships/hyperlink" Target="mailto:osamaeltih1975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r_keko_2007@yahoo.com" TargetMode="External"/><Relationship Id="rId14" Type="http://schemas.openxmlformats.org/officeDocument/2006/relationships/hyperlink" Target="mailto:mansourmorsy@gmail.com" TargetMode="External"/><Relationship Id="rId22" Type="http://schemas.openxmlformats.org/officeDocument/2006/relationships/hyperlink" Target="mailto:mansourmors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--paper\A-paper\&#1581;&#1575;&#1604;&#1610;&#1607;\pectoral%20fascia\&#1575;&#1604;&#1606;&#1588;&#1585;\OriginalArticle_ArticleFi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25AA-6652-4E45-A9D7-394E16F6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OriginalArticle_ArticleFile.dot</Template>
  <TotalTime>9</TotalTime>
  <Pages>5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>m</dc:creator>
  <cp:lastModifiedBy>Administrator</cp:lastModifiedBy>
  <cp:revision>3</cp:revision>
  <dcterms:created xsi:type="dcterms:W3CDTF">2017-10-10T09:01:00Z</dcterms:created>
  <dcterms:modified xsi:type="dcterms:W3CDTF">2017-10-11T00:27:00Z</dcterms:modified>
</cp:coreProperties>
</file>