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F" w:rsidRPr="006F1FFE" w:rsidRDefault="00F15E00" w:rsidP="006F1FFE">
      <w:pPr>
        <w:snapToGrid w:val="0"/>
        <w:ind w:right="2"/>
        <w:jc w:val="center"/>
        <w:rPr>
          <w:b/>
          <w:bCs/>
          <w:sz w:val="20"/>
          <w:szCs w:val="20"/>
          <w:lang w:eastAsia="zh-CN"/>
        </w:rPr>
      </w:pPr>
      <w:proofErr w:type="gramStart"/>
      <w:r w:rsidRPr="006F1FFE">
        <w:rPr>
          <w:b/>
          <w:bCs/>
          <w:sz w:val="20"/>
          <w:szCs w:val="20"/>
        </w:rPr>
        <w:t>Castration Resistant Prostate Cancer.</w:t>
      </w:r>
      <w:proofErr w:type="gramEnd"/>
      <w:r w:rsidRPr="006F1FFE">
        <w:rPr>
          <w:b/>
          <w:bCs/>
          <w:sz w:val="20"/>
          <w:szCs w:val="20"/>
        </w:rPr>
        <w:t xml:space="preserve"> </w:t>
      </w:r>
      <w:proofErr w:type="spellStart"/>
      <w:r w:rsidR="0041723C" w:rsidRPr="006F1FFE">
        <w:rPr>
          <w:b/>
          <w:bCs/>
          <w:sz w:val="20"/>
          <w:szCs w:val="20"/>
        </w:rPr>
        <w:t>Enzalutamide</w:t>
      </w:r>
      <w:proofErr w:type="spellEnd"/>
      <w:r w:rsidR="0041723C" w:rsidRPr="006F1FFE">
        <w:rPr>
          <w:b/>
          <w:bCs/>
          <w:sz w:val="20"/>
          <w:szCs w:val="20"/>
        </w:rPr>
        <w:t xml:space="preserve"> Effectiveness and Tolerability</w:t>
      </w:r>
    </w:p>
    <w:p w:rsidR="00592A9F" w:rsidRPr="006F1FFE" w:rsidRDefault="00592A9F" w:rsidP="006F1FFE">
      <w:pPr>
        <w:snapToGrid w:val="0"/>
        <w:ind w:right="2"/>
        <w:jc w:val="center"/>
        <w:rPr>
          <w:b/>
          <w:bCs/>
          <w:sz w:val="20"/>
          <w:szCs w:val="20"/>
          <w:lang w:eastAsia="zh-CN"/>
        </w:rPr>
      </w:pPr>
    </w:p>
    <w:p w:rsidR="00592A9F" w:rsidRPr="006F1FFE" w:rsidRDefault="005C37E5" w:rsidP="006F1FFE">
      <w:pPr>
        <w:snapToGrid w:val="0"/>
        <w:ind w:right="2"/>
        <w:jc w:val="center"/>
        <w:rPr>
          <w:sz w:val="20"/>
          <w:szCs w:val="20"/>
          <w:vertAlign w:val="superscript"/>
          <w:lang w:eastAsia="zh-CN"/>
        </w:rPr>
      </w:pPr>
      <w:r w:rsidRPr="006F1FFE">
        <w:rPr>
          <w:sz w:val="20"/>
          <w:szCs w:val="20"/>
        </w:rPr>
        <w:t>L.</w:t>
      </w:r>
      <w:r w:rsidR="00CD1633" w:rsidRPr="006F1FFE">
        <w:rPr>
          <w:sz w:val="20"/>
          <w:szCs w:val="20"/>
        </w:rPr>
        <w:t>M</w:t>
      </w:r>
      <w:r w:rsidR="00C6790A" w:rsidRPr="006F1FFE">
        <w:rPr>
          <w:sz w:val="20"/>
          <w:szCs w:val="20"/>
        </w:rPr>
        <w:t>.</w:t>
      </w:r>
      <w:r w:rsidR="003C4902" w:rsidRPr="006F1FFE">
        <w:rPr>
          <w:sz w:val="20"/>
          <w:szCs w:val="20"/>
        </w:rPr>
        <w:t xml:space="preserve"> El-Helw</w:t>
      </w:r>
      <w:r w:rsidR="0041723C" w:rsidRPr="006F1FFE">
        <w:rPr>
          <w:sz w:val="20"/>
          <w:szCs w:val="20"/>
          <w:vertAlign w:val="superscript"/>
        </w:rPr>
        <w:t>1, 2</w:t>
      </w:r>
      <w:r w:rsidR="0041723C" w:rsidRPr="006F1FFE">
        <w:rPr>
          <w:sz w:val="20"/>
          <w:szCs w:val="20"/>
        </w:rPr>
        <w:t xml:space="preserve">, </w:t>
      </w:r>
      <w:proofErr w:type="spellStart"/>
      <w:r w:rsidR="0041723C" w:rsidRPr="006F1FFE">
        <w:rPr>
          <w:sz w:val="20"/>
          <w:szCs w:val="20"/>
        </w:rPr>
        <w:t>Salil</w:t>
      </w:r>
      <w:proofErr w:type="spellEnd"/>
      <w:r w:rsidR="0041723C" w:rsidRPr="006F1FFE">
        <w:rPr>
          <w:sz w:val="20"/>
          <w:szCs w:val="20"/>
        </w:rPr>
        <w:t xml:space="preserve"> Vengalil</w:t>
      </w:r>
      <w:r w:rsidR="0041723C" w:rsidRPr="006F1FFE">
        <w:rPr>
          <w:sz w:val="20"/>
          <w:szCs w:val="20"/>
          <w:vertAlign w:val="superscript"/>
        </w:rPr>
        <w:t>1</w:t>
      </w:r>
      <w:r w:rsidR="0041723C" w:rsidRPr="006F1FFE">
        <w:rPr>
          <w:sz w:val="20"/>
          <w:szCs w:val="20"/>
        </w:rPr>
        <w:t xml:space="preserve">, </w:t>
      </w:r>
      <w:proofErr w:type="spellStart"/>
      <w:r w:rsidR="0041723C" w:rsidRPr="006F1FFE">
        <w:rPr>
          <w:sz w:val="20"/>
          <w:szCs w:val="20"/>
        </w:rPr>
        <w:t>Rajanee</w:t>
      </w:r>
      <w:proofErr w:type="spellEnd"/>
      <w:r w:rsidR="0041723C" w:rsidRPr="006F1FFE">
        <w:rPr>
          <w:sz w:val="20"/>
          <w:szCs w:val="20"/>
        </w:rPr>
        <w:t xml:space="preserve"> Bhana</w:t>
      </w:r>
      <w:r w:rsidR="0041723C" w:rsidRPr="006F1FFE">
        <w:rPr>
          <w:sz w:val="20"/>
          <w:szCs w:val="20"/>
          <w:vertAlign w:val="superscript"/>
        </w:rPr>
        <w:t>1</w:t>
      </w:r>
      <w:r w:rsidR="0041723C" w:rsidRPr="006F1FFE">
        <w:rPr>
          <w:sz w:val="20"/>
          <w:szCs w:val="20"/>
        </w:rPr>
        <w:t>, Sandra Heuschkel</w:t>
      </w:r>
      <w:r w:rsidR="0041723C" w:rsidRPr="006F1FFE">
        <w:rPr>
          <w:sz w:val="20"/>
          <w:szCs w:val="20"/>
          <w:vertAlign w:val="superscript"/>
        </w:rPr>
        <w:t>1</w:t>
      </w:r>
      <w:r w:rsidR="00417549" w:rsidRPr="006F1FFE">
        <w:rPr>
          <w:sz w:val="20"/>
          <w:szCs w:val="20"/>
        </w:rPr>
        <w:t xml:space="preserve">, </w:t>
      </w:r>
      <w:proofErr w:type="spellStart"/>
      <w:r w:rsidR="00417549" w:rsidRPr="006F1FFE">
        <w:rPr>
          <w:sz w:val="20"/>
          <w:szCs w:val="20"/>
        </w:rPr>
        <w:t>F</w:t>
      </w:r>
      <w:r w:rsidR="0041723C" w:rsidRPr="006F1FFE">
        <w:rPr>
          <w:sz w:val="20"/>
          <w:szCs w:val="20"/>
        </w:rPr>
        <w:t>awzi</w:t>
      </w:r>
      <w:proofErr w:type="spellEnd"/>
      <w:r w:rsidR="0041723C" w:rsidRPr="006F1FFE">
        <w:rPr>
          <w:sz w:val="20"/>
          <w:szCs w:val="20"/>
        </w:rPr>
        <w:t xml:space="preserve"> Adab</w:t>
      </w:r>
      <w:r w:rsidRPr="006F1FFE">
        <w:rPr>
          <w:sz w:val="20"/>
          <w:szCs w:val="20"/>
          <w:vertAlign w:val="superscript"/>
        </w:rPr>
        <w:t>1</w:t>
      </w:r>
    </w:p>
    <w:p w:rsidR="00592A9F" w:rsidRPr="006F1FFE" w:rsidRDefault="00592A9F" w:rsidP="006F1FFE">
      <w:pPr>
        <w:snapToGrid w:val="0"/>
        <w:ind w:right="2"/>
        <w:jc w:val="center"/>
        <w:rPr>
          <w:sz w:val="20"/>
          <w:szCs w:val="20"/>
          <w:vertAlign w:val="superscript"/>
          <w:lang w:eastAsia="zh-CN"/>
        </w:rPr>
      </w:pPr>
    </w:p>
    <w:p w:rsidR="0041723C" w:rsidRPr="006F1FFE" w:rsidRDefault="0041723C" w:rsidP="006F1FFE">
      <w:pPr>
        <w:autoSpaceDE w:val="0"/>
        <w:autoSpaceDN w:val="0"/>
        <w:adjustRightInd w:val="0"/>
        <w:snapToGrid w:val="0"/>
        <w:ind w:right="2"/>
        <w:jc w:val="center"/>
        <w:rPr>
          <w:color w:val="000000"/>
          <w:sz w:val="20"/>
          <w:szCs w:val="20"/>
        </w:rPr>
      </w:pPr>
      <w:r w:rsidRPr="006F1FFE">
        <w:rPr>
          <w:color w:val="000000"/>
          <w:sz w:val="20"/>
          <w:szCs w:val="20"/>
          <w:vertAlign w:val="superscript"/>
        </w:rPr>
        <w:t>1</w:t>
      </w:r>
      <w:r w:rsidRPr="006F1FFE">
        <w:rPr>
          <w:color w:val="000000"/>
          <w:sz w:val="20"/>
          <w:szCs w:val="20"/>
        </w:rPr>
        <w:t xml:space="preserve"> The Cancer Centre, the Royal Stoke Hospital, Stoke-on-Trent, UK</w:t>
      </w:r>
    </w:p>
    <w:p w:rsidR="00E564F0" w:rsidRPr="006F1FFE" w:rsidRDefault="0041723C" w:rsidP="006F1FFE">
      <w:pPr>
        <w:autoSpaceDE w:val="0"/>
        <w:autoSpaceDN w:val="0"/>
        <w:adjustRightInd w:val="0"/>
        <w:snapToGrid w:val="0"/>
        <w:ind w:right="2"/>
        <w:jc w:val="center"/>
        <w:rPr>
          <w:color w:val="000000"/>
          <w:sz w:val="20"/>
          <w:szCs w:val="20"/>
        </w:rPr>
      </w:pPr>
      <w:r w:rsidRPr="006F1FFE">
        <w:rPr>
          <w:color w:val="000000"/>
          <w:sz w:val="20"/>
          <w:szCs w:val="20"/>
          <w:vertAlign w:val="superscript"/>
        </w:rPr>
        <w:t>2</w:t>
      </w:r>
      <w:r w:rsidR="00E564F0" w:rsidRPr="006F1FFE">
        <w:rPr>
          <w:color w:val="000000"/>
          <w:sz w:val="20"/>
          <w:szCs w:val="20"/>
        </w:rPr>
        <w:t xml:space="preserve"> Medical Oncology </w:t>
      </w:r>
      <w:proofErr w:type="gramStart"/>
      <w:r w:rsidRPr="006F1FFE">
        <w:rPr>
          <w:color w:val="000000"/>
          <w:sz w:val="20"/>
          <w:szCs w:val="20"/>
        </w:rPr>
        <w:t>D</w:t>
      </w:r>
      <w:r w:rsidR="00E564F0" w:rsidRPr="006F1FFE">
        <w:rPr>
          <w:color w:val="000000"/>
          <w:sz w:val="20"/>
          <w:szCs w:val="20"/>
        </w:rPr>
        <w:t>epartment</w:t>
      </w:r>
      <w:proofErr w:type="gramEnd"/>
      <w:r w:rsidR="00E564F0" w:rsidRPr="006F1FFE">
        <w:rPr>
          <w:color w:val="000000"/>
          <w:sz w:val="20"/>
          <w:szCs w:val="20"/>
        </w:rPr>
        <w:t xml:space="preserve">, </w:t>
      </w:r>
      <w:proofErr w:type="spellStart"/>
      <w:r w:rsidR="00E564F0" w:rsidRPr="006F1FFE">
        <w:rPr>
          <w:color w:val="000000"/>
          <w:sz w:val="20"/>
          <w:szCs w:val="20"/>
        </w:rPr>
        <w:t>Mansoura</w:t>
      </w:r>
      <w:proofErr w:type="spellEnd"/>
      <w:r w:rsidR="00E564F0" w:rsidRPr="006F1FFE">
        <w:rPr>
          <w:color w:val="000000"/>
          <w:sz w:val="20"/>
          <w:szCs w:val="20"/>
        </w:rPr>
        <w:t xml:space="preserve"> University, Egypt</w:t>
      </w:r>
    </w:p>
    <w:p w:rsidR="00592A9F" w:rsidRPr="006F1FFE" w:rsidRDefault="004407BD" w:rsidP="006F1FFE">
      <w:pPr>
        <w:autoSpaceDE w:val="0"/>
        <w:autoSpaceDN w:val="0"/>
        <w:adjustRightInd w:val="0"/>
        <w:snapToGrid w:val="0"/>
        <w:ind w:right="2"/>
        <w:jc w:val="center"/>
        <w:rPr>
          <w:sz w:val="20"/>
          <w:szCs w:val="20"/>
        </w:rPr>
      </w:pPr>
      <w:hyperlink r:id="rId7" w:history="1">
        <w:r w:rsidR="001B7B0B" w:rsidRPr="006F1FFE">
          <w:rPr>
            <w:rStyle w:val="Hyperlink"/>
            <w:sz w:val="20"/>
            <w:szCs w:val="20"/>
          </w:rPr>
          <w:t>loaieelhelw@hotmail.com</w:t>
        </w:r>
      </w:hyperlink>
      <w:r w:rsidR="001B7B0B" w:rsidRPr="006F1FFE">
        <w:rPr>
          <w:color w:val="000000"/>
          <w:sz w:val="20"/>
          <w:szCs w:val="20"/>
        </w:rPr>
        <w:t xml:space="preserve">; </w:t>
      </w:r>
      <w:hyperlink r:id="rId8" w:history="1">
        <w:r w:rsidR="0041723C" w:rsidRPr="006F1FFE">
          <w:rPr>
            <w:rStyle w:val="Hyperlink"/>
            <w:sz w:val="20"/>
            <w:szCs w:val="20"/>
          </w:rPr>
          <w:t>loaie.elhelw@uhns.nhs.uk</w:t>
        </w:r>
      </w:hyperlink>
    </w:p>
    <w:p w:rsidR="00592A9F" w:rsidRPr="006F1FFE" w:rsidRDefault="00592A9F" w:rsidP="006F1FFE">
      <w:pPr>
        <w:autoSpaceDE w:val="0"/>
        <w:autoSpaceDN w:val="0"/>
        <w:adjustRightInd w:val="0"/>
        <w:snapToGrid w:val="0"/>
        <w:ind w:right="2"/>
        <w:jc w:val="center"/>
        <w:rPr>
          <w:sz w:val="20"/>
          <w:szCs w:val="20"/>
        </w:rPr>
      </w:pPr>
    </w:p>
    <w:p w:rsidR="00F613D5" w:rsidRPr="006F1FFE" w:rsidRDefault="00E90FBF" w:rsidP="00F613D5">
      <w:pPr>
        <w:snapToGrid w:val="0"/>
        <w:jc w:val="both"/>
        <w:rPr>
          <w:sz w:val="20"/>
          <w:szCs w:val="20"/>
        </w:rPr>
      </w:pPr>
      <w:r w:rsidRPr="006F1FFE">
        <w:rPr>
          <w:b/>
          <w:bCs/>
          <w:sz w:val="20"/>
          <w:szCs w:val="20"/>
        </w:rPr>
        <w:t>Abstract</w:t>
      </w:r>
      <w:r w:rsidR="00E52007" w:rsidRPr="006F1FFE">
        <w:rPr>
          <w:b/>
          <w:bCs/>
          <w:sz w:val="20"/>
          <w:szCs w:val="20"/>
        </w:rPr>
        <w:t>:</w:t>
      </w:r>
      <w:r w:rsidRPr="006F1FFE">
        <w:rPr>
          <w:b/>
          <w:bCs/>
          <w:sz w:val="20"/>
          <w:szCs w:val="20"/>
        </w:rPr>
        <w:t xml:space="preserve"> </w:t>
      </w:r>
      <w:r w:rsidR="0041723C" w:rsidRPr="006F1FFE">
        <w:rPr>
          <w:sz w:val="20"/>
          <w:szCs w:val="20"/>
        </w:rPr>
        <w:t>S</w:t>
      </w:r>
      <w:r w:rsidR="00681672" w:rsidRPr="006F1FFE">
        <w:rPr>
          <w:sz w:val="20"/>
          <w:szCs w:val="20"/>
        </w:rPr>
        <w:t xml:space="preserve">everal second-generation </w:t>
      </w:r>
      <w:r w:rsidR="002E66FD" w:rsidRPr="006F1FFE">
        <w:rPr>
          <w:sz w:val="20"/>
          <w:szCs w:val="20"/>
        </w:rPr>
        <w:t>androgen receptors signalling</w:t>
      </w:r>
      <w:r w:rsidR="00681672" w:rsidRPr="006F1FFE">
        <w:rPr>
          <w:sz w:val="20"/>
          <w:szCs w:val="20"/>
        </w:rPr>
        <w:t xml:space="preserve"> inhibitors have been </w:t>
      </w:r>
      <w:r w:rsidR="0041723C" w:rsidRPr="006F1FFE">
        <w:rPr>
          <w:sz w:val="20"/>
          <w:szCs w:val="20"/>
        </w:rPr>
        <w:t>used</w:t>
      </w:r>
      <w:r w:rsidR="00681672" w:rsidRPr="006F1FFE">
        <w:rPr>
          <w:sz w:val="20"/>
          <w:szCs w:val="20"/>
        </w:rPr>
        <w:t xml:space="preserve"> in </w:t>
      </w:r>
      <w:r w:rsidR="0041723C" w:rsidRPr="006F1FFE">
        <w:rPr>
          <w:sz w:val="20"/>
          <w:szCs w:val="20"/>
        </w:rPr>
        <w:t xml:space="preserve">management of </w:t>
      </w:r>
      <w:r w:rsidR="00681672" w:rsidRPr="006F1FFE">
        <w:rPr>
          <w:sz w:val="20"/>
          <w:szCs w:val="20"/>
        </w:rPr>
        <w:t xml:space="preserve">patients with </w:t>
      </w:r>
      <w:r w:rsidR="002E66FD" w:rsidRPr="006F1FFE">
        <w:rPr>
          <w:sz w:val="20"/>
          <w:szCs w:val="20"/>
        </w:rPr>
        <w:t>castration resistant prostate cancer (</w:t>
      </w:r>
      <w:r w:rsidR="00681672" w:rsidRPr="006F1FFE">
        <w:rPr>
          <w:sz w:val="20"/>
          <w:szCs w:val="20"/>
        </w:rPr>
        <w:t>CRPC</w:t>
      </w:r>
      <w:r w:rsidR="002E66FD" w:rsidRPr="006F1FFE">
        <w:rPr>
          <w:sz w:val="20"/>
          <w:szCs w:val="20"/>
        </w:rPr>
        <w:t>)</w:t>
      </w:r>
      <w:r w:rsidR="00681672" w:rsidRPr="006F1FFE">
        <w:rPr>
          <w:sz w:val="20"/>
          <w:szCs w:val="20"/>
        </w:rPr>
        <w:t xml:space="preserve">. </w:t>
      </w:r>
      <w:r w:rsidR="008A53A4" w:rsidRPr="006F1FFE">
        <w:rPr>
          <w:sz w:val="20"/>
          <w:szCs w:val="20"/>
        </w:rPr>
        <w:t>In this work, w</w:t>
      </w:r>
      <w:r w:rsidR="00681672" w:rsidRPr="006F1FFE">
        <w:rPr>
          <w:sz w:val="20"/>
          <w:szCs w:val="20"/>
        </w:rPr>
        <w:t xml:space="preserve">e aimed to </w:t>
      </w:r>
      <w:r w:rsidR="00392BB9" w:rsidRPr="006F1FFE">
        <w:rPr>
          <w:sz w:val="20"/>
          <w:szCs w:val="20"/>
        </w:rPr>
        <w:t xml:space="preserve">retrospectively </w:t>
      </w:r>
      <w:r w:rsidR="00681672" w:rsidRPr="006F1FFE">
        <w:rPr>
          <w:sz w:val="20"/>
          <w:szCs w:val="20"/>
        </w:rPr>
        <w:t xml:space="preserve">study </w:t>
      </w:r>
      <w:r w:rsidR="00C52D37" w:rsidRPr="006F1FFE">
        <w:rPr>
          <w:sz w:val="20"/>
          <w:szCs w:val="20"/>
        </w:rPr>
        <w:t xml:space="preserve">the </w:t>
      </w:r>
      <w:r w:rsidR="002E66FD" w:rsidRPr="006F1FFE">
        <w:rPr>
          <w:sz w:val="20"/>
          <w:szCs w:val="20"/>
        </w:rPr>
        <w:t xml:space="preserve">efficacy and tolerability </w:t>
      </w:r>
      <w:r w:rsidR="00681672" w:rsidRPr="006F1FFE">
        <w:rPr>
          <w:sz w:val="20"/>
          <w:szCs w:val="20"/>
        </w:rPr>
        <w:t xml:space="preserve">of </w:t>
      </w:r>
      <w:r w:rsidR="004A1063" w:rsidRPr="006F1FFE">
        <w:rPr>
          <w:sz w:val="20"/>
          <w:szCs w:val="20"/>
        </w:rPr>
        <w:t xml:space="preserve">the </w:t>
      </w:r>
      <w:bookmarkStart w:id="0" w:name="_GoBack"/>
      <w:bookmarkEnd w:id="0"/>
      <w:proofErr w:type="spellStart"/>
      <w:r w:rsidR="00681672" w:rsidRPr="006F1FFE">
        <w:rPr>
          <w:sz w:val="20"/>
          <w:szCs w:val="20"/>
        </w:rPr>
        <w:t>antiandrogen</w:t>
      </w:r>
      <w:proofErr w:type="spellEnd"/>
      <w:r w:rsidR="00681672" w:rsidRPr="006F1FFE">
        <w:rPr>
          <w:sz w:val="20"/>
          <w:szCs w:val="20"/>
        </w:rPr>
        <w:t xml:space="preserve"> </w:t>
      </w:r>
      <w:proofErr w:type="spellStart"/>
      <w:r w:rsidR="00681672"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in </w:t>
      </w:r>
      <w:r w:rsidR="00E52007" w:rsidRPr="006F1FFE">
        <w:rPr>
          <w:sz w:val="20"/>
          <w:szCs w:val="20"/>
        </w:rPr>
        <w:t xml:space="preserve">a cohort of </w:t>
      </w:r>
      <w:r w:rsidRPr="006F1FFE">
        <w:rPr>
          <w:sz w:val="20"/>
          <w:szCs w:val="20"/>
        </w:rPr>
        <w:t xml:space="preserve">CRPC </w:t>
      </w:r>
      <w:r w:rsidR="00E52007" w:rsidRPr="006F1FFE">
        <w:rPr>
          <w:sz w:val="20"/>
          <w:szCs w:val="20"/>
        </w:rPr>
        <w:t xml:space="preserve">patients who were treated in our centre between </w:t>
      </w:r>
      <w:r w:rsidR="00800B04" w:rsidRPr="006F1FFE">
        <w:rPr>
          <w:sz w:val="20"/>
          <w:szCs w:val="20"/>
        </w:rPr>
        <w:t xml:space="preserve">June 2014 and December 2015. </w:t>
      </w:r>
      <w:r w:rsidR="002E66FD" w:rsidRPr="006F1FFE">
        <w:rPr>
          <w:sz w:val="20"/>
          <w:szCs w:val="20"/>
        </w:rPr>
        <w:t xml:space="preserve">Thirty six </w:t>
      </w:r>
      <w:r w:rsidR="00B736C2" w:rsidRPr="006F1FFE">
        <w:rPr>
          <w:sz w:val="20"/>
          <w:szCs w:val="20"/>
        </w:rPr>
        <w:t xml:space="preserve">patients </w:t>
      </w:r>
      <w:r w:rsidR="002E66FD" w:rsidRPr="006F1FFE">
        <w:rPr>
          <w:sz w:val="20"/>
          <w:szCs w:val="20"/>
        </w:rPr>
        <w:t>were included</w:t>
      </w:r>
      <w:r w:rsidR="00392BB9" w:rsidRPr="006F1FFE">
        <w:rPr>
          <w:sz w:val="20"/>
          <w:szCs w:val="20"/>
        </w:rPr>
        <w:t>;</w:t>
      </w:r>
      <w:r w:rsidR="00B736C2" w:rsidRPr="006F1FFE">
        <w:rPr>
          <w:sz w:val="20"/>
          <w:szCs w:val="20"/>
        </w:rPr>
        <w:t xml:space="preserve"> </w:t>
      </w:r>
      <w:r w:rsidR="00392BB9" w:rsidRPr="006F1FFE">
        <w:rPr>
          <w:sz w:val="20"/>
          <w:szCs w:val="20"/>
        </w:rPr>
        <w:t>28</w:t>
      </w:r>
      <w:r w:rsidR="00FC1798" w:rsidRPr="006F1FFE">
        <w:rPr>
          <w:sz w:val="20"/>
          <w:szCs w:val="20"/>
        </w:rPr>
        <w:t xml:space="preserve"> </w:t>
      </w:r>
      <w:r w:rsidR="002E66FD" w:rsidRPr="006F1FFE">
        <w:rPr>
          <w:sz w:val="20"/>
          <w:szCs w:val="20"/>
        </w:rPr>
        <w:t>(</w:t>
      </w:r>
      <w:r w:rsidR="00FC1798" w:rsidRPr="006F1FFE">
        <w:rPr>
          <w:sz w:val="20"/>
          <w:szCs w:val="20"/>
        </w:rPr>
        <w:t>77.8%</w:t>
      </w:r>
      <w:r w:rsidR="002E66FD" w:rsidRPr="006F1FFE">
        <w:rPr>
          <w:sz w:val="20"/>
          <w:szCs w:val="20"/>
        </w:rPr>
        <w:t xml:space="preserve">) </w:t>
      </w:r>
      <w:r w:rsidR="00FC1798" w:rsidRPr="006F1FFE">
        <w:rPr>
          <w:sz w:val="20"/>
          <w:szCs w:val="20"/>
        </w:rPr>
        <w:t xml:space="preserve">had metastatic </w:t>
      </w:r>
      <w:r w:rsidR="000416A7" w:rsidRPr="006F1FFE">
        <w:rPr>
          <w:sz w:val="20"/>
          <w:szCs w:val="20"/>
        </w:rPr>
        <w:t>prostate cancer</w:t>
      </w:r>
      <w:r w:rsidR="002E66FD" w:rsidRPr="006F1FFE">
        <w:rPr>
          <w:sz w:val="20"/>
          <w:szCs w:val="20"/>
        </w:rPr>
        <w:t xml:space="preserve"> </w:t>
      </w:r>
      <w:r w:rsidR="00DE7B2B" w:rsidRPr="006F1FFE">
        <w:rPr>
          <w:sz w:val="20"/>
          <w:szCs w:val="20"/>
        </w:rPr>
        <w:t>at</w:t>
      </w:r>
      <w:r w:rsidR="002E66FD" w:rsidRPr="006F1FFE">
        <w:rPr>
          <w:sz w:val="20"/>
          <w:szCs w:val="20"/>
        </w:rPr>
        <w:t xml:space="preserve"> </w:t>
      </w:r>
      <w:r w:rsidR="00FC1798" w:rsidRPr="006F1FFE">
        <w:rPr>
          <w:sz w:val="20"/>
          <w:szCs w:val="20"/>
        </w:rPr>
        <w:t xml:space="preserve">initial presentation and 8 </w:t>
      </w:r>
      <w:r w:rsidR="00DF349E" w:rsidRPr="006F1FFE">
        <w:rPr>
          <w:sz w:val="20"/>
          <w:szCs w:val="20"/>
        </w:rPr>
        <w:t xml:space="preserve">(22.2%) </w:t>
      </w:r>
      <w:r w:rsidR="00FC1798" w:rsidRPr="006F1FFE">
        <w:rPr>
          <w:sz w:val="20"/>
          <w:szCs w:val="20"/>
        </w:rPr>
        <w:t xml:space="preserve">had non-metastatic </w:t>
      </w:r>
      <w:r w:rsidR="00C52D37" w:rsidRPr="006F1FFE">
        <w:rPr>
          <w:sz w:val="20"/>
          <w:szCs w:val="20"/>
        </w:rPr>
        <w:t>disease</w:t>
      </w:r>
      <w:r w:rsidR="000416A7" w:rsidRPr="006F1FFE">
        <w:rPr>
          <w:sz w:val="20"/>
          <w:szCs w:val="20"/>
        </w:rPr>
        <w:t xml:space="preserve"> </w:t>
      </w:r>
      <w:r w:rsidR="00FC1798" w:rsidRPr="006F1FFE">
        <w:rPr>
          <w:sz w:val="20"/>
          <w:szCs w:val="20"/>
        </w:rPr>
        <w:t>but relapsed later on</w:t>
      </w:r>
      <w:r w:rsidR="000416A7" w:rsidRPr="006F1FFE">
        <w:rPr>
          <w:sz w:val="20"/>
          <w:szCs w:val="20"/>
        </w:rPr>
        <w:t xml:space="preserve"> during follow up</w:t>
      </w:r>
      <w:r w:rsidR="00FC1798" w:rsidRPr="006F1FFE">
        <w:rPr>
          <w:sz w:val="20"/>
          <w:szCs w:val="20"/>
        </w:rPr>
        <w:t>.</w:t>
      </w:r>
      <w:r w:rsidR="00F16256" w:rsidRPr="006F1FFE">
        <w:rPr>
          <w:sz w:val="20"/>
          <w:szCs w:val="20"/>
        </w:rPr>
        <w:t xml:space="preserve"> </w:t>
      </w:r>
      <w:r w:rsidR="00DF349E" w:rsidRPr="006F1FFE">
        <w:rPr>
          <w:sz w:val="20"/>
          <w:szCs w:val="20"/>
        </w:rPr>
        <w:t xml:space="preserve">Prior to </w:t>
      </w:r>
      <w:proofErr w:type="spellStart"/>
      <w:r w:rsidR="00DF349E" w:rsidRPr="006F1FFE">
        <w:rPr>
          <w:sz w:val="20"/>
          <w:szCs w:val="20"/>
        </w:rPr>
        <w:t>enzalutamide</w:t>
      </w:r>
      <w:proofErr w:type="spellEnd"/>
      <w:r w:rsidR="00DF349E" w:rsidRPr="006F1FFE">
        <w:rPr>
          <w:sz w:val="20"/>
          <w:szCs w:val="20"/>
        </w:rPr>
        <w:t>, m</w:t>
      </w:r>
      <w:r w:rsidR="009346DC" w:rsidRPr="006F1FFE">
        <w:rPr>
          <w:sz w:val="20"/>
          <w:szCs w:val="20"/>
        </w:rPr>
        <w:t xml:space="preserve">ost patients </w:t>
      </w:r>
      <w:r w:rsidR="00DF349E" w:rsidRPr="006F1FFE">
        <w:rPr>
          <w:sz w:val="20"/>
          <w:szCs w:val="20"/>
        </w:rPr>
        <w:t xml:space="preserve">(52.8%) </w:t>
      </w:r>
      <w:r w:rsidR="009346DC" w:rsidRPr="006F1FFE">
        <w:rPr>
          <w:sz w:val="20"/>
          <w:szCs w:val="20"/>
        </w:rPr>
        <w:t>had 3 lines of hormonal treatment</w:t>
      </w:r>
      <w:r w:rsidR="00DE7B2B" w:rsidRPr="006F1FFE">
        <w:rPr>
          <w:sz w:val="20"/>
          <w:szCs w:val="20"/>
        </w:rPr>
        <w:t xml:space="preserve">. </w:t>
      </w:r>
      <w:r w:rsidR="00A0215F" w:rsidRPr="006F1FFE">
        <w:rPr>
          <w:sz w:val="20"/>
          <w:szCs w:val="20"/>
        </w:rPr>
        <w:t xml:space="preserve">Eleven </w:t>
      </w:r>
      <w:r w:rsidR="00DE7B2B" w:rsidRPr="006F1FFE">
        <w:rPr>
          <w:sz w:val="20"/>
          <w:szCs w:val="20"/>
        </w:rPr>
        <w:t xml:space="preserve">patients (30.6%) received </w:t>
      </w:r>
      <w:proofErr w:type="spellStart"/>
      <w:r w:rsidR="00DE7B2B" w:rsidRPr="006F1FFE">
        <w:rPr>
          <w:sz w:val="20"/>
          <w:szCs w:val="20"/>
        </w:rPr>
        <w:t>docetaxel</w:t>
      </w:r>
      <w:proofErr w:type="spellEnd"/>
      <w:r w:rsidR="00DE7B2B" w:rsidRPr="006F1FFE">
        <w:rPr>
          <w:sz w:val="20"/>
          <w:szCs w:val="20"/>
        </w:rPr>
        <w:t xml:space="preserve"> chemotherapy</w:t>
      </w:r>
      <w:r w:rsidR="00A026CA" w:rsidRPr="006F1FFE">
        <w:rPr>
          <w:sz w:val="20"/>
          <w:szCs w:val="20"/>
        </w:rPr>
        <w:t>.</w:t>
      </w:r>
      <w:r w:rsidRPr="006F1FFE">
        <w:rPr>
          <w:b/>
          <w:bCs/>
          <w:sz w:val="20"/>
          <w:szCs w:val="20"/>
        </w:rPr>
        <w:t xml:space="preserve"> </w:t>
      </w:r>
      <w:r w:rsidR="009C62D9" w:rsidRPr="006F1FFE">
        <w:rPr>
          <w:sz w:val="20"/>
          <w:szCs w:val="20"/>
        </w:rPr>
        <w:t>Overall, 27</w:t>
      </w:r>
      <w:r w:rsidR="00B85B31" w:rsidRPr="006F1FFE">
        <w:rPr>
          <w:sz w:val="20"/>
          <w:szCs w:val="20"/>
        </w:rPr>
        <w:t xml:space="preserve"> patients</w:t>
      </w:r>
      <w:r w:rsidR="00EB13DF" w:rsidRPr="006F1FFE">
        <w:rPr>
          <w:sz w:val="20"/>
          <w:szCs w:val="20"/>
        </w:rPr>
        <w:t xml:space="preserve"> (75%) responded to </w:t>
      </w:r>
      <w:proofErr w:type="spellStart"/>
      <w:r w:rsidR="00EB13DF" w:rsidRPr="006F1FFE">
        <w:rPr>
          <w:sz w:val="20"/>
          <w:szCs w:val="20"/>
        </w:rPr>
        <w:t>enzalutamide</w:t>
      </w:r>
      <w:proofErr w:type="spellEnd"/>
      <w:r w:rsidR="00DE052C" w:rsidRPr="006F1FFE">
        <w:rPr>
          <w:sz w:val="20"/>
          <w:szCs w:val="20"/>
        </w:rPr>
        <w:t xml:space="preserve">. </w:t>
      </w:r>
      <w:r w:rsidR="009F039C" w:rsidRPr="006F1FFE">
        <w:rPr>
          <w:sz w:val="20"/>
          <w:szCs w:val="20"/>
        </w:rPr>
        <w:t xml:space="preserve">The median progression free survival </w:t>
      </w:r>
      <w:r w:rsidR="00A35EEA" w:rsidRPr="006F1FFE">
        <w:rPr>
          <w:sz w:val="20"/>
          <w:szCs w:val="20"/>
        </w:rPr>
        <w:t xml:space="preserve">(PFS) </w:t>
      </w:r>
      <w:r w:rsidR="00D8649D" w:rsidRPr="006F1FFE">
        <w:rPr>
          <w:sz w:val="20"/>
          <w:szCs w:val="20"/>
        </w:rPr>
        <w:t xml:space="preserve">duration </w:t>
      </w:r>
      <w:r w:rsidR="009F039C" w:rsidRPr="006F1FFE">
        <w:rPr>
          <w:sz w:val="20"/>
          <w:szCs w:val="20"/>
        </w:rPr>
        <w:t>was 5 mont</w:t>
      </w:r>
      <w:r w:rsidR="00B85B31" w:rsidRPr="006F1FFE">
        <w:rPr>
          <w:sz w:val="20"/>
          <w:szCs w:val="20"/>
        </w:rPr>
        <w:t>hs and</w:t>
      </w:r>
      <w:r w:rsidR="009F039C" w:rsidRPr="006F1FFE">
        <w:rPr>
          <w:sz w:val="20"/>
          <w:szCs w:val="20"/>
        </w:rPr>
        <w:t xml:space="preserve"> 1 year PFS</w:t>
      </w:r>
      <w:r w:rsidR="00A35EEA" w:rsidRPr="006F1FFE">
        <w:rPr>
          <w:sz w:val="20"/>
          <w:szCs w:val="20"/>
        </w:rPr>
        <w:t xml:space="preserve"> </w:t>
      </w:r>
      <w:r w:rsidR="009F039C" w:rsidRPr="006F1FFE">
        <w:rPr>
          <w:sz w:val="20"/>
          <w:szCs w:val="20"/>
        </w:rPr>
        <w:t>probability was 37.5%.</w:t>
      </w:r>
      <w:r w:rsidR="007D30DD" w:rsidRPr="006F1FFE">
        <w:rPr>
          <w:sz w:val="20"/>
          <w:szCs w:val="20"/>
        </w:rPr>
        <w:t xml:space="preserve"> </w:t>
      </w:r>
      <w:r w:rsidR="009F039C" w:rsidRPr="006F1FFE">
        <w:rPr>
          <w:sz w:val="20"/>
          <w:szCs w:val="20"/>
        </w:rPr>
        <w:t xml:space="preserve">The </w:t>
      </w:r>
      <w:r w:rsidR="00AF11E8" w:rsidRPr="006F1FFE">
        <w:rPr>
          <w:sz w:val="20"/>
          <w:szCs w:val="20"/>
        </w:rPr>
        <w:t xml:space="preserve">median </w:t>
      </w:r>
      <w:r w:rsidR="00A35EEA" w:rsidRPr="006F1FFE">
        <w:rPr>
          <w:sz w:val="20"/>
          <w:szCs w:val="20"/>
        </w:rPr>
        <w:t xml:space="preserve">overall </w:t>
      </w:r>
      <w:r w:rsidR="00AF11E8" w:rsidRPr="006F1FFE">
        <w:rPr>
          <w:sz w:val="20"/>
          <w:szCs w:val="20"/>
        </w:rPr>
        <w:t xml:space="preserve">survival </w:t>
      </w:r>
      <w:r w:rsidR="00A35EEA" w:rsidRPr="006F1FFE">
        <w:rPr>
          <w:sz w:val="20"/>
          <w:szCs w:val="20"/>
        </w:rPr>
        <w:t xml:space="preserve">(OS) </w:t>
      </w:r>
      <w:r w:rsidR="004A1EDC" w:rsidRPr="006F1FFE">
        <w:rPr>
          <w:sz w:val="20"/>
          <w:szCs w:val="20"/>
        </w:rPr>
        <w:t xml:space="preserve">duration </w:t>
      </w:r>
      <w:r w:rsidR="00AF11E8" w:rsidRPr="006F1FFE">
        <w:rPr>
          <w:sz w:val="20"/>
          <w:szCs w:val="20"/>
        </w:rPr>
        <w:t xml:space="preserve">since starting </w:t>
      </w:r>
      <w:proofErr w:type="spellStart"/>
      <w:r w:rsidR="00AF11E8" w:rsidRPr="006F1FFE">
        <w:rPr>
          <w:sz w:val="20"/>
          <w:szCs w:val="20"/>
        </w:rPr>
        <w:t>e</w:t>
      </w:r>
      <w:r w:rsidR="009F039C" w:rsidRPr="006F1FFE">
        <w:rPr>
          <w:sz w:val="20"/>
          <w:szCs w:val="20"/>
        </w:rPr>
        <w:t>nzalutamide</w:t>
      </w:r>
      <w:proofErr w:type="spellEnd"/>
      <w:r w:rsidR="009F039C" w:rsidRPr="006F1FFE">
        <w:rPr>
          <w:sz w:val="20"/>
          <w:szCs w:val="20"/>
        </w:rPr>
        <w:t xml:space="preserve"> was 14 months </w:t>
      </w:r>
      <w:r w:rsidR="004D162A" w:rsidRPr="006F1FFE">
        <w:rPr>
          <w:sz w:val="20"/>
          <w:szCs w:val="20"/>
        </w:rPr>
        <w:t>and 1 year OS is 52%.</w:t>
      </w:r>
      <w:r w:rsidR="00F16256" w:rsidRPr="006F1FFE">
        <w:rPr>
          <w:sz w:val="20"/>
          <w:szCs w:val="20"/>
        </w:rPr>
        <w:t xml:space="preserve"> </w:t>
      </w:r>
      <w:proofErr w:type="spellStart"/>
      <w:r w:rsidR="00C52D37" w:rsidRPr="006F1FFE">
        <w:rPr>
          <w:sz w:val="20"/>
          <w:szCs w:val="20"/>
        </w:rPr>
        <w:t>Enzalutamide</w:t>
      </w:r>
      <w:proofErr w:type="spellEnd"/>
      <w:r w:rsidR="00C52D37" w:rsidRPr="006F1FFE">
        <w:rPr>
          <w:sz w:val="20"/>
          <w:szCs w:val="20"/>
        </w:rPr>
        <w:t xml:space="preserve"> was well-tolerated by most patients and </w:t>
      </w:r>
      <w:r w:rsidR="004D162A" w:rsidRPr="006F1FFE">
        <w:rPr>
          <w:sz w:val="20"/>
          <w:szCs w:val="20"/>
        </w:rPr>
        <w:t>offer</w:t>
      </w:r>
      <w:r w:rsidR="00C52D37" w:rsidRPr="006F1FFE">
        <w:rPr>
          <w:sz w:val="20"/>
          <w:szCs w:val="20"/>
        </w:rPr>
        <w:t>ed</w:t>
      </w:r>
      <w:r w:rsidR="004D162A" w:rsidRPr="006F1FFE">
        <w:rPr>
          <w:sz w:val="20"/>
          <w:szCs w:val="20"/>
        </w:rPr>
        <w:t xml:space="preserve"> control of CRPC for </w:t>
      </w:r>
      <w:r w:rsidR="00C6790A" w:rsidRPr="006F1FFE">
        <w:rPr>
          <w:sz w:val="20"/>
          <w:szCs w:val="20"/>
        </w:rPr>
        <w:t xml:space="preserve">a </w:t>
      </w:r>
      <w:r w:rsidR="004D162A" w:rsidRPr="006F1FFE">
        <w:rPr>
          <w:sz w:val="20"/>
          <w:szCs w:val="20"/>
        </w:rPr>
        <w:t>reasonable period of time</w:t>
      </w:r>
      <w:r w:rsidR="00EC30B4" w:rsidRPr="006F1FFE">
        <w:rPr>
          <w:sz w:val="20"/>
          <w:szCs w:val="20"/>
        </w:rPr>
        <w:t>.</w:t>
      </w:r>
    </w:p>
    <w:p w:rsidR="00F613D5" w:rsidRPr="006F1FFE" w:rsidRDefault="00F613D5" w:rsidP="00F613D5">
      <w:pPr>
        <w:snapToGrid w:val="0"/>
        <w:jc w:val="both"/>
        <w:rPr>
          <w:b/>
          <w:bCs/>
          <w:sz w:val="20"/>
          <w:szCs w:val="20"/>
          <w:lang w:eastAsia="zh-CN"/>
        </w:rPr>
      </w:pPr>
      <w:r w:rsidRPr="006F1FFE">
        <w:rPr>
          <w:rFonts w:hint="eastAsia"/>
          <w:b/>
          <w:sz w:val="20"/>
          <w:szCs w:val="20"/>
        </w:rPr>
        <w:t>[</w:t>
      </w:r>
      <w:r w:rsidRPr="006F1FFE">
        <w:rPr>
          <w:sz w:val="20"/>
          <w:szCs w:val="20"/>
        </w:rPr>
        <w:t>L.M. El-</w:t>
      </w:r>
      <w:proofErr w:type="spellStart"/>
      <w:r w:rsidRPr="006F1FFE">
        <w:rPr>
          <w:sz w:val="20"/>
          <w:szCs w:val="20"/>
        </w:rPr>
        <w:t>Helw</w:t>
      </w:r>
      <w:proofErr w:type="spellEnd"/>
      <w:r w:rsidRPr="006F1FFE">
        <w:rPr>
          <w:sz w:val="20"/>
          <w:szCs w:val="20"/>
        </w:rPr>
        <w:t xml:space="preserve">, </w:t>
      </w:r>
      <w:proofErr w:type="spellStart"/>
      <w:r w:rsidRPr="006F1FFE">
        <w:rPr>
          <w:sz w:val="20"/>
          <w:szCs w:val="20"/>
        </w:rPr>
        <w:t>Salil</w:t>
      </w:r>
      <w:proofErr w:type="spellEnd"/>
      <w:r w:rsidRPr="006F1FFE">
        <w:rPr>
          <w:sz w:val="20"/>
          <w:szCs w:val="20"/>
        </w:rPr>
        <w:t xml:space="preserve"> </w:t>
      </w:r>
      <w:proofErr w:type="spellStart"/>
      <w:r w:rsidRPr="006F1FFE">
        <w:rPr>
          <w:sz w:val="20"/>
          <w:szCs w:val="20"/>
        </w:rPr>
        <w:t>Vengalil</w:t>
      </w:r>
      <w:proofErr w:type="spellEnd"/>
      <w:r w:rsidRPr="006F1FFE">
        <w:rPr>
          <w:sz w:val="20"/>
          <w:szCs w:val="20"/>
        </w:rPr>
        <w:t xml:space="preserve">, </w:t>
      </w:r>
      <w:proofErr w:type="spellStart"/>
      <w:r w:rsidRPr="006F1FFE">
        <w:rPr>
          <w:sz w:val="20"/>
          <w:szCs w:val="20"/>
        </w:rPr>
        <w:t>Rajanee</w:t>
      </w:r>
      <w:proofErr w:type="spellEnd"/>
      <w:r w:rsidRPr="006F1FFE">
        <w:rPr>
          <w:sz w:val="20"/>
          <w:szCs w:val="20"/>
        </w:rPr>
        <w:t xml:space="preserve"> </w:t>
      </w:r>
      <w:proofErr w:type="spellStart"/>
      <w:r w:rsidRPr="006F1FFE">
        <w:rPr>
          <w:sz w:val="20"/>
          <w:szCs w:val="20"/>
        </w:rPr>
        <w:t>Bhana</w:t>
      </w:r>
      <w:proofErr w:type="spellEnd"/>
      <w:r w:rsidRPr="006F1FFE">
        <w:rPr>
          <w:sz w:val="20"/>
          <w:szCs w:val="20"/>
        </w:rPr>
        <w:t xml:space="preserve">, Sandra </w:t>
      </w:r>
      <w:proofErr w:type="spellStart"/>
      <w:r w:rsidRPr="006F1FFE">
        <w:rPr>
          <w:sz w:val="20"/>
          <w:szCs w:val="20"/>
        </w:rPr>
        <w:t>Heuschkel</w:t>
      </w:r>
      <w:proofErr w:type="spellEnd"/>
      <w:r w:rsidRPr="006F1FFE">
        <w:rPr>
          <w:sz w:val="20"/>
          <w:szCs w:val="20"/>
        </w:rPr>
        <w:t xml:space="preserve">, </w:t>
      </w:r>
      <w:proofErr w:type="spellStart"/>
      <w:r w:rsidRPr="006F1FFE">
        <w:rPr>
          <w:sz w:val="20"/>
          <w:szCs w:val="20"/>
        </w:rPr>
        <w:t>Fawzi</w:t>
      </w:r>
      <w:proofErr w:type="spellEnd"/>
      <w:r w:rsidRPr="006F1FFE">
        <w:rPr>
          <w:sz w:val="20"/>
          <w:szCs w:val="20"/>
        </w:rPr>
        <w:t xml:space="preserve"> </w:t>
      </w:r>
      <w:proofErr w:type="spellStart"/>
      <w:r w:rsidRPr="006F1FFE">
        <w:rPr>
          <w:sz w:val="20"/>
          <w:szCs w:val="20"/>
        </w:rPr>
        <w:t>Adab</w:t>
      </w:r>
      <w:proofErr w:type="spellEnd"/>
      <w:r w:rsidRPr="006F1FFE">
        <w:rPr>
          <w:sz w:val="20"/>
          <w:szCs w:val="20"/>
        </w:rPr>
        <w:t xml:space="preserve">. </w:t>
      </w:r>
      <w:proofErr w:type="gramStart"/>
      <w:r w:rsidRPr="006F1FFE">
        <w:rPr>
          <w:b/>
          <w:bCs/>
          <w:sz w:val="20"/>
          <w:szCs w:val="20"/>
        </w:rPr>
        <w:t>Castration Resistant Prostate Cancer.</w:t>
      </w:r>
      <w:proofErr w:type="gramEnd"/>
      <w:r w:rsidRPr="006F1FFE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6F1FFE">
        <w:rPr>
          <w:b/>
          <w:bCs/>
          <w:sz w:val="20"/>
          <w:szCs w:val="20"/>
        </w:rPr>
        <w:t>Enzalutamide</w:t>
      </w:r>
      <w:proofErr w:type="spellEnd"/>
      <w:r w:rsidRPr="006F1FFE">
        <w:rPr>
          <w:b/>
          <w:bCs/>
          <w:sz w:val="20"/>
          <w:szCs w:val="20"/>
        </w:rPr>
        <w:t xml:space="preserve"> Effectiveness and Tolerability</w:t>
      </w:r>
      <w:r w:rsidRPr="006F1FFE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Pr="006F1FFE">
        <w:rPr>
          <w:i/>
          <w:sz w:val="20"/>
          <w:szCs w:val="20"/>
        </w:rPr>
        <w:t xml:space="preserve"> Cancer Biology</w:t>
      </w:r>
      <w:r w:rsidRPr="006F1FFE">
        <w:rPr>
          <w:sz w:val="20"/>
          <w:szCs w:val="20"/>
        </w:rPr>
        <w:t xml:space="preserve"> 201</w:t>
      </w:r>
      <w:r w:rsidRPr="006F1FFE">
        <w:rPr>
          <w:rFonts w:hint="eastAsia"/>
          <w:sz w:val="20"/>
          <w:szCs w:val="20"/>
        </w:rPr>
        <w:t>7</w:t>
      </w:r>
      <w:proofErr w:type="gramStart"/>
      <w:r w:rsidRPr="006F1FFE">
        <w:rPr>
          <w:sz w:val="20"/>
          <w:szCs w:val="20"/>
        </w:rPr>
        <w:t>;</w:t>
      </w:r>
      <w:r w:rsidRPr="006F1FFE">
        <w:rPr>
          <w:rFonts w:hint="eastAsia"/>
          <w:sz w:val="20"/>
          <w:szCs w:val="20"/>
        </w:rPr>
        <w:t>7</w:t>
      </w:r>
      <w:proofErr w:type="gramEnd"/>
      <w:r w:rsidRPr="006F1FFE">
        <w:rPr>
          <w:sz w:val="20"/>
          <w:szCs w:val="20"/>
        </w:rPr>
        <w:t>(</w:t>
      </w:r>
      <w:r w:rsidRPr="006F1FFE">
        <w:rPr>
          <w:rFonts w:hint="eastAsia"/>
          <w:sz w:val="20"/>
          <w:szCs w:val="20"/>
        </w:rPr>
        <w:t>2</w:t>
      </w:r>
      <w:r w:rsidRPr="006F1FFE">
        <w:rPr>
          <w:sz w:val="20"/>
          <w:szCs w:val="20"/>
        </w:rPr>
        <w:t>):</w:t>
      </w:r>
      <w:r w:rsidR="007143E1" w:rsidRPr="006F1FFE">
        <w:rPr>
          <w:noProof/>
          <w:color w:val="000000"/>
          <w:sz w:val="20"/>
          <w:szCs w:val="20"/>
        </w:rPr>
        <w:t>74-80</w:t>
      </w:r>
      <w:r w:rsidRPr="006F1FFE">
        <w:rPr>
          <w:sz w:val="20"/>
          <w:szCs w:val="20"/>
        </w:rPr>
        <w:t xml:space="preserve">]. </w:t>
      </w:r>
      <w:r w:rsidRPr="006F1FFE">
        <w:rPr>
          <w:rStyle w:val="msonormal0"/>
          <w:rFonts w:eastAsia="宋"/>
          <w:sz w:val="20"/>
          <w:szCs w:val="20"/>
        </w:rPr>
        <w:t>ISSN: 2150-1041 (print); ISSN: 2150-105X (online)</w:t>
      </w:r>
      <w:r w:rsidRPr="006F1FFE">
        <w:rPr>
          <w:sz w:val="20"/>
          <w:szCs w:val="20"/>
        </w:rPr>
        <w:t xml:space="preserve">. </w:t>
      </w:r>
      <w:hyperlink r:id="rId9" w:history="1">
        <w:r w:rsidRPr="006F1FFE">
          <w:rPr>
            <w:rStyle w:val="Hyperlink"/>
            <w:sz w:val="20"/>
            <w:szCs w:val="20"/>
          </w:rPr>
          <w:t>http://www.cancerbio.net</w:t>
        </w:r>
      </w:hyperlink>
      <w:r w:rsidRPr="006F1FFE">
        <w:rPr>
          <w:sz w:val="20"/>
          <w:szCs w:val="20"/>
        </w:rPr>
        <w:t>.</w:t>
      </w:r>
      <w:r w:rsidRPr="006F1FFE">
        <w:rPr>
          <w:rFonts w:hint="eastAsia"/>
          <w:sz w:val="20"/>
          <w:szCs w:val="20"/>
        </w:rPr>
        <w:t xml:space="preserve"> </w:t>
      </w:r>
      <w:r w:rsidR="007143E1" w:rsidRPr="006F1FFE">
        <w:rPr>
          <w:rFonts w:hint="eastAsia"/>
          <w:sz w:val="20"/>
          <w:szCs w:val="20"/>
          <w:lang w:eastAsia="zh-CN"/>
        </w:rPr>
        <w:t>10</w:t>
      </w:r>
      <w:r w:rsidRPr="006F1FFE">
        <w:rPr>
          <w:rFonts w:hint="eastAsia"/>
          <w:sz w:val="20"/>
          <w:szCs w:val="20"/>
        </w:rPr>
        <w:t xml:space="preserve">. </w:t>
      </w:r>
      <w:proofErr w:type="gramStart"/>
      <w:r w:rsidRPr="006F1FFE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Pr="006F1FFE">
        <w:rPr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Pr="006F1FFE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6F1FFE">
          <w:rPr>
            <w:rStyle w:val="Hyperlink"/>
            <w:rFonts w:hint="eastAsia"/>
            <w:sz w:val="20"/>
            <w:szCs w:val="20"/>
            <w:shd w:val="clear" w:color="auto" w:fill="FFFFFF"/>
          </w:rPr>
          <w:t>cbj0702</w:t>
        </w:r>
        <w:r w:rsidRPr="006F1FFE">
          <w:rPr>
            <w:rStyle w:val="Hyperlink"/>
            <w:sz w:val="20"/>
            <w:szCs w:val="20"/>
            <w:shd w:val="clear" w:color="auto" w:fill="FFFFFF"/>
          </w:rPr>
          <w:t>1</w:t>
        </w:r>
        <w:r w:rsidRPr="006F1FFE">
          <w:rPr>
            <w:rStyle w:val="Hyperlink"/>
            <w:rFonts w:hint="eastAsia"/>
            <w:sz w:val="20"/>
            <w:szCs w:val="20"/>
            <w:shd w:val="clear" w:color="auto" w:fill="FFFFFF"/>
          </w:rPr>
          <w:t>7.</w:t>
        </w:r>
        <w:r w:rsidR="007143E1" w:rsidRPr="006F1FFE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10</w:t>
        </w:r>
      </w:hyperlink>
      <w:r w:rsidRPr="006F1FFE">
        <w:rPr>
          <w:color w:val="000000"/>
          <w:sz w:val="20"/>
          <w:szCs w:val="20"/>
          <w:shd w:val="clear" w:color="auto" w:fill="FFFFFF"/>
        </w:rPr>
        <w:t>.</w:t>
      </w:r>
    </w:p>
    <w:p w:rsidR="006D0C4C" w:rsidRPr="006F1FFE" w:rsidRDefault="006D0C4C" w:rsidP="00F613D5">
      <w:pPr>
        <w:snapToGrid w:val="0"/>
        <w:jc w:val="both"/>
        <w:rPr>
          <w:sz w:val="20"/>
          <w:szCs w:val="20"/>
        </w:rPr>
      </w:pPr>
    </w:p>
    <w:p w:rsidR="00E90FBF" w:rsidRPr="006F1FFE" w:rsidRDefault="00E90FBF" w:rsidP="00F613D5">
      <w:pPr>
        <w:snapToGrid w:val="0"/>
        <w:jc w:val="both"/>
        <w:rPr>
          <w:b/>
          <w:bCs/>
          <w:sz w:val="20"/>
          <w:szCs w:val="20"/>
        </w:rPr>
      </w:pPr>
      <w:r w:rsidRPr="006F1FFE">
        <w:rPr>
          <w:b/>
          <w:bCs/>
          <w:sz w:val="20"/>
          <w:szCs w:val="20"/>
        </w:rPr>
        <w:t xml:space="preserve">Key words: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>; castration resistant; prostate cancer</w:t>
      </w:r>
    </w:p>
    <w:p w:rsidR="006D0C4C" w:rsidRPr="006F1FFE" w:rsidRDefault="006D0C4C" w:rsidP="00F613D5">
      <w:pPr>
        <w:snapToGrid w:val="0"/>
        <w:ind w:firstLine="425"/>
        <w:jc w:val="both"/>
        <w:rPr>
          <w:sz w:val="20"/>
          <w:szCs w:val="20"/>
        </w:rPr>
      </w:pPr>
    </w:p>
    <w:p w:rsidR="00F613D5" w:rsidRPr="006F1FFE" w:rsidRDefault="00F613D5" w:rsidP="00F613D5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  <w:sectPr w:rsidR="00F613D5" w:rsidRPr="006F1FFE" w:rsidSect="007143E1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74"/>
          <w:cols w:space="708"/>
          <w:docGrid w:linePitch="360"/>
        </w:sectPr>
      </w:pPr>
    </w:p>
    <w:p w:rsidR="00737473" w:rsidRPr="006F1FFE" w:rsidRDefault="00F36E20" w:rsidP="00F613D5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6F1FFE">
        <w:rPr>
          <w:b/>
          <w:bCs/>
          <w:sz w:val="20"/>
          <w:szCs w:val="20"/>
        </w:rPr>
        <w:lastRenderedPageBreak/>
        <w:t>Introduction</w:t>
      </w:r>
    </w:p>
    <w:p w:rsidR="001B7B0B" w:rsidRPr="006F1FFE" w:rsidRDefault="00F36E20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Prostate cancer is the most common malignancy and second </w:t>
      </w:r>
      <w:r w:rsidR="00777B95" w:rsidRPr="006F1FFE">
        <w:rPr>
          <w:sz w:val="20"/>
          <w:szCs w:val="20"/>
        </w:rPr>
        <w:t xml:space="preserve">leading cause of death from cancer </w:t>
      </w:r>
      <w:r w:rsidR="00630434" w:rsidRPr="006F1FFE">
        <w:rPr>
          <w:sz w:val="20"/>
          <w:szCs w:val="20"/>
        </w:rPr>
        <w:t xml:space="preserve">in men </w:t>
      </w:r>
      <w:r w:rsidR="00777B95" w:rsidRPr="006F1FFE">
        <w:rPr>
          <w:sz w:val="20"/>
          <w:szCs w:val="20"/>
        </w:rPr>
        <w:t>[</w:t>
      </w:r>
      <w:r w:rsidR="001168E2" w:rsidRPr="006F1FFE">
        <w:rPr>
          <w:sz w:val="20"/>
          <w:szCs w:val="20"/>
        </w:rPr>
        <w:t>1</w:t>
      </w:r>
      <w:r w:rsidR="009860F1" w:rsidRPr="006F1FFE">
        <w:rPr>
          <w:sz w:val="20"/>
          <w:szCs w:val="20"/>
        </w:rPr>
        <w:t>].</w:t>
      </w:r>
      <w:r w:rsidR="0034123F" w:rsidRPr="006F1FFE">
        <w:rPr>
          <w:sz w:val="20"/>
          <w:szCs w:val="20"/>
        </w:rPr>
        <w:t xml:space="preserve"> </w:t>
      </w:r>
      <w:r w:rsidR="009860F1" w:rsidRPr="006F1FFE">
        <w:rPr>
          <w:color w:val="000000"/>
          <w:sz w:val="20"/>
          <w:szCs w:val="20"/>
        </w:rPr>
        <w:t xml:space="preserve">Androgen deprivation therapy (ADT) with luteinizing hormone-releasing hormone </w:t>
      </w:r>
      <w:r w:rsidR="001267E5" w:rsidRPr="006F1FFE">
        <w:rPr>
          <w:color w:val="000000"/>
          <w:sz w:val="20"/>
          <w:szCs w:val="20"/>
        </w:rPr>
        <w:t xml:space="preserve">(LHRH) </w:t>
      </w:r>
      <w:r w:rsidR="00943726" w:rsidRPr="006F1FFE">
        <w:rPr>
          <w:color w:val="000000"/>
          <w:sz w:val="20"/>
          <w:szCs w:val="20"/>
        </w:rPr>
        <w:t>analogues</w:t>
      </w:r>
      <w:r w:rsidR="009860F1" w:rsidRPr="006F1FFE">
        <w:rPr>
          <w:color w:val="000000"/>
          <w:sz w:val="20"/>
          <w:szCs w:val="20"/>
        </w:rPr>
        <w:t xml:space="preserve"> </w:t>
      </w:r>
      <w:r w:rsidR="001267E5" w:rsidRPr="006F1FFE">
        <w:rPr>
          <w:color w:val="000000"/>
          <w:sz w:val="20"/>
          <w:szCs w:val="20"/>
        </w:rPr>
        <w:t xml:space="preserve">or bilateral </w:t>
      </w:r>
      <w:proofErr w:type="spellStart"/>
      <w:r w:rsidR="001267E5" w:rsidRPr="006F1FFE">
        <w:rPr>
          <w:color w:val="000000"/>
          <w:sz w:val="20"/>
          <w:szCs w:val="20"/>
        </w:rPr>
        <w:t>orchiectomy</w:t>
      </w:r>
      <w:proofErr w:type="spellEnd"/>
      <w:r w:rsidR="001267E5" w:rsidRPr="006F1FFE">
        <w:rPr>
          <w:color w:val="000000"/>
          <w:sz w:val="20"/>
          <w:szCs w:val="20"/>
        </w:rPr>
        <w:t xml:space="preserve"> </w:t>
      </w:r>
      <w:r w:rsidR="009860F1" w:rsidRPr="006F1FFE">
        <w:rPr>
          <w:color w:val="000000"/>
          <w:sz w:val="20"/>
          <w:szCs w:val="20"/>
        </w:rPr>
        <w:t>is the standard of care for first-line treatment in patients with metastatic prostate cancer. However, despite an initial response, most patients will ultimately experience disease progression after a median time of 18–24 months, developing castration-res</w:t>
      </w:r>
      <w:r w:rsidR="00BE4435" w:rsidRPr="006F1FFE">
        <w:rPr>
          <w:color w:val="000000"/>
          <w:sz w:val="20"/>
          <w:szCs w:val="20"/>
        </w:rPr>
        <w:t>istant prostate cancer (CRPC)</w:t>
      </w:r>
      <w:r w:rsidR="00154C00" w:rsidRPr="006F1FFE">
        <w:rPr>
          <w:color w:val="000000"/>
          <w:sz w:val="20"/>
          <w:szCs w:val="20"/>
        </w:rPr>
        <w:t xml:space="preserve"> </w:t>
      </w:r>
      <w:r w:rsidR="00154C00" w:rsidRPr="006F1FFE">
        <w:rPr>
          <w:rStyle w:val="A11"/>
          <w:rFonts w:cs="Times New Roman"/>
          <w:color w:val="auto"/>
          <w:sz w:val="20"/>
          <w:szCs w:val="20"/>
        </w:rPr>
        <w:t>[</w:t>
      </w:r>
      <w:r w:rsidR="001168E2" w:rsidRPr="006F1FFE">
        <w:rPr>
          <w:sz w:val="20"/>
          <w:szCs w:val="20"/>
        </w:rPr>
        <w:t>2</w:t>
      </w:r>
      <w:r w:rsidR="00154C00" w:rsidRPr="006F1FFE">
        <w:rPr>
          <w:sz w:val="20"/>
          <w:szCs w:val="20"/>
        </w:rPr>
        <w:t>]</w:t>
      </w:r>
      <w:r w:rsidR="00527F11" w:rsidRPr="006F1FFE">
        <w:rPr>
          <w:sz w:val="20"/>
          <w:szCs w:val="20"/>
        </w:rPr>
        <w:t xml:space="preserve"> which is defined by disease progression despite </w:t>
      </w:r>
      <w:r w:rsidR="001267E5" w:rsidRPr="006F1FFE">
        <w:rPr>
          <w:sz w:val="20"/>
          <w:szCs w:val="20"/>
        </w:rPr>
        <w:t>ADT</w:t>
      </w:r>
      <w:r w:rsidR="00527F11" w:rsidRPr="006F1FFE">
        <w:rPr>
          <w:sz w:val="20"/>
          <w:szCs w:val="20"/>
        </w:rPr>
        <w:t xml:space="preserve"> and despite achieving castrate level of testosterone (≤ 50 </w:t>
      </w:r>
      <w:proofErr w:type="spellStart"/>
      <w:r w:rsidR="00527F11" w:rsidRPr="006F1FFE">
        <w:rPr>
          <w:sz w:val="20"/>
          <w:szCs w:val="20"/>
        </w:rPr>
        <w:t>ng</w:t>
      </w:r>
      <w:proofErr w:type="spellEnd"/>
      <w:r w:rsidR="00527F11" w:rsidRPr="006F1FFE">
        <w:rPr>
          <w:sz w:val="20"/>
          <w:szCs w:val="20"/>
        </w:rPr>
        <w:t xml:space="preserve">/dl) </w:t>
      </w:r>
      <w:r w:rsidR="001168E2" w:rsidRPr="006F1FFE">
        <w:rPr>
          <w:sz w:val="20"/>
          <w:szCs w:val="20"/>
        </w:rPr>
        <w:t>[</w:t>
      </w:r>
      <w:r w:rsidR="001267E5" w:rsidRPr="006F1FFE">
        <w:rPr>
          <w:sz w:val="20"/>
          <w:szCs w:val="20"/>
        </w:rPr>
        <w:t>3-</w:t>
      </w:r>
      <w:r w:rsidR="001168E2" w:rsidRPr="006F1FFE">
        <w:rPr>
          <w:sz w:val="20"/>
          <w:szCs w:val="20"/>
        </w:rPr>
        <w:t>4]</w:t>
      </w:r>
      <w:r w:rsidR="00527F11" w:rsidRPr="006F1FFE">
        <w:rPr>
          <w:sz w:val="20"/>
          <w:szCs w:val="20"/>
        </w:rPr>
        <w:t>.</w:t>
      </w:r>
    </w:p>
    <w:p w:rsidR="001B7B0B" w:rsidRPr="006F1FFE" w:rsidRDefault="00154C00" w:rsidP="00F613D5">
      <w:pPr>
        <w:snapToGrid w:val="0"/>
        <w:ind w:firstLine="425"/>
        <w:jc w:val="both"/>
        <w:rPr>
          <w:rStyle w:val="A11"/>
          <w:rFonts w:cs="Times New Roman"/>
          <w:color w:val="auto"/>
          <w:sz w:val="20"/>
          <w:szCs w:val="20"/>
        </w:rPr>
      </w:pPr>
      <w:r w:rsidRPr="006F1FFE">
        <w:rPr>
          <w:color w:val="000000"/>
          <w:sz w:val="20"/>
          <w:szCs w:val="20"/>
        </w:rPr>
        <w:t xml:space="preserve">In CRPC, disease progression is mainly driven by androgen receptor (AR) </w:t>
      </w:r>
      <w:r w:rsidR="001267E5" w:rsidRPr="006F1FFE">
        <w:rPr>
          <w:color w:val="000000"/>
          <w:sz w:val="20"/>
          <w:szCs w:val="20"/>
        </w:rPr>
        <w:t>signalling</w:t>
      </w:r>
      <w:r w:rsidRPr="006F1FFE">
        <w:rPr>
          <w:color w:val="000000"/>
          <w:sz w:val="20"/>
          <w:szCs w:val="20"/>
        </w:rPr>
        <w:t xml:space="preserve">, partly due to </w:t>
      </w:r>
      <w:proofErr w:type="spellStart"/>
      <w:r w:rsidRPr="006F1FFE">
        <w:rPr>
          <w:color w:val="000000"/>
          <w:sz w:val="20"/>
          <w:szCs w:val="20"/>
        </w:rPr>
        <w:t>overexpression</w:t>
      </w:r>
      <w:proofErr w:type="spellEnd"/>
      <w:r w:rsidRPr="006F1FFE">
        <w:rPr>
          <w:color w:val="000000"/>
          <w:sz w:val="20"/>
          <w:szCs w:val="20"/>
        </w:rPr>
        <w:t xml:space="preserve"> of the AR itself. Consequently, in recent years, several second-generation AR </w:t>
      </w:r>
      <w:r w:rsidR="001267E5" w:rsidRPr="006F1FFE">
        <w:rPr>
          <w:color w:val="000000"/>
          <w:sz w:val="20"/>
          <w:szCs w:val="20"/>
        </w:rPr>
        <w:t>signalling</w:t>
      </w:r>
      <w:r w:rsidRPr="006F1FFE">
        <w:rPr>
          <w:color w:val="000000"/>
          <w:sz w:val="20"/>
          <w:szCs w:val="20"/>
        </w:rPr>
        <w:t xml:space="preserve"> inhibitors have been successfully tested in patients with metastatic CRPC confirming that prostate cancer growth remains dependent on androgen stimulation. The </w:t>
      </w:r>
      <w:proofErr w:type="spellStart"/>
      <w:r w:rsidRPr="006F1FFE">
        <w:rPr>
          <w:color w:val="000000"/>
          <w:sz w:val="20"/>
          <w:szCs w:val="20"/>
        </w:rPr>
        <w:t>cytochrome</w:t>
      </w:r>
      <w:proofErr w:type="spellEnd"/>
      <w:r w:rsidRPr="006F1FFE">
        <w:rPr>
          <w:color w:val="000000"/>
          <w:sz w:val="20"/>
          <w:szCs w:val="20"/>
        </w:rPr>
        <w:t xml:space="preserve"> P450 (CYP 17</w:t>
      </w:r>
      <w:r w:rsidR="004E7367" w:rsidRPr="006F1FFE">
        <w:rPr>
          <w:color w:val="000000"/>
          <w:sz w:val="20"/>
          <w:szCs w:val="20"/>
        </w:rPr>
        <w:t>)</w:t>
      </w:r>
      <w:r w:rsidRPr="006F1FFE">
        <w:rPr>
          <w:color w:val="000000"/>
          <w:sz w:val="20"/>
          <w:szCs w:val="20"/>
        </w:rPr>
        <w:t xml:space="preserve"> inhibitor </w:t>
      </w:r>
      <w:proofErr w:type="spellStart"/>
      <w:r w:rsidRPr="006F1FFE">
        <w:rPr>
          <w:color w:val="000000"/>
          <w:sz w:val="20"/>
          <w:szCs w:val="20"/>
        </w:rPr>
        <w:t>abiraterone</w:t>
      </w:r>
      <w:proofErr w:type="spellEnd"/>
      <w:r w:rsidRPr="006F1FFE">
        <w:rPr>
          <w:color w:val="000000"/>
          <w:sz w:val="20"/>
          <w:szCs w:val="20"/>
        </w:rPr>
        <w:t xml:space="preserve"> acetate and the novel </w:t>
      </w:r>
      <w:proofErr w:type="spellStart"/>
      <w:r w:rsidRPr="006F1FFE">
        <w:rPr>
          <w:color w:val="000000"/>
          <w:sz w:val="20"/>
          <w:szCs w:val="20"/>
        </w:rPr>
        <w:t>antiandrogen</w:t>
      </w:r>
      <w:proofErr w:type="spellEnd"/>
      <w:r w:rsidRPr="006F1FFE">
        <w:rPr>
          <w:color w:val="000000"/>
          <w:sz w:val="20"/>
          <w:szCs w:val="20"/>
        </w:rPr>
        <w:t xml:space="preserve"> </w:t>
      </w:r>
      <w:proofErr w:type="spellStart"/>
      <w:r w:rsidRPr="006F1FFE">
        <w:rPr>
          <w:color w:val="000000"/>
          <w:sz w:val="20"/>
          <w:szCs w:val="20"/>
        </w:rPr>
        <w:t>enzalutamide</w:t>
      </w:r>
      <w:proofErr w:type="spellEnd"/>
      <w:r w:rsidRPr="006F1FFE">
        <w:rPr>
          <w:color w:val="000000"/>
          <w:sz w:val="20"/>
          <w:szCs w:val="20"/>
        </w:rPr>
        <w:t xml:space="preserve"> have shown improved overall survival (OS) and quality of life in metastatic CRPC patients both in the pre- and post-</w:t>
      </w:r>
      <w:proofErr w:type="spellStart"/>
      <w:r w:rsidRPr="006F1FFE">
        <w:rPr>
          <w:color w:val="000000"/>
          <w:sz w:val="20"/>
          <w:szCs w:val="20"/>
        </w:rPr>
        <w:t>docetaxel</w:t>
      </w:r>
      <w:proofErr w:type="spellEnd"/>
      <w:r w:rsidRPr="006F1FFE">
        <w:rPr>
          <w:color w:val="000000"/>
          <w:sz w:val="20"/>
          <w:szCs w:val="20"/>
        </w:rPr>
        <w:t xml:space="preserve"> setting </w:t>
      </w:r>
      <w:r w:rsidRPr="006F1FFE">
        <w:rPr>
          <w:rStyle w:val="A11"/>
          <w:rFonts w:cs="Times New Roman"/>
          <w:color w:val="auto"/>
          <w:sz w:val="20"/>
          <w:szCs w:val="20"/>
        </w:rPr>
        <w:t>[</w:t>
      </w:r>
      <w:r w:rsidR="001168E2" w:rsidRPr="006F1FFE">
        <w:rPr>
          <w:sz w:val="20"/>
          <w:szCs w:val="20"/>
        </w:rPr>
        <w:t>5-7</w:t>
      </w:r>
      <w:r w:rsidR="00B355D6" w:rsidRPr="006F1FFE">
        <w:rPr>
          <w:sz w:val="20"/>
          <w:szCs w:val="20"/>
        </w:rPr>
        <w:t>].</w:t>
      </w:r>
    </w:p>
    <w:p w:rsidR="00B355D6" w:rsidRPr="006F1FFE" w:rsidRDefault="00154C00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color w:val="000000"/>
          <w:sz w:val="20"/>
          <w:szCs w:val="20"/>
        </w:rPr>
        <w:t>In addition, several other non</w:t>
      </w:r>
      <w:r w:rsidR="00020FFA" w:rsidRPr="006F1FFE">
        <w:rPr>
          <w:color w:val="000000"/>
          <w:sz w:val="20"/>
          <w:szCs w:val="20"/>
        </w:rPr>
        <w:t>-</w:t>
      </w:r>
      <w:r w:rsidRPr="006F1FFE">
        <w:rPr>
          <w:color w:val="000000"/>
          <w:sz w:val="20"/>
          <w:szCs w:val="20"/>
        </w:rPr>
        <w:t xml:space="preserve">hormonal treatments such as </w:t>
      </w:r>
      <w:proofErr w:type="spellStart"/>
      <w:r w:rsidRPr="006F1FFE">
        <w:rPr>
          <w:color w:val="000000"/>
          <w:sz w:val="20"/>
          <w:szCs w:val="20"/>
        </w:rPr>
        <w:t>docetaxel</w:t>
      </w:r>
      <w:proofErr w:type="spellEnd"/>
      <w:r w:rsidRPr="006F1FFE">
        <w:rPr>
          <w:color w:val="000000"/>
          <w:sz w:val="20"/>
          <w:szCs w:val="20"/>
        </w:rPr>
        <w:t xml:space="preserve"> and </w:t>
      </w:r>
      <w:proofErr w:type="spellStart"/>
      <w:r w:rsidRPr="006F1FFE">
        <w:rPr>
          <w:color w:val="000000"/>
          <w:sz w:val="20"/>
          <w:szCs w:val="20"/>
        </w:rPr>
        <w:t>cabazitaxel</w:t>
      </w:r>
      <w:proofErr w:type="spellEnd"/>
      <w:r w:rsidRPr="006F1FFE">
        <w:rPr>
          <w:color w:val="000000"/>
          <w:sz w:val="20"/>
          <w:szCs w:val="20"/>
        </w:rPr>
        <w:t xml:space="preserve"> chemotherapies, radio-isotope radium-223, and </w:t>
      </w:r>
      <w:proofErr w:type="spellStart"/>
      <w:r w:rsidRPr="006F1FFE">
        <w:rPr>
          <w:color w:val="000000"/>
          <w:sz w:val="20"/>
          <w:szCs w:val="20"/>
        </w:rPr>
        <w:t>autologous</w:t>
      </w:r>
      <w:proofErr w:type="spellEnd"/>
      <w:r w:rsidRPr="006F1FFE">
        <w:rPr>
          <w:color w:val="000000"/>
          <w:sz w:val="20"/>
          <w:szCs w:val="20"/>
        </w:rPr>
        <w:t xml:space="preserve"> cellular immunotherapy agent </w:t>
      </w:r>
      <w:proofErr w:type="spellStart"/>
      <w:r w:rsidRPr="006F1FFE">
        <w:rPr>
          <w:color w:val="000000"/>
          <w:sz w:val="20"/>
          <w:szCs w:val="20"/>
        </w:rPr>
        <w:t>sipuleucel</w:t>
      </w:r>
      <w:proofErr w:type="spellEnd"/>
      <w:r w:rsidRPr="006F1FFE">
        <w:rPr>
          <w:color w:val="000000"/>
          <w:sz w:val="20"/>
          <w:szCs w:val="20"/>
        </w:rPr>
        <w:t xml:space="preserve">-T have recently been approved for the treatment of </w:t>
      </w:r>
      <w:r w:rsidRPr="006F1FFE">
        <w:rPr>
          <w:color w:val="000000"/>
          <w:sz w:val="20"/>
          <w:szCs w:val="20"/>
        </w:rPr>
        <w:lastRenderedPageBreak/>
        <w:t>metastatic CRPC on the basis of improved OS in pro</w:t>
      </w:r>
      <w:r w:rsidRPr="006F1FFE">
        <w:rPr>
          <w:color w:val="000000"/>
          <w:sz w:val="20"/>
          <w:szCs w:val="20"/>
        </w:rPr>
        <w:softHyphen/>
        <w:t>spective clinical trials</w:t>
      </w:r>
      <w:r w:rsidR="00F449D6" w:rsidRPr="006F1FFE">
        <w:rPr>
          <w:color w:val="000000"/>
          <w:sz w:val="20"/>
          <w:szCs w:val="20"/>
        </w:rPr>
        <w:t xml:space="preserve"> </w:t>
      </w:r>
      <w:r w:rsidR="00F449D6" w:rsidRPr="006F1FFE">
        <w:rPr>
          <w:sz w:val="20"/>
          <w:szCs w:val="20"/>
        </w:rPr>
        <w:t>[</w:t>
      </w:r>
      <w:r w:rsidR="00020FFA" w:rsidRPr="006F1FFE">
        <w:rPr>
          <w:sz w:val="20"/>
          <w:szCs w:val="20"/>
        </w:rPr>
        <w:t>8-11</w:t>
      </w:r>
      <w:r w:rsidR="00F449D6" w:rsidRPr="006F1FFE">
        <w:rPr>
          <w:sz w:val="20"/>
          <w:szCs w:val="20"/>
        </w:rPr>
        <w:t>]</w:t>
      </w:r>
      <w:r w:rsidR="00B355D6" w:rsidRPr="006F1FFE">
        <w:rPr>
          <w:sz w:val="20"/>
          <w:szCs w:val="20"/>
        </w:rPr>
        <w:t>.</w:t>
      </w:r>
    </w:p>
    <w:p w:rsidR="00A026CA" w:rsidRPr="006F1FFE" w:rsidRDefault="00B355D6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6F1FFE">
        <w:rPr>
          <w:sz w:val="20"/>
          <w:szCs w:val="20"/>
        </w:rPr>
        <w:t>In this work</w:t>
      </w:r>
      <w:r w:rsidR="001267E5" w:rsidRPr="006F1FFE">
        <w:rPr>
          <w:sz w:val="20"/>
          <w:szCs w:val="20"/>
        </w:rPr>
        <w:t>,</w:t>
      </w:r>
      <w:r w:rsidRPr="006F1FFE">
        <w:rPr>
          <w:sz w:val="20"/>
          <w:szCs w:val="20"/>
        </w:rPr>
        <w:t xml:space="preserve"> we present our experience in the use of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for the management of a cohort of patients with CRPC.</w:t>
      </w:r>
    </w:p>
    <w:p w:rsidR="00F613D5" w:rsidRPr="006F1FFE" w:rsidRDefault="00F613D5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25E0C" w:rsidRPr="006F1FFE" w:rsidRDefault="000C1DB2" w:rsidP="00F613D5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6F1FFE">
        <w:rPr>
          <w:b/>
          <w:bCs/>
          <w:sz w:val="20"/>
          <w:szCs w:val="20"/>
        </w:rPr>
        <w:t>Patients and methods</w:t>
      </w:r>
    </w:p>
    <w:p w:rsidR="004C26C1" w:rsidRPr="006F1FFE" w:rsidRDefault="00F22B55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This was </w:t>
      </w:r>
      <w:r w:rsidR="00943726" w:rsidRPr="006F1FFE">
        <w:rPr>
          <w:sz w:val="20"/>
          <w:szCs w:val="20"/>
        </w:rPr>
        <w:t xml:space="preserve">a </w:t>
      </w:r>
      <w:r w:rsidRPr="006F1FFE">
        <w:rPr>
          <w:sz w:val="20"/>
          <w:szCs w:val="20"/>
        </w:rPr>
        <w:t xml:space="preserve">retrospective study of </w:t>
      </w:r>
      <w:r w:rsidR="00943726" w:rsidRPr="006F1FFE">
        <w:rPr>
          <w:sz w:val="20"/>
          <w:szCs w:val="20"/>
        </w:rPr>
        <w:t xml:space="preserve">a cohort of patients with </w:t>
      </w:r>
      <w:r w:rsidR="008A5DC0" w:rsidRPr="006F1FFE">
        <w:rPr>
          <w:sz w:val="20"/>
          <w:szCs w:val="20"/>
        </w:rPr>
        <w:t xml:space="preserve">metastatic </w:t>
      </w:r>
      <w:r w:rsidR="00943726" w:rsidRPr="006F1FFE">
        <w:rPr>
          <w:color w:val="000000"/>
          <w:sz w:val="20"/>
          <w:szCs w:val="20"/>
        </w:rPr>
        <w:t>castration-resistant prostate cancer (</w:t>
      </w:r>
      <w:r w:rsidRPr="006F1FFE">
        <w:rPr>
          <w:sz w:val="20"/>
          <w:szCs w:val="20"/>
        </w:rPr>
        <w:t>CRPC</w:t>
      </w:r>
      <w:r w:rsidR="00943726" w:rsidRPr="006F1FFE">
        <w:rPr>
          <w:sz w:val="20"/>
          <w:szCs w:val="20"/>
        </w:rPr>
        <w:t>)</w:t>
      </w:r>
      <w:r w:rsidRPr="006F1FFE">
        <w:rPr>
          <w:sz w:val="20"/>
          <w:szCs w:val="20"/>
        </w:rPr>
        <w:t xml:space="preserve"> who were treated with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in </w:t>
      </w:r>
      <w:r w:rsidR="004A1EDC" w:rsidRPr="006F1FFE">
        <w:rPr>
          <w:sz w:val="20"/>
          <w:szCs w:val="20"/>
        </w:rPr>
        <w:t>our centre</w:t>
      </w:r>
      <w:r w:rsidRPr="006F1FFE">
        <w:rPr>
          <w:sz w:val="20"/>
          <w:szCs w:val="20"/>
        </w:rPr>
        <w:t xml:space="preserve"> between </w:t>
      </w:r>
      <w:r w:rsidR="00341D23" w:rsidRPr="006F1FFE">
        <w:rPr>
          <w:sz w:val="20"/>
          <w:szCs w:val="20"/>
        </w:rPr>
        <w:t>June 2014</w:t>
      </w:r>
      <w:r w:rsidRPr="006F1FFE">
        <w:rPr>
          <w:sz w:val="20"/>
          <w:szCs w:val="20"/>
        </w:rPr>
        <w:t xml:space="preserve"> and </w:t>
      </w:r>
      <w:r w:rsidR="00341D23" w:rsidRPr="006F1FFE">
        <w:rPr>
          <w:sz w:val="20"/>
          <w:szCs w:val="20"/>
        </w:rPr>
        <w:t>December 2015</w:t>
      </w:r>
      <w:r w:rsidRPr="006F1FFE">
        <w:rPr>
          <w:sz w:val="20"/>
          <w:szCs w:val="20"/>
        </w:rPr>
        <w:t>.</w:t>
      </w:r>
    </w:p>
    <w:p w:rsidR="004C26C1" w:rsidRPr="006F1FFE" w:rsidRDefault="00630434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>Patients</w:t>
      </w:r>
      <w:r w:rsidR="004E7367" w:rsidRPr="006F1FFE">
        <w:rPr>
          <w:sz w:val="20"/>
          <w:szCs w:val="20"/>
        </w:rPr>
        <w:t>’</w:t>
      </w:r>
      <w:r w:rsidRPr="006F1FFE">
        <w:rPr>
          <w:sz w:val="20"/>
          <w:szCs w:val="20"/>
        </w:rPr>
        <w:t xml:space="preserve"> notes and electronic records were reviewed. </w:t>
      </w:r>
      <w:r w:rsidR="001267E5" w:rsidRPr="006F1FFE">
        <w:rPr>
          <w:sz w:val="20"/>
          <w:szCs w:val="20"/>
        </w:rPr>
        <w:t>Satisfactory r</w:t>
      </w:r>
      <w:r w:rsidRPr="006F1FFE">
        <w:rPr>
          <w:sz w:val="20"/>
          <w:szCs w:val="20"/>
        </w:rPr>
        <w:t xml:space="preserve">esponse to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was assessed as </w:t>
      </w:r>
      <w:r w:rsidR="004E7367" w:rsidRPr="006F1FFE">
        <w:rPr>
          <w:sz w:val="20"/>
          <w:szCs w:val="20"/>
        </w:rPr>
        <w:t>≥</w:t>
      </w:r>
      <w:r w:rsidRPr="006F1FFE">
        <w:rPr>
          <w:sz w:val="20"/>
          <w:szCs w:val="20"/>
        </w:rPr>
        <w:t xml:space="preserve">30% prostate specific antigen (PSA) response at 4 weeks and </w:t>
      </w:r>
      <w:r w:rsidR="004E7367" w:rsidRPr="006F1FFE">
        <w:rPr>
          <w:sz w:val="20"/>
          <w:szCs w:val="20"/>
        </w:rPr>
        <w:t>≥</w:t>
      </w:r>
      <w:r w:rsidRPr="006F1FFE">
        <w:rPr>
          <w:sz w:val="20"/>
          <w:szCs w:val="20"/>
        </w:rPr>
        <w:t>50% PSA response at 12 weeks of treatment. Increase of PSA by 25% represented progressive disease (PD</w:t>
      </w:r>
      <w:r w:rsidR="00CD4AB1" w:rsidRPr="006F1FFE">
        <w:rPr>
          <w:sz w:val="20"/>
          <w:szCs w:val="20"/>
        </w:rPr>
        <w:t>)</w:t>
      </w:r>
      <w:r w:rsidR="00A026CA" w:rsidRPr="006F1FFE">
        <w:rPr>
          <w:sz w:val="20"/>
          <w:szCs w:val="20"/>
        </w:rPr>
        <w:t xml:space="preserve"> </w:t>
      </w:r>
      <w:r w:rsidR="00111A56" w:rsidRPr="006F1FFE">
        <w:rPr>
          <w:sz w:val="20"/>
          <w:szCs w:val="20"/>
        </w:rPr>
        <w:t>according to the consensus criteria of the Prostate Cancer Working Group (PCWG2)</w:t>
      </w:r>
      <w:r w:rsidR="00CD4AB1" w:rsidRPr="006F1FFE">
        <w:rPr>
          <w:sz w:val="20"/>
          <w:szCs w:val="20"/>
        </w:rPr>
        <w:t xml:space="preserve"> [12]</w:t>
      </w:r>
      <w:r w:rsidRPr="006F1FFE">
        <w:rPr>
          <w:sz w:val="20"/>
          <w:szCs w:val="20"/>
        </w:rPr>
        <w:t>.</w:t>
      </w:r>
    </w:p>
    <w:p w:rsidR="004C26C1" w:rsidRPr="006F1FFE" w:rsidRDefault="00630434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>Progression free and overall survival durations and probabilities were calculated using Kaplan Meier</w:t>
      </w:r>
      <w:r w:rsidR="001154C1" w:rsidRPr="006F1FFE">
        <w:rPr>
          <w:sz w:val="20"/>
          <w:szCs w:val="20"/>
        </w:rPr>
        <w:t xml:space="preserve"> Method.</w:t>
      </w:r>
      <w:r w:rsidRPr="006F1FFE">
        <w:rPr>
          <w:sz w:val="20"/>
          <w:szCs w:val="20"/>
        </w:rPr>
        <w:t xml:space="preserve"> </w:t>
      </w:r>
      <w:r w:rsidR="0089102D" w:rsidRPr="006F1FFE">
        <w:rPr>
          <w:sz w:val="20"/>
          <w:szCs w:val="20"/>
        </w:rPr>
        <w:t xml:space="preserve">Log rank test was used to assess significance in relation to survival functions. Statistical </w:t>
      </w:r>
      <w:r w:rsidR="005C37E5" w:rsidRPr="006F1FFE">
        <w:rPr>
          <w:sz w:val="20"/>
          <w:szCs w:val="20"/>
        </w:rPr>
        <w:t>significance was considered if</w:t>
      </w:r>
      <w:r w:rsidR="0034123F" w:rsidRPr="006F1FFE">
        <w:rPr>
          <w:sz w:val="20"/>
          <w:szCs w:val="20"/>
        </w:rPr>
        <w:t xml:space="preserve"> </w:t>
      </w:r>
      <w:r w:rsidR="00341D23" w:rsidRPr="006F1FFE">
        <w:rPr>
          <w:sz w:val="20"/>
          <w:szCs w:val="20"/>
        </w:rPr>
        <w:t>P</w:t>
      </w:r>
      <w:r w:rsidR="0089102D" w:rsidRPr="006F1FFE">
        <w:rPr>
          <w:sz w:val="20"/>
          <w:szCs w:val="20"/>
        </w:rPr>
        <w:t xml:space="preserve"> value is less than 0.05.</w:t>
      </w:r>
    </w:p>
    <w:p w:rsidR="004C26C1" w:rsidRPr="006F1FFE" w:rsidRDefault="004C26C1" w:rsidP="00F613D5">
      <w:pPr>
        <w:snapToGrid w:val="0"/>
        <w:ind w:firstLine="425"/>
        <w:jc w:val="both"/>
        <w:rPr>
          <w:sz w:val="20"/>
          <w:szCs w:val="20"/>
        </w:rPr>
      </w:pPr>
    </w:p>
    <w:p w:rsidR="004C26C1" w:rsidRPr="006F1FFE" w:rsidRDefault="00227D9C" w:rsidP="00F613D5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6F1FFE">
        <w:rPr>
          <w:b/>
          <w:bCs/>
          <w:sz w:val="20"/>
          <w:szCs w:val="20"/>
        </w:rPr>
        <w:t>Results</w:t>
      </w:r>
    </w:p>
    <w:p w:rsidR="004C26C1" w:rsidRPr="006F1FFE" w:rsidRDefault="00943726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Thirty six patients with </w:t>
      </w:r>
      <w:r w:rsidR="008A5DC0" w:rsidRPr="006F1FFE">
        <w:rPr>
          <w:sz w:val="20"/>
          <w:szCs w:val="20"/>
        </w:rPr>
        <w:t xml:space="preserve">metastatic </w:t>
      </w:r>
      <w:r w:rsidRPr="006F1FFE">
        <w:rPr>
          <w:sz w:val="20"/>
          <w:szCs w:val="20"/>
        </w:rPr>
        <w:t xml:space="preserve">CRPC </w:t>
      </w:r>
      <w:r w:rsidR="008A5DC0" w:rsidRPr="006F1FFE">
        <w:rPr>
          <w:sz w:val="20"/>
          <w:szCs w:val="20"/>
        </w:rPr>
        <w:t>were included in this study. The median age at diagnosis of prostate cancer was 70 years (55-85 years).</w:t>
      </w:r>
    </w:p>
    <w:p w:rsidR="004C26C1" w:rsidRPr="006F1FFE" w:rsidRDefault="00CB3E2F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Table 1 describes the patients’ characteristics. </w:t>
      </w:r>
      <w:r w:rsidR="008A5DC0" w:rsidRPr="006F1FFE">
        <w:rPr>
          <w:sz w:val="20"/>
          <w:szCs w:val="20"/>
        </w:rPr>
        <w:t xml:space="preserve">Twenty eight patients (77.8%) had metastatic prostate </w:t>
      </w:r>
      <w:r w:rsidR="008A5DC0" w:rsidRPr="006F1FFE">
        <w:rPr>
          <w:sz w:val="20"/>
          <w:szCs w:val="20"/>
        </w:rPr>
        <w:lastRenderedPageBreak/>
        <w:t>cancer at initial presentation and 8 patients (22.2%) had non-metastatic disease but relapsed later on during follow up.</w:t>
      </w:r>
    </w:p>
    <w:p w:rsidR="004C26C1" w:rsidRPr="006F1FFE" w:rsidRDefault="008A5DC0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Prior to been treated with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, most patients (52.8%) had 3 </w:t>
      </w:r>
      <w:r w:rsidR="005F5135" w:rsidRPr="006F1FFE">
        <w:rPr>
          <w:sz w:val="20"/>
          <w:szCs w:val="20"/>
        </w:rPr>
        <w:t xml:space="preserve">consecutive </w:t>
      </w:r>
      <w:r w:rsidRPr="006F1FFE">
        <w:rPr>
          <w:sz w:val="20"/>
          <w:szCs w:val="20"/>
        </w:rPr>
        <w:t>lines of hormonal treatment</w:t>
      </w:r>
      <w:r w:rsidR="00CB3E2F" w:rsidRPr="006F1FFE">
        <w:rPr>
          <w:sz w:val="20"/>
          <w:szCs w:val="20"/>
        </w:rPr>
        <w:t xml:space="preserve"> and eventually developed CRPC</w:t>
      </w:r>
      <w:r w:rsidRPr="006F1FFE">
        <w:rPr>
          <w:sz w:val="20"/>
          <w:szCs w:val="20"/>
        </w:rPr>
        <w:t xml:space="preserve">. </w:t>
      </w:r>
      <w:r w:rsidR="005712CE" w:rsidRPr="006F1FFE">
        <w:rPr>
          <w:sz w:val="20"/>
          <w:szCs w:val="20"/>
        </w:rPr>
        <w:t xml:space="preserve">Eleven </w:t>
      </w:r>
      <w:r w:rsidRPr="006F1FFE">
        <w:rPr>
          <w:sz w:val="20"/>
          <w:szCs w:val="20"/>
        </w:rPr>
        <w:t xml:space="preserve">patients (30.6%) received </w:t>
      </w:r>
      <w:proofErr w:type="spellStart"/>
      <w:r w:rsidRPr="006F1FFE">
        <w:rPr>
          <w:sz w:val="20"/>
          <w:szCs w:val="20"/>
        </w:rPr>
        <w:t>docetaxel</w:t>
      </w:r>
      <w:proofErr w:type="spellEnd"/>
      <w:r w:rsidRPr="006F1FFE">
        <w:rPr>
          <w:sz w:val="20"/>
          <w:szCs w:val="20"/>
        </w:rPr>
        <w:t xml:space="preserve"> chemotherapy following failure of hormonal treatment</w:t>
      </w:r>
      <w:r w:rsidR="00341D23" w:rsidRPr="006F1FFE">
        <w:rPr>
          <w:sz w:val="20"/>
          <w:szCs w:val="20"/>
        </w:rPr>
        <w:t xml:space="preserve"> lines</w:t>
      </w:r>
      <w:r w:rsidRPr="006F1FFE">
        <w:rPr>
          <w:sz w:val="20"/>
          <w:szCs w:val="20"/>
        </w:rPr>
        <w:t>.</w:t>
      </w:r>
      <w:r w:rsidR="0034123F" w:rsidRPr="006F1FFE">
        <w:rPr>
          <w:sz w:val="20"/>
          <w:szCs w:val="20"/>
        </w:rPr>
        <w:t xml:space="preserve"> </w:t>
      </w:r>
      <w:r w:rsidR="00341D23" w:rsidRPr="006F1FFE">
        <w:rPr>
          <w:sz w:val="20"/>
          <w:szCs w:val="20"/>
        </w:rPr>
        <w:t>As well, a</w:t>
      </w:r>
      <w:r w:rsidR="00CB3E2F" w:rsidRPr="006F1FFE">
        <w:rPr>
          <w:sz w:val="20"/>
          <w:szCs w:val="20"/>
        </w:rPr>
        <w:t xml:space="preserve">ll patients continued on </w:t>
      </w:r>
      <w:r w:rsidR="00452916" w:rsidRPr="006F1FFE">
        <w:rPr>
          <w:color w:val="000000"/>
          <w:sz w:val="20"/>
          <w:szCs w:val="20"/>
        </w:rPr>
        <w:t>LHRH</w:t>
      </w:r>
      <w:r w:rsidR="00CB3E2F" w:rsidRPr="006F1FFE">
        <w:rPr>
          <w:color w:val="000000"/>
          <w:sz w:val="20"/>
          <w:szCs w:val="20"/>
        </w:rPr>
        <w:t xml:space="preserve"> analogues</w:t>
      </w:r>
      <w:r w:rsidR="006D40F9" w:rsidRPr="006F1FFE">
        <w:rPr>
          <w:sz w:val="20"/>
          <w:szCs w:val="20"/>
        </w:rPr>
        <w:t>.</w:t>
      </w:r>
    </w:p>
    <w:p w:rsidR="004C26C1" w:rsidRPr="006F1FFE" w:rsidRDefault="008A5DC0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At the start of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, </w:t>
      </w:r>
      <w:r w:rsidR="005712CE" w:rsidRPr="006F1FFE">
        <w:rPr>
          <w:sz w:val="20"/>
          <w:szCs w:val="20"/>
        </w:rPr>
        <w:t>21(58.3%) patients had one site of metastases</w:t>
      </w:r>
      <w:r w:rsidR="00BE31F5" w:rsidRPr="006F1FFE">
        <w:rPr>
          <w:sz w:val="20"/>
          <w:szCs w:val="20"/>
        </w:rPr>
        <w:t xml:space="preserve"> and 15 patients (41.4%)</w:t>
      </w:r>
      <w:r w:rsidR="005712CE" w:rsidRPr="006F1FFE">
        <w:rPr>
          <w:sz w:val="20"/>
          <w:szCs w:val="20"/>
        </w:rPr>
        <w:t xml:space="preserve"> </w:t>
      </w:r>
      <w:r w:rsidR="00DC29B9" w:rsidRPr="006F1FFE">
        <w:rPr>
          <w:sz w:val="20"/>
          <w:szCs w:val="20"/>
        </w:rPr>
        <w:t xml:space="preserve">had </w:t>
      </w:r>
      <w:r w:rsidR="00DC29B9" w:rsidRPr="006F1FFE">
        <w:rPr>
          <w:sz w:val="20"/>
          <w:szCs w:val="20"/>
        </w:rPr>
        <w:lastRenderedPageBreak/>
        <w:t xml:space="preserve">2 or more sites. </w:t>
      </w:r>
      <w:r w:rsidR="00452916" w:rsidRPr="006F1FFE">
        <w:rPr>
          <w:sz w:val="20"/>
          <w:szCs w:val="20"/>
        </w:rPr>
        <w:t>Eighteen</w:t>
      </w:r>
      <w:r w:rsidRPr="006F1FFE">
        <w:rPr>
          <w:sz w:val="20"/>
          <w:szCs w:val="20"/>
        </w:rPr>
        <w:t xml:space="preserve"> patients (50%)</w:t>
      </w:r>
      <w:r w:rsidR="00452916" w:rsidRPr="006F1FFE">
        <w:rPr>
          <w:sz w:val="20"/>
          <w:szCs w:val="20"/>
        </w:rPr>
        <w:t xml:space="preserve"> had bone metastases only. The other 18 patients had lymph nodes involvement or visceral metastases with or without bone metastases as shown in table 1.</w:t>
      </w:r>
      <w:r w:rsidRPr="006F1FFE">
        <w:rPr>
          <w:sz w:val="20"/>
          <w:szCs w:val="20"/>
        </w:rPr>
        <w:t xml:space="preserve"> </w:t>
      </w:r>
      <w:r w:rsidR="00DC29B9" w:rsidRPr="006F1FFE">
        <w:rPr>
          <w:sz w:val="20"/>
          <w:szCs w:val="20"/>
        </w:rPr>
        <w:t xml:space="preserve">Most patients with bone metastases had 10-20 sites </w:t>
      </w:r>
      <w:r w:rsidR="008C5007" w:rsidRPr="006F1FFE">
        <w:rPr>
          <w:sz w:val="20"/>
          <w:szCs w:val="20"/>
        </w:rPr>
        <w:t xml:space="preserve">of metastases </w:t>
      </w:r>
      <w:r w:rsidR="00DC29B9" w:rsidRPr="006F1FFE">
        <w:rPr>
          <w:sz w:val="20"/>
          <w:szCs w:val="20"/>
        </w:rPr>
        <w:t>(72.2%)</w:t>
      </w:r>
      <w:r w:rsidR="008C5007" w:rsidRPr="006F1FFE">
        <w:rPr>
          <w:sz w:val="20"/>
          <w:szCs w:val="20"/>
        </w:rPr>
        <w:t xml:space="preserve">. </w:t>
      </w:r>
      <w:r w:rsidRPr="006F1FFE">
        <w:rPr>
          <w:sz w:val="20"/>
          <w:szCs w:val="20"/>
        </w:rPr>
        <w:t xml:space="preserve">Twenty six patients had </w:t>
      </w:r>
      <w:r w:rsidR="008C5007" w:rsidRPr="006F1FFE">
        <w:rPr>
          <w:sz w:val="20"/>
          <w:szCs w:val="20"/>
        </w:rPr>
        <w:t xml:space="preserve">Eastern Cooperative Oncology Group (ECOG) </w:t>
      </w:r>
      <w:r w:rsidRPr="006F1FFE">
        <w:rPr>
          <w:sz w:val="20"/>
          <w:szCs w:val="20"/>
        </w:rPr>
        <w:t>performance status (PS) of 1</w:t>
      </w:r>
      <w:r w:rsidR="004A1EDC" w:rsidRPr="006F1FFE">
        <w:rPr>
          <w:sz w:val="20"/>
          <w:szCs w:val="20"/>
        </w:rPr>
        <w:t xml:space="preserve"> </w:t>
      </w:r>
      <w:r w:rsidRPr="006F1FFE">
        <w:rPr>
          <w:sz w:val="20"/>
          <w:szCs w:val="20"/>
        </w:rPr>
        <w:t xml:space="preserve">(72.2%) and 10 (27.8%) had PS of 2. </w:t>
      </w:r>
      <w:proofErr w:type="spellStart"/>
      <w:r w:rsidR="00925E0C" w:rsidRPr="006F1FFE">
        <w:rPr>
          <w:sz w:val="20"/>
          <w:szCs w:val="20"/>
        </w:rPr>
        <w:t>Enzalutamide</w:t>
      </w:r>
      <w:proofErr w:type="spellEnd"/>
      <w:r w:rsidR="00925E0C" w:rsidRPr="006F1FFE">
        <w:rPr>
          <w:sz w:val="20"/>
          <w:szCs w:val="20"/>
        </w:rPr>
        <w:t xml:space="preserve"> was given in 4 weekly cycles</w:t>
      </w:r>
      <w:r w:rsidR="009A3E57" w:rsidRPr="006F1FFE">
        <w:rPr>
          <w:sz w:val="20"/>
          <w:szCs w:val="20"/>
        </w:rPr>
        <w:t xml:space="preserve"> with a</w:t>
      </w:r>
      <w:r w:rsidRPr="006F1FFE">
        <w:rPr>
          <w:sz w:val="20"/>
          <w:szCs w:val="20"/>
        </w:rPr>
        <w:t xml:space="preserve"> median of 5 cycles (range 1-15 cycles).</w:t>
      </w:r>
    </w:p>
    <w:p w:rsidR="00F613D5" w:rsidRPr="006F1FFE" w:rsidRDefault="00F613D5" w:rsidP="00F613D5">
      <w:pPr>
        <w:snapToGrid w:val="0"/>
        <w:jc w:val="center"/>
        <w:rPr>
          <w:b/>
          <w:bCs/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25B13" w:rsidRPr="006F1FFE" w:rsidRDefault="00425B13" w:rsidP="00F613D5">
      <w:pPr>
        <w:snapToGrid w:val="0"/>
        <w:jc w:val="center"/>
        <w:rPr>
          <w:b/>
          <w:bCs/>
          <w:sz w:val="20"/>
          <w:szCs w:val="20"/>
        </w:rPr>
      </w:pPr>
    </w:p>
    <w:p w:rsidR="00737473" w:rsidRPr="006F1FFE" w:rsidRDefault="00737473" w:rsidP="00F613D5">
      <w:pPr>
        <w:snapToGrid w:val="0"/>
        <w:jc w:val="center"/>
        <w:rPr>
          <w:sz w:val="20"/>
          <w:szCs w:val="20"/>
        </w:rPr>
      </w:pPr>
      <w:r w:rsidRPr="006F1FFE">
        <w:rPr>
          <w:b/>
          <w:bCs/>
          <w:sz w:val="20"/>
          <w:szCs w:val="20"/>
        </w:rPr>
        <w:t>Table 1: Patients Characteristics</w:t>
      </w:r>
    </w:p>
    <w:tbl>
      <w:tblPr>
        <w:tblW w:w="4598" w:type="pct"/>
        <w:jc w:val="center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02"/>
        <w:gridCol w:w="2951"/>
        <w:gridCol w:w="1361"/>
      </w:tblGrid>
      <w:tr w:rsidR="00AF2E44" w:rsidRPr="006F1FFE" w:rsidTr="006F1FFE">
        <w:trPr>
          <w:jc w:val="center"/>
        </w:trPr>
        <w:tc>
          <w:tcPr>
            <w:tcW w:w="4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N (%)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Relapse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Relapse with DM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8 (22.2)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Primary metastatic PC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28 (77.8)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 xml:space="preserve">N. Hormonal lines Prior to </w:t>
            </w:r>
            <w:proofErr w:type="spellStart"/>
            <w:r w:rsidRPr="006F1FFE">
              <w:rPr>
                <w:rFonts w:eastAsiaTheme="minorEastAsia"/>
                <w:sz w:val="20"/>
                <w:szCs w:val="20"/>
              </w:rPr>
              <w:t>Enzalutamide</w:t>
            </w:r>
            <w:proofErr w:type="spellEnd"/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Two lines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17 (47.2)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Three lines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19 (52.8)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 xml:space="preserve">Chemotherapy Prior to </w:t>
            </w:r>
            <w:proofErr w:type="spellStart"/>
            <w:r w:rsidRPr="006F1FFE">
              <w:rPr>
                <w:rFonts w:eastAsiaTheme="minorEastAsia"/>
                <w:sz w:val="20"/>
                <w:szCs w:val="20"/>
              </w:rPr>
              <w:t>Enzalutamide</w:t>
            </w:r>
            <w:proofErr w:type="spellEnd"/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Chemo-naive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25 (69.4)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6F1FFE">
              <w:rPr>
                <w:rFonts w:eastAsiaTheme="minorEastAsia"/>
                <w:sz w:val="20"/>
                <w:szCs w:val="20"/>
              </w:rPr>
              <w:t>Docetaxel</w:t>
            </w:r>
            <w:proofErr w:type="spellEnd"/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11 (30.6)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Metastatic diseases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One site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21 (58.3)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Two sites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15 (41.7)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Sites of Metastases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Bones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18 (50)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Bones and LN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670B88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12 (33.4</w:t>
            </w:r>
            <w:r w:rsidR="00737473" w:rsidRPr="006F1FFE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LN only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(8.3)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Bones</w:t>
            </w:r>
            <w:r w:rsidR="0034123F" w:rsidRPr="006F1FFE">
              <w:rPr>
                <w:rFonts w:eastAsiaTheme="minorEastAsia"/>
                <w:sz w:val="20"/>
                <w:szCs w:val="20"/>
              </w:rPr>
              <w:t xml:space="preserve"> </w:t>
            </w:r>
            <w:r w:rsidR="00592A9F" w:rsidRPr="006F1FFE">
              <w:rPr>
                <w:rFonts w:eastAsiaTheme="minorEastAsia"/>
                <w:sz w:val="20"/>
                <w:szCs w:val="20"/>
              </w:rPr>
              <w:t>&amp;</w:t>
            </w:r>
            <w:r w:rsidR="0034123F" w:rsidRPr="006F1FFE">
              <w:rPr>
                <w:rFonts w:eastAsiaTheme="minorEastAsia"/>
                <w:sz w:val="20"/>
                <w:szCs w:val="20"/>
              </w:rPr>
              <w:t xml:space="preserve"> </w:t>
            </w:r>
            <w:r w:rsidRPr="006F1FFE">
              <w:rPr>
                <w:rFonts w:eastAsiaTheme="minorEastAsia"/>
                <w:sz w:val="20"/>
                <w:szCs w:val="20"/>
              </w:rPr>
              <w:t>visceral met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(8.3)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N of bone metastases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0-9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(11.1)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10-20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26 (72.2)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&gt;20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(16.7)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Performance status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PS 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26 (72.2)</w:t>
            </w:r>
          </w:p>
        </w:tc>
      </w:tr>
      <w:tr w:rsidR="00AF2E44" w:rsidRPr="006F1FFE" w:rsidTr="006F1FFE">
        <w:trPr>
          <w:jc w:val="center"/>
        </w:trPr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PS 2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73" w:rsidRPr="006F1FFE" w:rsidRDefault="00737473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10 (27.8 )</w:t>
            </w:r>
          </w:p>
        </w:tc>
      </w:tr>
    </w:tbl>
    <w:p w:rsidR="00737473" w:rsidRPr="006F1FFE" w:rsidRDefault="00737473" w:rsidP="00F613D5">
      <w:pPr>
        <w:snapToGrid w:val="0"/>
        <w:jc w:val="both"/>
        <w:rPr>
          <w:sz w:val="20"/>
          <w:szCs w:val="20"/>
        </w:rPr>
      </w:pPr>
      <w:r w:rsidRPr="006F1FFE">
        <w:rPr>
          <w:b/>
          <w:bCs/>
          <w:sz w:val="20"/>
          <w:szCs w:val="20"/>
        </w:rPr>
        <w:t>N</w:t>
      </w:r>
      <w:r w:rsidRPr="006F1FFE">
        <w:rPr>
          <w:sz w:val="20"/>
          <w:szCs w:val="20"/>
        </w:rPr>
        <w:t xml:space="preserve">: number, </w:t>
      </w:r>
      <w:r w:rsidRPr="006F1FFE">
        <w:rPr>
          <w:b/>
          <w:bCs/>
          <w:sz w:val="20"/>
          <w:szCs w:val="20"/>
        </w:rPr>
        <w:t>DM:</w:t>
      </w:r>
      <w:r w:rsidRPr="006F1FFE">
        <w:rPr>
          <w:sz w:val="20"/>
          <w:szCs w:val="20"/>
        </w:rPr>
        <w:t xml:space="preserve"> distant metastases, </w:t>
      </w:r>
      <w:r w:rsidRPr="006F1FFE">
        <w:rPr>
          <w:b/>
          <w:bCs/>
          <w:sz w:val="20"/>
          <w:szCs w:val="20"/>
        </w:rPr>
        <w:t>PC:</w:t>
      </w:r>
      <w:r w:rsidRPr="006F1FFE">
        <w:rPr>
          <w:sz w:val="20"/>
          <w:szCs w:val="20"/>
        </w:rPr>
        <w:t xml:space="preserve"> prostate cancer, </w:t>
      </w:r>
      <w:r w:rsidRPr="006F1FFE">
        <w:rPr>
          <w:b/>
          <w:bCs/>
          <w:sz w:val="20"/>
          <w:szCs w:val="20"/>
        </w:rPr>
        <w:t>LN:</w:t>
      </w:r>
      <w:r w:rsidRPr="006F1FFE">
        <w:rPr>
          <w:sz w:val="20"/>
          <w:szCs w:val="20"/>
        </w:rPr>
        <w:t xml:space="preserve"> lymph nodes, </w:t>
      </w:r>
      <w:r w:rsidRPr="006F1FFE">
        <w:rPr>
          <w:b/>
          <w:bCs/>
          <w:sz w:val="20"/>
          <w:szCs w:val="20"/>
        </w:rPr>
        <w:t>met:</w:t>
      </w:r>
      <w:r w:rsidRPr="006F1FFE">
        <w:rPr>
          <w:sz w:val="20"/>
          <w:szCs w:val="20"/>
        </w:rPr>
        <w:t xml:space="preserve"> metastases.</w:t>
      </w:r>
    </w:p>
    <w:p w:rsidR="00737473" w:rsidRPr="006F1FFE" w:rsidRDefault="00737473" w:rsidP="00F613D5">
      <w:pPr>
        <w:snapToGrid w:val="0"/>
        <w:ind w:firstLine="425"/>
        <w:jc w:val="both"/>
        <w:rPr>
          <w:sz w:val="20"/>
          <w:szCs w:val="20"/>
        </w:rPr>
      </w:pPr>
    </w:p>
    <w:p w:rsidR="00F613D5" w:rsidRPr="006F1FFE" w:rsidRDefault="00F613D5" w:rsidP="00F613D5">
      <w:pPr>
        <w:snapToGrid w:val="0"/>
        <w:ind w:firstLine="425"/>
        <w:jc w:val="both"/>
        <w:rPr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4C26C1" w:rsidRPr="006F1FFE" w:rsidRDefault="00632B81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lastRenderedPageBreak/>
        <w:t xml:space="preserve">Table 2 describes the response to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among the study group. </w:t>
      </w:r>
      <w:r w:rsidR="008A5DC0" w:rsidRPr="006F1FFE">
        <w:rPr>
          <w:sz w:val="20"/>
          <w:szCs w:val="20"/>
        </w:rPr>
        <w:t xml:space="preserve">Overall, 27 patients (75%) responded to </w:t>
      </w:r>
      <w:proofErr w:type="spellStart"/>
      <w:r w:rsidR="008A5DC0" w:rsidRPr="006F1FFE">
        <w:rPr>
          <w:sz w:val="20"/>
          <w:szCs w:val="20"/>
        </w:rPr>
        <w:t>enzalutamide</w:t>
      </w:r>
      <w:proofErr w:type="spellEnd"/>
      <w:r w:rsidR="008A5DC0" w:rsidRPr="006F1FFE">
        <w:rPr>
          <w:sz w:val="20"/>
          <w:szCs w:val="20"/>
        </w:rPr>
        <w:t xml:space="preserve"> with decline in PSA as well as subjective improvement. Twenty one patients (58.3%) had </w:t>
      </w:r>
      <w:r w:rsidR="00AD5780" w:rsidRPr="006F1FFE">
        <w:rPr>
          <w:sz w:val="20"/>
          <w:szCs w:val="20"/>
        </w:rPr>
        <w:t>≥</w:t>
      </w:r>
      <w:r w:rsidR="008A5DC0" w:rsidRPr="006F1FFE">
        <w:rPr>
          <w:sz w:val="20"/>
          <w:szCs w:val="20"/>
        </w:rPr>
        <w:t xml:space="preserve">30% PSA response at 4 weeks assessment and 19 (52.8%) had </w:t>
      </w:r>
      <w:r w:rsidR="00AD5780" w:rsidRPr="006F1FFE">
        <w:rPr>
          <w:sz w:val="20"/>
          <w:szCs w:val="20"/>
        </w:rPr>
        <w:t>≥</w:t>
      </w:r>
      <w:r w:rsidR="008A5DC0" w:rsidRPr="006F1FFE">
        <w:rPr>
          <w:sz w:val="20"/>
          <w:szCs w:val="20"/>
        </w:rPr>
        <w:t>50% PSA response at 12 weeks.</w:t>
      </w:r>
    </w:p>
    <w:p w:rsidR="004C26C1" w:rsidRPr="006F1FFE" w:rsidRDefault="008A5DC0" w:rsidP="00F613D5">
      <w:pPr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Higher PSA response rates were seen in chemo-naive patients compared to those who had previous chemotherapy at 4 weeks assessment (68% versus 36.4%) and 12 weeks assessment (60% versus </w:t>
      </w:r>
      <w:r w:rsidRPr="006F1FFE">
        <w:rPr>
          <w:sz w:val="20"/>
          <w:szCs w:val="20"/>
        </w:rPr>
        <w:lastRenderedPageBreak/>
        <w:t xml:space="preserve">36.4%). Also higher responses were seen in patients with PS 1 compared to </w:t>
      </w:r>
      <w:r w:rsidR="00632B81" w:rsidRPr="006F1FFE">
        <w:rPr>
          <w:sz w:val="20"/>
          <w:szCs w:val="20"/>
        </w:rPr>
        <w:t xml:space="preserve">PS </w:t>
      </w:r>
      <w:r w:rsidRPr="006F1FFE">
        <w:rPr>
          <w:sz w:val="20"/>
          <w:szCs w:val="20"/>
        </w:rPr>
        <w:t>2 at 4 weeks (65.4% versus 40%) and at 12 weeks assessment (57.7% versus 40%)</w:t>
      </w:r>
      <w:r w:rsidR="00632B81" w:rsidRPr="006F1FFE">
        <w:rPr>
          <w:sz w:val="20"/>
          <w:szCs w:val="20"/>
        </w:rPr>
        <w:t xml:space="preserve">. Patients who had one site of metastases had higher PSA response than those who had more than 1 site (60% versus 50% at </w:t>
      </w:r>
      <w:r w:rsidR="001C5BBB" w:rsidRPr="006F1FFE">
        <w:rPr>
          <w:sz w:val="20"/>
          <w:szCs w:val="20"/>
        </w:rPr>
        <w:t>4 weeks and 55% versus 50% at 12 weeks respectively)</w:t>
      </w:r>
      <w:r w:rsidR="00660071" w:rsidRPr="006F1FFE">
        <w:rPr>
          <w:sz w:val="20"/>
          <w:szCs w:val="20"/>
        </w:rPr>
        <w:t>. Similarly, Higher PSA response</w:t>
      </w:r>
      <w:r w:rsidR="007B37F3" w:rsidRPr="006F1FFE">
        <w:rPr>
          <w:sz w:val="20"/>
          <w:szCs w:val="20"/>
        </w:rPr>
        <w:t>s</w:t>
      </w:r>
      <w:r w:rsidR="00660071" w:rsidRPr="006F1FFE">
        <w:rPr>
          <w:sz w:val="20"/>
          <w:szCs w:val="20"/>
        </w:rPr>
        <w:t xml:space="preserve"> were seen for patients with </w:t>
      </w:r>
      <w:r w:rsidR="00925E0C" w:rsidRPr="006F1FFE">
        <w:rPr>
          <w:sz w:val="20"/>
          <w:szCs w:val="20"/>
        </w:rPr>
        <w:t xml:space="preserve">only </w:t>
      </w:r>
      <w:r w:rsidR="00660071" w:rsidRPr="006F1FFE">
        <w:rPr>
          <w:sz w:val="20"/>
          <w:szCs w:val="20"/>
        </w:rPr>
        <w:t xml:space="preserve">bone metastases compared to patients who have had visceral and lymph node involvement </w:t>
      </w:r>
      <w:r w:rsidR="00925E0C" w:rsidRPr="006F1FFE">
        <w:rPr>
          <w:sz w:val="20"/>
          <w:szCs w:val="20"/>
        </w:rPr>
        <w:t>with or without</w:t>
      </w:r>
      <w:r w:rsidR="00660071" w:rsidRPr="006F1FFE">
        <w:rPr>
          <w:sz w:val="20"/>
          <w:szCs w:val="20"/>
        </w:rPr>
        <w:t xml:space="preserve"> bone metastases.</w:t>
      </w:r>
    </w:p>
    <w:p w:rsidR="00F613D5" w:rsidRPr="006F1FFE" w:rsidRDefault="00F613D5" w:rsidP="00F613D5">
      <w:pPr>
        <w:snapToGrid w:val="0"/>
        <w:ind w:firstLine="425"/>
        <w:jc w:val="both"/>
        <w:rPr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B301CC" w:rsidRPr="006F1FFE" w:rsidRDefault="00B301CC" w:rsidP="00F613D5">
      <w:pPr>
        <w:snapToGrid w:val="0"/>
        <w:ind w:firstLine="425"/>
        <w:jc w:val="both"/>
        <w:rPr>
          <w:sz w:val="20"/>
          <w:szCs w:val="20"/>
        </w:rPr>
      </w:pPr>
    </w:p>
    <w:p w:rsidR="0042120B" w:rsidRPr="006F1FFE" w:rsidRDefault="0042120B" w:rsidP="00F613D5">
      <w:pPr>
        <w:snapToGrid w:val="0"/>
        <w:jc w:val="center"/>
        <w:rPr>
          <w:sz w:val="20"/>
          <w:szCs w:val="20"/>
        </w:rPr>
      </w:pPr>
      <w:r w:rsidRPr="006F1FFE">
        <w:rPr>
          <w:b/>
          <w:bCs/>
          <w:sz w:val="20"/>
          <w:szCs w:val="20"/>
        </w:rPr>
        <w:t xml:space="preserve">Table (2) Prostate Specific Antigen Response to </w:t>
      </w:r>
      <w:proofErr w:type="spellStart"/>
      <w:r w:rsidRPr="006F1FFE">
        <w:rPr>
          <w:b/>
          <w:bCs/>
          <w:sz w:val="20"/>
          <w:szCs w:val="20"/>
        </w:rPr>
        <w:t>Enzalutamide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25"/>
        <w:gridCol w:w="1842"/>
        <w:gridCol w:w="848"/>
        <w:gridCol w:w="1942"/>
        <w:gridCol w:w="848"/>
      </w:tblGrid>
      <w:tr w:rsidR="00AF2E44" w:rsidRPr="006F1FFE" w:rsidTr="00F613D5">
        <w:trPr>
          <w:tblHeader/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PSA Responses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Response at</w:t>
            </w:r>
            <w:r w:rsidR="00F613D5" w:rsidRPr="006F1FFE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4 weeks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Response at 12 weeks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N (%)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21 (58.3)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19 (52.8)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(16.7)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8 (22.2)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9 (25)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9 (25)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In relation to previous chemotherapy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Chemo-naïve (25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17 (68)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15 (60)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 (8)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(16)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(24)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(24)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Prior chemotherapy (11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(36.4)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(36.4)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(36.4)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(36.4)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(27.</w:t>
            </w:r>
            <w:r w:rsidR="00EA1375" w:rsidRPr="006F1FFE">
              <w:rPr>
                <w:rFonts w:eastAsiaTheme="minorEastAsia"/>
                <w:sz w:val="20"/>
                <w:szCs w:val="20"/>
              </w:rPr>
              <w:t>2</w:t>
            </w:r>
            <w:r w:rsidRPr="006F1FFE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(27.</w:t>
            </w:r>
            <w:r w:rsidR="00EA1375" w:rsidRPr="006F1FFE">
              <w:rPr>
                <w:rFonts w:eastAsiaTheme="minorEastAsia"/>
                <w:sz w:val="20"/>
                <w:szCs w:val="20"/>
              </w:rPr>
              <w:t>2</w:t>
            </w:r>
            <w:r w:rsidRPr="006F1FFE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In relation to PS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PS 1 (26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17 (65.4)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15 (57.7)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(15.4)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(23.1)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5 (19.2)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5 (19.2)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PS2 (10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(40)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(40)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 (20)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 (20)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(40)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(40)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In relation to number of metastatic sites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One site (20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13 (60)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11 (55)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4 (20)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(30)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(20)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Two or more sites (16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8 (50)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8 (50)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 (12.5)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2 (12.5)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(37.5)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(37.5)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1FFE">
              <w:rPr>
                <w:rFonts w:eastAsiaTheme="minorEastAsia"/>
                <w:b/>
                <w:bCs/>
                <w:sz w:val="20"/>
                <w:szCs w:val="20"/>
              </w:rPr>
              <w:t>Types of metastases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Bone only (18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12 (66.6)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10 (55.5)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5 (27.8)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(16.7)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Visceral and LN met. Present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(18 patients)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9 (50)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9 (50)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3 (16.7)</w:t>
            </w:r>
          </w:p>
        </w:tc>
      </w:tr>
      <w:tr w:rsidR="00AF2E44" w:rsidRPr="006F1FFE" w:rsidTr="00F613D5">
        <w:trPr>
          <w:jc w:val="center"/>
        </w:trPr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(33.3)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6F1FFE" w:rsidRDefault="0042120B" w:rsidP="00F613D5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6F1FFE">
              <w:rPr>
                <w:rFonts w:eastAsiaTheme="minorEastAsia"/>
                <w:sz w:val="20"/>
                <w:szCs w:val="20"/>
              </w:rPr>
              <w:t>6 (33.3)</w:t>
            </w:r>
          </w:p>
        </w:tc>
      </w:tr>
    </w:tbl>
    <w:p w:rsidR="0042120B" w:rsidRPr="006F1FFE" w:rsidRDefault="0042120B" w:rsidP="00F613D5">
      <w:pPr>
        <w:snapToGrid w:val="0"/>
        <w:jc w:val="both"/>
        <w:rPr>
          <w:sz w:val="20"/>
          <w:szCs w:val="20"/>
        </w:rPr>
      </w:pPr>
      <w:r w:rsidRPr="006F1FFE">
        <w:rPr>
          <w:b/>
          <w:bCs/>
          <w:sz w:val="20"/>
          <w:szCs w:val="20"/>
        </w:rPr>
        <w:t>PSA:</w:t>
      </w:r>
      <w:r w:rsidRPr="006F1FFE">
        <w:rPr>
          <w:sz w:val="20"/>
          <w:szCs w:val="20"/>
        </w:rPr>
        <w:t xml:space="preserve"> Prostate Specific Antigen, </w:t>
      </w:r>
      <w:r w:rsidRPr="006F1FFE">
        <w:rPr>
          <w:b/>
          <w:bCs/>
          <w:sz w:val="20"/>
          <w:szCs w:val="20"/>
        </w:rPr>
        <w:t>PS:</w:t>
      </w:r>
      <w:r w:rsidRPr="006F1FFE">
        <w:rPr>
          <w:sz w:val="20"/>
          <w:szCs w:val="20"/>
        </w:rPr>
        <w:t xml:space="preserve"> performance status, </w:t>
      </w:r>
      <w:r w:rsidRPr="006F1FFE">
        <w:rPr>
          <w:b/>
          <w:bCs/>
          <w:sz w:val="20"/>
          <w:szCs w:val="20"/>
        </w:rPr>
        <w:t>PD:</w:t>
      </w:r>
      <w:r w:rsidRPr="006F1FFE">
        <w:rPr>
          <w:sz w:val="20"/>
          <w:szCs w:val="20"/>
        </w:rPr>
        <w:t xml:space="preserve"> progressive disease (≥25%).</w:t>
      </w:r>
    </w:p>
    <w:p w:rsidR="007B37F3" w:rsidRPr="006F1FFE" w:rsidRDefault="007B37F3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4123F" w:rsidRPr="006F1FFE" w:rsidRDefault="004407BD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6F1FFE">
        <w:rPr>
          <w:noProof/>
          <w:sz w:val="20"/>
          <w:szCs w:val="20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5.1pt;height:251.05pt;visibility:visible;mso-wrap-style:square">
            <v:imagedata r:id="rId13" o:title="" croptop="4858f" cropbottom="1623f"/>
          </v:shape>
        </w:pict>
      </w:r>
    </w:p>
    <w:p w:rsidR="0034123F" w:rsidRPr="006F1FFE" w:rsidRDefault="0034123F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F613D5" w:rsidRPr="006F1FFE" w:rsidRDefault="00F613D5" w:rsidP="00F613D5">
      <w:pPr>
        <w:snapToGrid w:val="0"/>
        <w:ind w:firstLine="425"/>
        <w:jc w:val="both"/>
        <w:rPr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4C26C1" w:rsidRPr="006F1FFE" w:rsidRDefault="008A5DC0" w:rsidP="00F613D5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6F1FFE">
        <w:rPr>
          <w:sz w:val="20"/>
          <w:szCs w:val="20"/>
        </w:rPr>
        <w:lastRenderedPageBreak/>
        <w:t xml:space="preserve">The </w:t>
      </w:r>
      <w:r w:rsidR="0042120B" w:rsidRPr="006F1FFE">
        <w:rPr>
          <w:sz w:val="20"/>
          <w:szCs w:val="20"/>
        </w:rPr>
        <w:t>median progression free survival</w:t>
      </w:r>
      <w:r w:rsidR="004A1EDC" w:rsidRPr="006F1FFE">
        <w:rPr>
          <w:sz w:val="20"/>
          <w:szCs w:val="20"/>
        </w:rPr>
        <w:t xml:space="preserve"> duration</w:t>
      </w:r>
      <w:r w:rsidR="0042120B" w:rsidRPr="006F1FFE">
        <w:rPr>
          <w:sz w:val="20"/>
          <w:szCs w:val="20"/>
        </w:rPr>
        <w:t xml:space="preserve"> (PFS) </w:t>
      </w:r>
      <w:r w:rsidRPr="006F1FFE">
        <w:rPr>
          <w:sz w:val="20"/>
          <w:szCs w:val="20"/>
        </w:rPr>
        <w:t>was 5 months (range 1-</w:t>
      </w:r>
      <w:r w:rsidR="003F788A" w:rsidRPr="006F1FFE">
        <w:rPr>
          <w:sz w:val="20"/>
          <w:szCs w:val="20"/>
        </w:rPr>
        <w:t>12</w:t>
      </w:r>
      <w:r w:rsidRPr="006F1FFE">
        <w:rPr>
          <w:sz w:val="20"/>
          <w:szCs w:val="20"/>
        </w:rPr>
        <w:t xml:space="preserve"> months) and 1 year PFS probability was 37.5%</w:t>
      </w:r>
      <w:r w:rsidR="00B25BCC" w:rsidRPr="006F1FFE">
        <w:rPr>
          <w:sz w:val="20"/>
          <w:szCs w:val="20"/>
        </w:rPr>
        <w:t xml:space="preserve"> (figure 1)</w:t>
      </w:r>
      <w:r w:rsidRPr="006F1FFE">
        <w:rPr>
          <w:sz w:val="20"/>
          <w:szCs w:val="20"/>
        </w:rPr>
        <w:t xml:space="preserve">. </w:t>
      </w:r>
      <w:r w:rsidR="008F4B4B" w:rsidRPr="006F1FFE">
        <w:rPr>
          <w:sz w:val="20"/>
          <w:szCs w:val="20"/>
        </w:rPr>
        <w:t>S</w:t>
      </w:r>
      <w:r w:rsidR="00C252F1" w:rsidRPr="006F1FFE">
        <w:rPr>
          <w:sz w:val="20"/>
          <w:szCs w:val="20"/>
        </w:rPr>
        <w:t xml:space="preserve">lightly higher PFS </w:t>
      </w:r>
      <w:r w:rsidR="00C252F1" w:rsidRPr="006F1FFE">
        <w:rPr>
          <w:rFonts w:eastAsia="OTNEJMQuadraat"/>
          <w:sz w:val="20"/>
          <w:szCs w:val="20"/>
        </w:rPr>
        <w:t>was noticed</w:t>
      </w:r>
      <w:r w:rsidR="00D30E06" w:rsidRPr="006F1FFE">
        <w:rPr>
          <w:rFonts w:eastAsia="OTNEJMQuadraat"/>
          <w:sz w:val="20"/>
          <w:szCs w:val="20"/>
        </w:rPr>
        <w:t xml:space="preserve"> for chemo-naïve patients compared </w:t>
      </w:r>
      <w:r w:rsidR="00D30E06" w:rsidRPr="006F1FFE">
        <w:rPr>
          <w:rFonts w:eastAsia="OTNEJMQuadraat"/>
          <w:sz w:val="20"/>
          <w:szCs w:val="20"/>
        </w:rPr>
        <w:lastRenderedPageBreak/>
        <w:t xml:space="preserve">to </w:t>
      </w:r>
      <w:r w:rsidR="00C252F1" w:rsidRPr="006F1FFE">
        <w:rPr>
          <w:rFonts w:eastAsia="OTNEJMQuadraat"/>
          <w:sz w:val="20"/>
          <w:szCs w:val="20"/>
        </w:rPr>
        <w:t xml:space="preserve">those who had </w:t>
      </w:r>
      <w:r w:rsidR="00D30E06" w:rsidRPr="006F1FFE">
        <w:rPr>
          <w:rFonts w:eastAsia="OTNEJMQuadraat"/>
          <w:sz w:val="20"/>
          <w:szCs w:val="20"/>
        </w:rPr>
        <w:t xml:space="preserve">prior </w:t>
      </w:r>
      <w:proofErr w:type="spellStart"/>
      <w:r w:rsidR="00D30E06" w:rsidRPr="006F1FFE">
        <w:rPr>
          <w:rFonts w:eastAsia="OTNEJMQuadraat"/>
          <w:sz w:val="20"/>
          <w:szCs w:val="20"/>
        </w:rPr>
        <w:t>docetaxel</w:t>
      </w:r>
      <w:proofErr w:type="spellEnd"/>
      <w:r w:rsidR="00D30E06" w:rsidRPr="006F1FFE">
        <w:rPr>
          <w:rFonts w:eastAsia="OTNEJMQuadraat"/>
          <w:sz w:val="20"/>
          <w:szCs w:val="20"/>
        </w:rPr>
        <w:t xml:space="preserve"> chemotherapy (6 versus 5 months re</w:t>
      </w:r>
      <w:r w:rsidR="006D0C4C" w:rsidRPr="006F1FFE">
        <w:rPr>
          <w:rFonts w:eastAsia="OTNEJMQuadraat"/>
          <w:sz w:val="20"/>
          <w:szCs w:val="20"/>
        </w:rPr>
        <w:t>spectively; P</w:t>
      </w:r>
      <w:r w:rsidR="0042120B" w:rsidRPr="006F1FFE">
        <w:rPr>
          <w:rFonts w:eastAsia="OTNEJMQuadraat"/>
          <w:sz w:val="20"/>
          <w:szCs w:val="20"/>
        </w:rPr>
        <w:t xml:space="preserve"> 0.794)</w:t>
      </w:r>
      <w:r w:rsidR="00B25BCC" w:rsidRPr="006F1FFE">
        <w:rPr>
          <w:rFonts w:eastAsia="OTNEJMQuadraat"/>
          <w:sz w:val="20"/>
          <w:szCs w:val="20"/>
        </w:rPr>
        <w:t xml:space="preserve"> (figure 2)</w:t>
      </w:r>
      <w:r w:rsidR="0042120B" w:rsidRPr="006F1FFE">
        <w:rPr>
          <w:rFonts w:eastAsia="OTNEJMQuadraat"/>
          <w:sz w:val="20"/>
          <w:szCs w:val="20"/>
        </w:rPr>
        <w:t>.</w:t>
      </w:r>
    </w:p>
    <w:p w:rsidR="004C26C1" w:rsidRPr="006F1FFE" w:rsidRDefault="00B25BCC" w:rsidP="00F613D5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6F1FFE">
        <w:rPr>
          <w:sz w:val="20"/>
          <w:szCs w:val="20"/>
        </w:rPr>
        <w:t xml:space="preserve">Higher PFS was seen in patients who achieved ≥30% PSA response at 4 weeks (median not reached) </w:t>
      </w:r>
      <w:r w:rsidR="00082D42" w:rsidRPr="006F1FFE">
        <w:rPr>
          <w:sz w:val="20"/>
          <w:szCs w:val="20"/>
        </w:rPr>
        <w:t xml:space="preserve">(P 0.17) </w:t>
      </w:r>
      <w:r w:rsidRPr="006F1FFE">
        <w:rPr>
          <w:sz w:val="20"/>
          <w:szCs w:val="20"/>
        </w:rPr>
        <w:t xml:space="preserve">and ≥50% PSA response at 12 weeks </w:t>
      </w:r>
      <w:r w:rsidRPr="006F1FFE">
        <w:rPr>
          <w:sz w:val="20"/>
          <w:szCs w:val="20"/>
        </w:rPr>
        <w:lastRenderedPageBreak/>
        <w:t>assessments (median not reached)</w:t>
      </w:r>
      <w:r w:rsidR="008F4B4B" w:rsidRPr="006F1FFE">
        <w:rPr>
          <w:sz w:val="20"/>
          <w:szCs w:val="20"/>
        </w:rPr>
        <w:t xml:space="preserve"> (P 0.018)</w:t>
      </w:r>
      <w:r w:rsidRPr="006F1FFE">
        <w:rPr>
          <w:sz w:val="20"/>
          <w:szCs w:val="20"/>
        </w:rPr>
        <w:t xml:space="preserve">. One year PFS was 66% and 65% respectively in those patients (figure 3 and 4). </w:t>
      </w:r>
      <w:r w:rsidR="00042754" w:rsidRPr="006F1FFE">
        <w:rPr>
          <w:rFonts w:eastAsia="OTNEJMQuadraat"/>
          <w:sz w:val="20"/>
          <w:szCs w:val="20"/>
        </w:rPr>
        <w:t xml:space="preserve">Median PFS durations were 6 and 5 months for patients </w:t>
      </w:r>
      <w:r w:rsidR="006D0C4C" w:rsidRPr="006F1FFE">
        <w:rPr>
          <w:rFonts w:eastAsia="OTNEJMQuadraat"/>
          <w:sz w:val="20"/>
          <w:szCs w:val="20"/>
        </w:rPr>
        <w:t>with PS1 and PS2 respectively (P</w:t>
      </w:r>
      <w:r w:rsidR="00042754" w:rsidRPr="006F1FFE">
        <w:rPr>
          <w:rFonts w:eastAsia="OTNEJMQuadraat"/>
          <w:sz w:val="20"/>
          <w:szCs w:val="20"/>
        </w:rPr>
        <w:t xml:space="preserve"> 0.851). Similar findings were observed in relation to the numbe</w:t>
      </w:r>
      <w:r w:rsidR="006D0C4C" w:rsidRPr="006F1FFE">
        <w:rPr>
          <w:rFonts w:eastAsia="OTNEJMQuadraat"/>
          <w:sz w:val="20"/>
          <w:szCs w:val="20"/>
        </w:rPr>
        <w:t>r of metastases sites (P</w:t>
      </w:r>
      <w:r w:rsidR="003F66F2" w:rsidRPr="006F1FFE">
        <w:rPr>
          <w:rFonts w:eastAsia="OTNEJMQuadraat"/>
          <w:sz w:val="20"/>
          <w:szCs w:val="20"/>
        </w:rPr>
        <w:t xml:space="preserve"> 0.776).</w:t>
      </w:r>
    </w:p>
    <w:p w:rsidR="004C26C1" w:rsidRPr="006F1FFE" w:rsidRDefault="001C5BBB" w:rsidP="00F613D5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6F1FFE">
        <w:rPr>
          <w:sz w:val="20"/>
          <w:szCs w:val="20"/>
        </w:rPr>
        <w:t xml:space="preserve">The </w:t>
      </w:r>
      <w:r w:rsidR="008A5DC0" w:rsidRPr="006F1FFE">
        <w:rPr>
          <w:sz w:val="20"/>
          <w:szCs w:val="20"/>
        </w:rPr>
        <w:t xml:space="preserve">median </w:t>
      </w:r>
      <w:r w:rsidR="007B37F3" w:rsidRPr="006F1FFE">
        <w:rPr>
          <w:sz w:val="20"/>
          <w:szCs w:val="20"/>
        </w:rPr>
        <w:t xml:space="preserve">overall </w:t>
      </w:r>
      <w:r w:rsidR="008A5DC0" w:rsidRPr="006F1FFE">
        <w:rPr>
          <w:sz w:val="20"/>
          <w:szCs w:val="20"/>
        </w:rPr>
        <w:t xml:space="preserve">survival </w:t>
      </w:r>
      <w:r w:rsidR="007B37F3" w:rsidRPr="006F1FFE">
        <w:rPr>
          <w:sz w:val="20"/>
          <w:szCs w:val="20"/>
        </w:rPr>
        <w:t xml:space="preserve">(OS) </w:t>
      </w:r>
      <w:r w:rsidR="00180B13" w:rsidRPr="006F1FFE">
        <w:rPr>
          <w:sz w:val="20"/>
          <w:szCs w:val="20"/>
        </w:rPr>
        <w:t xml:space="preserve">duration </w:t>
      </w:r>
      <w:r w:rsidR="008A5DC0" w:rsidRPr="006F1FFE">
        <w:rPr>
          <w:sz w:val="20"/>
          <w:szCs w:val="20"/>
        </w:rPr>
        <w:t xml:space="preserve">since starting </w:t>
      </w:r>
      <w:proofErr w:type="spellStart"/>
      <w:r w:rsidR="008A5DC0" w:rsidRPr="006F1FFE">
        <w:rPr>
          <w:sz w:val="20"/>
          <w:szCs w:val="20"/>
        </w:rPr>
        <w:t>enzalutamide</w:t>
      </w:r>
      <w:proofErr w:type="spellEnd"/>
      <w:r w:rsidR="008A5DC0" w:rsidRPr="006F1FFE">
        <w:rPr>
          <w:sz w:val="20"/>
          <w:szCs w:val="20"/>
        </w:rPr>
        <w:t xml:space="preserve"> was 14 months and 1 year OS is </w:t>
      </w:r>
      <w:r w:rsidR="008A5DC0" w:rsidRPr="006F1FFE">
        <w:rPr>
          <w:sz w:val="20"/>
          <w:szCs w:val="20"/>
        </w:rPr>
        <w:lastRenderedPageBreak/>
        <w:t>52%</w:t>
      </w:r>
      <w:r w:rsidRPr="006F1FFE">
        <w:rPr>
          <w:sz w:val="20"/>
          <w:szCs w:val="20"/>
        </w:rPr>
        <w:t xml:space="preserve"> (figure 5)</w:t>
      </w:r>
      <w:r w:rsidR="008A5DC0" w:rsidRPr="006F1FFE">
        <w:rPr>
          <w:sz w:val="20"/>
          <w:szCs w:val="20"/>
        </w:rPr>
        <w:t>.</w:t>
      </w:r>
      <w:r w:rsidR="001635AA" w:rsidRPr="006F1FFE">
        <w:rPr>
          <w:sz w:val="20"/>
          <w:szCs w:val="20"/>
        </w:rPr>
        <w:t xml:space="preserve"> </w:t>
      </w:r>
      <w:r w:rsidR="00745C69" w:rsidRPr="006F1FFE">
        <w:rPr>
          <w:sz w:val="20"/>
          <w:szCs w:val="20"/>
        </w:rPr>
        <w:t>T</w:t>
      </w:r>
      <w:r w:rsidR="0075625C" w:rsidRPr="006F1FFE">
        <w:rPr>
          <w:sz w:val="20"/>
          <w:szCs w:val="20"/>
        </w:rPr>
        <w:t xml:space="preserve">he median </w:t>
      </w:r>
      <w:r w:rsidR="00180B13" w:rsidRPr="006F1FFE">
        <w:rPr>
          <w:sz w:val="20"/>
          <w:szCs w:val="20"/>
        </w:rPr>
        <w:t xml:space="preserve">OS duration </w:t>
      </w:r>
      <w:r w:rsidR="0075625C" w:rsidRPr="006F1FFE">
        <w:rPr>
          <w:sz w:val="20"/>
          <w:szCs w:val="20"/>
        </w:rPr>
        <w:t>was 14 months for chemo-</w:t>
      </w:r>
      <w:r w:rsidR="00745C69" w:rsidRPr="006F1FFE">
        <w:rPr>
          <w:sz w:val="20"/>
          <w:szCs w:val="20"/>
        </w:rPr>
        <w:t>naïve compared to 11 months for patien</w:t>
      </w:r>
      <w:r w:rsidR="006D0C4C" w:rsidRPr="006F1FFE">
        <w:rPr>
          <w:sz w:val="20"/>
          <w:szCs w:val="20"/>
        </w:rPr>
        <w:t>ts who had prior chemotherapy (P</w:t>
      </w:r>
      <w:r w:rsidR="0034123F" w:rsidRPr="006F1FFE">
        <w:rPr>
          <w:sz w:val="20"/>
          <w:szCs w:val="20"/>
        </w:rPr>
        <w:t xml:space="preserve"> </w:t>
      </w:r>
      <w:r w:rsidR="00B25BCC" w:rsidRPr="006F1FFE">
        <w:rPr>
          <w:sz w:val="20"/>
          <w:szCs w:val="20"/>
        </w:rPr>
        <w:t>0.109), (</w:t>
      </w:r>
      <w:r w:rsidR="00B25BCC" w:rsidRPr="006F1FFE">
        <w:rPr>
          <w:rFonts w:eastAsia="OTNEJMQuadraat"/>
          <w:sz w:val="20"/>
          <w:szCs w:val="20"/>
        </w:rPr>
        <w:t>f</w:t>
      </w:r>
      <w:r w:rsidR="0042120B" w:rsidRPr="006F1FFE">
        <w:rPr>
          <w:rFonts w:eastAsia="OTNEJMQuadraat"/>
          <w:sz w:val="20"/>
          <w:szCs w:val="20"/>
        </w:rPr>
        <w:t xml:space="preserve">igures </w:t>
      </w:r>
      <w:r w:rsidR="00425B13" w:rsidRPr="006F1FFE">
        <w:rPr>
          <w:rFonts w:eastAsia="OTNEJMQuadraat"/>
          <w:sz w:val="20"/>
          <w:szCs w:val="20"/>
        </w:rPr>
        <w:t>6</w:t>
      </w:r>
      <w:r w:rsidR="00B25BCC" w:rsidRPr="006F1FFE">
        <w:rPr>
          <w:rFonts w:eastAsia="OTNEJMQuadraat"/>
          <w:sz w:val="20"/>
          <w:szCs w:val="20"/>
        </w:rPr>
        <w:t>)</w:t>
      </w:r>
      <w:r w:rsidR="0042120B" w:rsidRPr="006F1FFE">
        <w:rPr>
          <w:rFonts w:eastAsia="OTNEJMQuadraat"/>
          <w:sz w:val="20"/>
          <w:szCs w:val="20"/>
        </w:rPr>
        <w:t>.</w:t>
      </w:r>
    </w:p>
    <w:p w:rsidR="00C142D7" w:rsidRPr="006F1FFE" w:rsidRDefault="008A5DC0" w:rsidP="00F613D5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was well tolerated with only </w:t>
      </w:r>
      <w:r w:rsidR="00AD5780" w:rsidRPr="006F1FFE">
        <w:rPr>
          <w:sz w:val="20"/>
          <w:szCs w:val="20"/>
        </w:rPr>
        <w:t xml:space="preserve">2 </w:t>
      </w:r>
      <w:r w:rsidRPr="006F1FFE">
        <w:rPr>
          <w:sz w:val="20"/>
          <w:szCs w:val="20"/>
        </w:rPr>
        <w:t>patient</w:t>
      </w:r>
      <w:r w:rsidR="00AD5780" w:rsidRPr="006F1FFE">
        <w:rPr>
          <w:sz w:val="20"/>
          <w:szCs w:val="20"/>
        </w:rPr>
        <w:t>s</w:t>
      </w:r>
      <w:r w:rsidRPr="006F1FFE">
        <w:rPr>
          <w:sz w:val="20"/>
          <w:szCs w:val="20"/>
        </w:rPr>
        <w:t xml:space="preserve"> </w:t>
      </w:r>
      <w:r w:rsidR="00660071" w:rsidRPr="006F1FFE">
        <w:rPr>
          <w:sz w:val="20"/>
          <w:szCs w:val="20"/>
        </w:rPr>
        <w:t xml:space="preserve">did need to have </w:t>
      </w:r>
      <w:r w:rsidRPr="006F1FFE">
        <w:rPr>
          <w:sz w:val="20"/>
          <w:szCs w:val="20"/>
        </w:rPr>
        <w:t>had dose reduction. Si</w:t>
      </w:r>
      <w:r w:rsidR="001C5BBB" w:rsidRPr="006F1FFE">
        <w:rPr>
          <w:sz w:val="20"/>
          <w:szCs w:val="20"/>
        </w:rPr>
        <w:t>de effects included hot flushes, gastrointestinal</w:t>
      </w:r>
      <w:r w:rsidRPr="006F1FFE">
        <w:rPr>
          <w:sz w:val="20"/>
          <w:szCs w:val="20"/>
        </w:rPr>
        <w:t xml:space="preserve"> upset</w:t>
      </w:r>
      <w:r w:rsidR="001C5BBB" w:rsidRPr="006F1FFE">
        <w:rPr>
          <w:sz w:val="20"/>
          <w:szCs w:val="20"/>
        </w:rPr>
        <w:t xml:space="preserve"> and grade 1 hypertension in </w:t>
      </w:r>
      <w:r w:rsidR="00660071" w:rsidRPr="006F1FFE">
        <w:rPr>
          <w:sz w:val="20"/>
          <w:szCs w:val="20"/>
        </w:rPr>
        <w:t>3</w:t>
      </w:r>
      <w:r w:rsidR="001C5BBB" w:rsidRPr="006F1FFE">
        <w:rPr>
          <w:sz w:val="20"/>
          <w:szCs w:val="20"/>
        </w:rPr>
        <w:t xml:space="preserve"> patients</w:t>
      </w:r>
      <w:r w:rsidR="00660071" w:rsidRPr="006F1FFE">
        <w:rPr>
          <w:b/>
          <w:bCs/>
          <w:sz w:val="20"/>
          <w:szCs w:val="20"/>
        </w:rPr>
        <w:t xml:space="preserve"> </w:t>
      </w:r>
      <w:r w:rsidR="00660071" w:rsidRPr="006F1FFE">
        <w:rPr>
          <w:sz w:val="20"/>
          <w:szCs w:val="20"/>
        </w:rPr>
        <w:t>(8.3%</w:t>
      </w:r>
      <w:r w:rsidR="001C5BBB" w:rsidRPr="006F1FFE">
        <w:rPr>
          <w:sz w:val="20"/>
          <w:szCs w:val="20"/>
        </w:rPr>
        <w:t>)</w:t>
      </w:r>
      <w:r w:rsidRPr="006F1FFE">
        <w:rPr>
          <w:sz w:val="20"/>
          <w:szCs w:val="20"/>
        </w:rPr>
        <w:t>.</w:t>
      </w:r>
    </w:p>
    <w:p w:rsidR="00F613D5" w:rsidRPr="006F1FFE" w:rsidRDefault="00F613D5" w:rsidP="00F613D5">
      <w:pPr>
        <w:snapToGrid w:val="0"/>
        <w:ind w:firstLine="425"/>
        <w:jc w:val="both"/>
        <w:rPr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B25BCC" w:rsidRPr="006F1FFE" w:rsidRDefault="00B25BCC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4123F" w:rsidRPr="006F1FFE" w:rsidRDefault="0034123F" w:rsidP="00F613D5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521D42" w:rsidRPr="006F1FFE" w:rsidRDefault="004407BD" w:rsidP="00F613D5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F1FFE">
        <w:rPr>
          <w:noProof/>
          <w:sz w:val="20"/>
          <w:szCs w:val="20"/>
          <w:lang w:val="en-US" w:eastAsia="zh-CN"/>
        </w:rPr>
        <w:pict>
          <v:shape id="Picture 6" o:spid="_x0000_i1026" type="#_x0000_t75" style="width:406.35pt;height:253.55pt;visibility:visible;mso-wrap-style:square">
            <v:imagedata r:id="rId14" o:title="" croptop="4545f"/>
          </v:shape>
        </w:pict>
      </w:r>
    </w:p>
    <w:p w:rsidR="00082D42" w:rsidRPr="006F1FFE" w:rsidRDefault="004407BD" w:rsidP="00F613D5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F1FFE">
        <w:rPr>
          <w:noProof/>
          <w:sz w:val="20"/>
          <w:szCs w:val="20"/>
          <w:lang w:val="en-US" w:eastAsia="zh-CN"/>
        </w:rPr>
        <w:pict>
          <v:shape id="Picture 3" o:spid="_x0000_i1027" type="#_x0000_t75" style="width:403.2pt;height:256.7pt;visibility:visible;mso-wrap-style:square">
            <v:imagedata r:id="rId15" o:title=""/>
          </v:shape>
        </w:pict>
      </w:r>
    </w:p>
    <w:p w:rsidR="00082D42" w:rsidRPr="006F1FFE" w:rsidRDefault="00082D42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082D42" w:rsidRPr="006F1FFE" w:rsidRDefault="00082D42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8F7627" w:rsidRPr="006F1FFE" w:rsidRDefault="004407BD" w:rsidP="00F613D5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F1FFE">
        <w:rPr>
          <w:noProof/>
          <w:sz w:val="20"/>
          <w:szCs w:val="20"/>
          <w:lang w:val="en-US" w:eastAsia="zh-CN"/>
        </w:rPr>
        <w:pict>
          <v:shape id="Picture 4" o:spid="_x0000_i1028" type="#_x0000_t75" style="width:382.55pt;height:208.5pt;visibility:visible;mso-wrap-style:square">
            <v:imagedata r:id="rId16" o:title=""/>
          </v:shape>
        </w:pict>
      </w:r>
    </w:p>
    <w:p w:rsidR="00B25BCC" w:rsidRPr="006F1FFE" w:rsidRDefault="004407BD" w:rsidP="00F613D5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F1FFE">
        <w:rPr>
          <w:noProof/>
          <w:sz w:val="20"/>
          <w:szCs w:val="20"/>
          <w:lang w:val="en-US" w:eastAsia="zh-CN"/>
        </w:rPr>
        <w:pict>
          <v:shape id="Picture 9" o:spid="_x0000_i1029" type="#_x0000_t75" style="width:388.8pt;height:207.25pt;visibility:visible;mso-wrap-style:square">
            <v:imagedata r:id="rId17" o:title=""/>
          </v:shape>
        </w:pict>
      </w:r>
    </w:p>
    <w:p w:rsidR="00C6790A" w:rsidRPr="006F1FFE" w:rsidRDefault="00C6790A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42120B" w:rsidRPr="006F1FFE" w:rsidRDefault="004407BD" w:rsidP="00F613D5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F1FFE">
        <w:rPr>
          <w:noProof/>
          <w:sz w:val="20"/>
          <w:szCs w:val="20"/>
          <w:lang w:val="en-US" w:eastAsia="zh-CN"/>
        </w:rPr>
        <w:pict>
          <v:shape id="Picture 1" o:spid="_x0000_i1030" type="#_x0000_t75" style="width:401.95pt;height:200.35pt;visibility:visible;mso-wrap-style:square">
            <v:imagedata r:id="rId18" o:title="" croptop="4763f"/>
          </v:shape>
        </w:pict>
      </w:r>
    </w:p>
    <w:p w:rsidR="00F613D5" w:rsidRDefault="00F613D5" w:rsidP="00F613D5">
      <w:pPr>
        <w:autoSpaceDE w:val="0"/>
        <w:autoSpaceDN w:val="0"/>
        <w:adjustRightInd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6F1FFE" w:rsidRPr="006F1FFE" w:rsidRDefault="006F1FFE" w:rsidP="00F613D5">
      <w:pPr>
        <w:autoSpaceDE w:val="0"/>
        <w:autoSpaceDN w:val="0"/>
        <w:adjustRightInd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  <w:sectPr w:rsidR="006F1FFE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1D7428" w:rsidRPr="006F1FFE" w:rsidRDefault="006D0C4C" w:rsidP="00F613D5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6F1FFE">
        <w:rPr>
          <w:b/>
          <w:bCs/>
          <w:sz w:val="20"/>
          <w:szCs w:val="20"/>
        </w:rPr>
        <w:lastRenderedPageBreak/>
        <w:t>Discussion</w:t>
      </w:r>
    </w:p>
    <w:p w:rsidR="004C26C1" w:rsidRPr="006F1FFE" w:rsidRDefault="00337DD4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There is increasing preclinical and clinical evidence that the androgen receptors (AR) remain active in castration resistant prostate cancer (CRPC). The </w:t>
      </w:r>
      <w:r w:rsidR="003F66F2" w:rsidRPr="006F1FFE">
        <w:rPr>
          <w:sz w:val="20"/>
          <w:szCs w:val="20"/>
        </w:rPr>
        <w:t xml:space="preserve">persistence of AR signalling is </w:t>
      </w:r>
      <w:proofErr w:type="gramStart"/>
      <w:r w:rsidRPr="006F1FFE">
        <w:rPr>
          <w:sz w:val="20"/>
          <w:szCs w:val="20"/>
        </w:rPr>
        <w:t>key</w:t>
      </w:r>
      <w:proofErr w:type="gramEnd"/>
      <w:r w:rsidRPr="006F1FFE">
        <w:rPr>
          <w:sz w:val="20"/>
          <w:szCs w:val="20"/>
        </w:rPr>
        <w:t xml:space="preserve"> t</w:t>
      </w:r>
      <w:r w:rsidR="0075472E" w:rsidRPr="006F1FFE">
        <w:rPr>
          <w:sz w:val="20"/>
          <w:szCs w:val="20"/>
        </w:rPr>
        <w:t>o prostate cancer progression [13</w:t>
      </w:r>
      <w:r w:rsidRPr="006F1FFE">
        <w:rPr>
          <w:sz w:val="20"/>
          <w:szCs w:val="20"/>
        </w:rPr>
        <w:t xml:space="preserve">, </w:t>
      </w:r>
      <w:r w:rsidR="0075472E" w:rsidRPr="006F1FFE">
        <w:rPr>
          <w:sz w:val="20"/>
          <w:szCs w:val="20"/>
        </w:rPr>
        <w:t>14].</w:t>
      </w:r>
      <w:r w:rsidR="0034123F" w:rsidRPr="006F1FFE">
        <w:rPr>
          <w:sz w:val="20"/>
          <w:szCs w:val="20"/>
        </w:rPr>
        <w:t xml:space="preserve"> </w:t>
      </w:r>
      <w:r w:rsidR="001D7428" w:rsidRPr="006F1FFE">
        <w:rPr>
          <w:sz w:val="20"/>
          <w:szCs w:val="20"/>
        </w:rPr>
        <w:t xml:space="preserve">Novel approaches that target the </w:t>
      </w:r>
      <w:r w:rsidRPr="006F1FFE">
        <w:rPr>
          <w:sz w:val="20"/>
          <w:szCs w:val="20"/>
        </w:rPr>
        <w:t>AR</w:t>
      </w:r>
      <w:r w:rsidR="001D7428" w:rsidRPr="006F1FFE">
        <w:rPr>
          <w:sz w:val="20"/>
          <w:szCs w:val="20"/>
        </w:rPr>
        <w:t xml:space="preserve"> signalling axis in CRPC patients are hormonal agents similar to </w:t>
      </w:r>
      <w:proofErr w:type="spellStart"/>
      <w:r w:rsidR="001D7428" w:rsidRPr="006F1FFE">
        <w:rPr>
          <w:sz w:val="20"/>
          <w:szCs w:val="20"/>
        </w:rPr>
        <w:t>abiraterone</w:t>
      </w:r>
      <w:proofErr w:type="spellEnd"/>
      <w:r w:rsidR="001D7428" w:rsidRPr="006F1FFE">
        <w:rPr>
          <w:sz w:val="20"/>
          <w:szCs w:val="20"/>
        </w:rPr>
        <w:t xml:space="preserve"> and </w:t>
      </w:r>
      <w:proofErr w:type="spellStart"/>
      <w:r w:rsidR="001D7428" w:rsidRPr="006F1FFE">
        <w:rPr>
          <w:sz w:val="20"/>
          <w:szCs w:val="20"/>
        </w:rPr>
        <w:t>enzalutamide</w:t>
      </w:r>
      <w:proofErr w:type="spellEnd"/>
      <w:r w:rsidR="001D7428" w:rsidRPr="006F1FFE">
        <w:rPr>
          <w:sz w:val="20"/>
          <w:szCs w:val="20"/>
        </w:rPr>
        <w:t xml:space="preserve"> which demonst</w:t>
      </w:r>
      <w:r w:rsidR="00D33701" w:rsidRPr="006F1FFE">
        <w:rPr>
          <w:sz w:val="20"/>
          <w:szCs w:val="20"/>
        </w:rPr>
        <w:t>rated improved overall survival.</w:t>
      </w:r>
    </w:p>
    <w:p w:rsidR="004C26C1" w:rsidRPr="006F1FFE" w:rsidRDefault="001D7428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binds to the AR with eight times m</w:t>
      </w:r>
      <w:r w:rsidR="008B061F" w:rsidRPr="006F1FFE">
        <w:rPr>
          <w:sz w:val="20"/>
          <w:szCs w:val="20"/>
        </w:rPr>
        <w:t xml:space="preserve">ore affinity than </w:t>
      </w:r>
      <w:proofErr w:type="spellStart"/>
      <w:r w:rsidR="008B061F" w:rsidRPr="006F1FFE">
        <w:rPr>
          <w:sz w:val="20"/>
          <w:szCs w:val="20"/>
        </w:rPr>
        <w:t>bicalutamide</w:t>
      </w:r>
      <w:proofErr w:type="spellEnd"/>
      <w:r w:rsidR="003F66F2" w:rsidRPr="006F1FFE">
        <w:rPr>
          <w:sz w:val="20"/>
          <w:szCs w:val="20"/>
        </w:rPr>
        <w:t>.</w:t>
      </w:r>
      <w:r w:rsidR="008B061F" w:rsidRPr="006F1FFE">
        <w:rPr>
          <w:sz w:val="20"/>
          <w:szCs w:val="20"/>
        </w:rPr>
        <w:t xml:space="preserve"> </w:t>
      </w:r>
      <w:proofErr w:type="spellStart"/>
      <w:r w:rsidR="00FF6B21" w:rsidRPr="006F1FFE">
        <w:rPr>
          <w:sz w:val="20"/>
          <w:szCs w:val="20"/>
        </w:rPr>
        <w:t>Enzalutamide</w:t>
      </w:r>
      <w:proofErr w:type="spellEnd"/>
      <w:r w:rsidR="00FF6B21" w:rsidRPr="006F1FFE">
        <w:rPr>
          <w:sz w:val="20"/>
          <w:szCs w:val="20"/>
        </w:rPr>
        <w:t xml:space="preserve"> is administrated without corticosteroid and has shown improvement in overall survival in both the pre and post chemotherapy settings</w:t>
      </w:r>
      <w:r w:rsidR="003F66F2" w:rsidRPr="006F1FFE">
        <w:rPr>
          <w:sz w:val="20"/>
          <w:szCs w:val="20"/>
        </w:rPr>
        <w:t xml:space="preserve"> [15, 16]</w:t>
      </w:r>
      <w:r w:rsidR="00FF6B21" w:rsidRPr="006F1FFE">
        <w:rPr>
          <w:sz w:val="20"/>
          <w:szCs w:val="20"/>
        </w:rPr>
        <w:t>.</w:t>
      </w:r>
    </w:p>
    <w:p w:rsidR="004C26C1" w:rsidRPr="006F1FFE" w:rsidRDefault="008B061F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was tested in the phase III </w:t>
      </w:r>
      <w:r w:rsidR="00D33701" w:rsidRPr="006F1FFE">
        <w:rPr>
          <w:sz w:val="20"/>
          <w:szCs w:val="20"/>
        </w:rPr>
        <w:t xml:space="preserve">AFFIRM trial </w:t>
      </w:r>
      <w:r w:rsidRPr="006F1FFE">
        <w:rPr>
          <w:sz w:val="20"/>
          <w:szCs w:val="20"/>
        </w:rPr>
        <w:t xml:space="preserve">which </w:t>
      </w:r>
      <w:r w:rsidR="00D33701" w:rsidRPr="006F1FFE">
        <w:rPr>
          <w:sz w:val="20"/>
          <w:szCs w:val="20"/>
        </w:rPr>
        <w:t xml:space="preserve">was a randomised study of </w:t>
      </w:r>
      <w:proofErr w:type="spellStart"/>
      <w:r w:rsidR="00D33701" w:rsidRPr="006F1FFE">
        <w:rPr>
          <w:sz w:val="20"/>
          <w:szCs w:val="20"/>
        </w:rPr>
        <w:t>enzalutamide</w:t>
      </w:r>
      <w:proofErr w:type="spellEnd"/>
      <w:r w:rsidR="00D33701" w:rsidRPr="006F1FFE">
        <w:rPr>
          <w:sz w:val="20"/>
          <w:szCs w:val="20"/>
        </w:rPr>
        <w:t xml:space="preserve"> 160 mg/m2 or placebo in patients with metastatic CRPC who had previously received </w:t>
      </w:r>
      <w:proofErr w:type="spellStart"/>
      <w:r w:rsidR="00D33701" w:rsidRPr="006F1FFE">
        <w:rPr>
          <w:sz w:val="20"/>
          <w:szCs w:val="20"/>
        </w:rPr>
        <w:t>docetaxel</w:t>
      </w:r>
      <w:proofErr w:type="spellEnd"/>
      <w:r w:rsidR="00D33701" w:rsidRPr="006F1FFE">
        <w:rPr>
          <w:sz w:val="20"/>
          <w:szCs w:val="20"/>
        </w:rPr>
        <w:t xml:space="preserve">. </w:t>
      </w:r>
      <w:r w:rsidR="00734748" w:rsidRPr="006F1FFE">
        <w:rPr>
          <w:rFonts w:eastAsia="OTNEJMQuadraat"/>
          <w:sz w:val="20"/>
          <w:szCs w:val="20"/>
        </w:rPr>
        <w:t xml:space="preserve">The median </w:t>
      </w:r>
      <w:r w:rsidR="00EE61B1" w:rsidRPr="006F1FFE">
        <w:rPr>
          <w:rFonts w:eastAsia="OTNEJMQuadraat"/>
          <w:sz w:val="20"/>
          <w:szCs w:val="20"/>
        </w:rPr>
        <w:t>OS</w:t>
      </w:r>
      <w:r w:rsidR="00734748" w:rsidRPr="006F1FFE">
        <w:rPr>
          <w:rFonts w:eastAsia="OTNEJMQuadraat"/>
          <w:sz w:val="20"/>
          <w:szCs w:val="20"/>
        </w:rPr>
        <w:t xml:space="preserve"> was 18.4 months in the </w:t>
      </w:r>
      <w:proofErr w:type="spellStart"/>
      <w:r w:rsidR="00734748" w:rsidRPr="006F1FFE">
        <w:rPr>
          <w:rFonts w:eastAsia="OTNEJMQuadraat"/>
          <w:sz w:val="20"/>
          <w:szCs w:val="20"/>
        </w:rPr>
        <w:t>enzalutamide</w:t>
      </w:r>
      <w:proofErr w:type="spellEnd"/>
      <w:r w:rsidR="00734748" w:rsidRPr="006F1FFE">
        <w:rPr>
          <w:rFonts w:eastAsia="OTNEJMQuadraat"/>
          <w:sz w:val="20"/>
          <w:szCs w:val="20"/>
        </w:rPr>
        <w:t xml:space="preserve"> group versus 13.6 months in the placebo group. The superiority of </w:t>
      </w:r>
      <w:proofErr w:type="spellStart"/>
      <w:r w:rsidR="00734748" w:rsidRPr="006F1FFE">
        <w:rPr>
          <w:rFonts w:eastAsia="OTNEJMQuadraat"/>
          <w:sz w:val="20"/>
          <w:szCs w:val="20"/>
        </w:rPr>
        <w:t>enzalutamide</w:t>
      </w:r>
      <w:proofErr w:type="spellEnd"/>
      <w:r w:rsidR="00734748" w:rsidRPr="006F1FFE">
        <w:rPr>
          <w:rFonts w:eastAsia="OTNEJMQuadraat"/>
          <w:sz w:val="20"/>
          <w:szCs w:val="20"/>
        </w:rPr>
        <w:t xml:space="preserve"> over placebo was shown with respect to all secondary end points: the proportion of patients with a reduction in </w:t>
      </w:r>
      <w:r w:rsidR="006D0C4C" w:rsidRPr="006F1FFE">
        <w:rPr>
          <w:rFonts w:eastAsia="OTNEJMQuadraat"/>
          <w:sz w:val="20"/>
          <w:szCs w:val="20"/>
        </w:rPr>
        <w:t>PSA</w:t>
      </w:r>
      <w:r w:rsidR="00734748" w:rsidRPr="006F1FFE">
        <w:rPr>
          <w:rFonts w:eastAsia="OTNEJMQuadraat"/>
          <w:sz w:val="20"/>
          <w:szCs w:val="20"/>
        </w:rPr>
        <w:t xml:space="preserve"> level by 50% or more (54% vs. 2%, P&lt;0.001), the quality-of-life response rate (43% vs. 18%, P&lt;0.001), the time to PSA progression</w:t>
      </w:r>
      <w:r w:rsidR="0075472E" w:rsidRPr="006F1FFE">
        <w:rPr>
          <w:rFonts w:eastAsia="OTNEJMQuadraat"/>
          <w:sz w:val="20"/>
          <w:szCs w:val="20"/>
        </w:rPr>
        <w:t xml:space="preserve"> (8.3 vs. 3.0 months; P&lt;0.001) [</w:t>
      </w:r>
      <w:r w:rsidR="0075472E" w:rsidRPr="006F1FFE">
        <w:rPr>
          <w:rFonts w:eastAsia="OTNEJMScalaSansLF"/>
          <w:sz w:val="20"/>
          <w:szCs w:val="20"/>
        </w:rPr>
        <w:t>6]</w:t>
      </w:r>
      <w:r w:rsidR="00660071" w:rsidRPr="006F1FFE">
        <w:rPr>
          <w:sz w:val="20"/>
          <w:szCs w:val="20"/>
        </w:rPr>
        <w:t>.</w:t>
      </w:r>
    </w:p>
    <w:p w:rsidR="004C26C1" w:rsidRPr="006F1FFE" w:rsidRDefault="00EE61B1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6F1FFE">
        <w:rPr>
          <w:rFonts w:eastAsia="OTNEJMQuadraat"/>
          <w:sz w:val="20"/>
          <w:szCs w:val="20"/>
        </w:rPr>
        <w:t>T</w:t>
      </w:r>
      <w:r w:rsidR="00680FF5" w:rsidRPr="006F1FFE">
        <w:rPr>
          <w:rFonts w:eastAsia="OTNEJMQuadraat"/>
          <w:sz w:val="20"/>
          <w:szCs w:val="20"/>
        </w:rPr>
        <w:t>he PREVAIL study</w:t>
      </w:r>
      <w:r w:rsidR="00C65316" w:rsidRPr="006F1FFE">
        <w:rPr>
          <w:rFonts w:eastAsia="OTNEJMQuadraat"/>
          <w:sz w:val="20"/>
          <w:szCs w:val="20"/>
        </w:rPr>
        <w:t xml:space="preserve">, evaluated </w:t>
      </w:r>
      <w:proofErr w:type="spellStart"/>
      <w:r w:rsidR="00C65316" w:rsidRPr="006F1FFE">
        <w:rPr>
          <w:rFonts w:eastAsia="OTNEJMQuadraat"/>
          <w:sz w:val="20"/>
          <w:szCs w:val="20"/>
        </w:rPr>
        <w:t>enzalutamide</w:t>
      </w:r>
      <w:proofErr w:type="spellEnd"/>
      <w:r w:rsidR="00C65316" w:rsidRPr="006F1FFE">
        <w:rPr>
          <w:rFonts w:eastAsia="OTNEJMQuadraat"/>
          <w:sz w:val="20"/>
          <w:szCs w:val="20"/>
        </w:rPr>
        <w:t xml:space="preserve"> </w:t>
      </w:r>
      <w:r w:rsidR="007F5B2C" w:rsidRPr="006F1FFE">
        <w:rPr>
          <w:rFonts w:eastAsia="OTNEJMQuadraat"/>
          <w:sz w:val="20"/>
          <w:szCs w:val="20"/>
        </w:rPr>
        <w:t xml:space="preserve">versus </w:t>
      </w:r>
      <w:r w:rsidR="00C65316" w:rsidRPr="006F1FFE">
        <w:rPr>
          <w:rFonts w:eastAsia="OTNEJMQuadraat"/>
          <w:sz w:val="20"/>
          <w:szCs w:val="20"/>
        </w:rPr>
        <w:t xml:space="preserve">placebo in the chemo-naïve patients with metastatic CRPC. There was </w:t>
      </w:r>
      <w:r w:rsidR="00C65316" w:rsidRPr="006F1FFE">
        <w:rPr>
          <w:color w:val="000000"/>
          <w:sz w:val="20"/>
          <w:szCs w:val="20"/>
        </w:rPr>
        <w:t xml:space="preserve">29% reduction in the risk of death in the </w:t>
      </w:r>
      <w:proofErr w:type="spellStart"/>
      <w:r w:rsidR="00C65316" w:rsidRPr="006F1FFE">
        <w:rPr>
          <w:color w:val="000000"/>
          <w:sz w:val="20"/>
          <w:szCs w:val="20"/>
        </w:rPr>
        <w:t>enzalutamide</w:t>
      </w:r>
      <w:proofErr w:type="spellEnd"/>
      <w:r w:rsidR="00C65316" w:rsidRPr="006F1FFE">
        <w:rPr>
          <w:color w:val="000000"/>
          <w:sz w:val="20"/>
          <w:szCs w:val="20"/>
        </w:rPr>
        <w:t xml:space="preserve"> group. The benefit of </w:t>
      </w:r>
      <w:proofErr w:type="spellStart"/>
      <w:r w:rsidR="00C65316" w:rsidRPr="006F1FFE">
        <w:rPr>
          <w:color w:val="000000"/>
          <w:sz w:val="20"/>
          <w:szCs w:val="20"/>
        </w:rPr>
        <w:t>enzalutamide</w:t>
      </w:r>
      <w:proofErr w:type="spellEnd"/>
      <w:r w:rsidR="00C65316" w:rsidRPr="006F1FFE">
        <w:rPr>
          <w:color w:val="000000"/>
          <w:sz w:val="20"/>
          <w:szCs w:val="20"/>
        </w:rPr>
        <w:t xml:space="preserve"> was shown with respect to all secondary end points, including the time until the initiation of </w:t>
      </w:r>
      <w:proofErr w:type="spellStart"/>
      <w:r w:rsidR="00C65316" w:rsidRPr="006F1FFE">
        <w:rPr>
          <w:color w:val="000000"/>
          <w:sz w:val="20"/>
          <w:szCs w:val="20"/>
        </w:rPr>
        <w:t>cytotoxic</w:t>
      </w:r>
      <w:proofErr w:type="spellEnd"/>
      <w:r w:rsidR="00C65316" w:rsidRPr="006F1FFE">
        <w:rPr>
          <w:color w:val="000000"/>
          <w:sz w:val="20"/>
          <w:szCs w:val="20"/>
        </w:rPr>
        <w:t xml:space="preserve"> chemotherapy (hazard ratio, 0.35), the time until the first skeletal-related event (hazard ratio, 0.72), a complete or partial soft-tissue response (59% vs. 5%), the time until </w:t>
      </w:r>
      <w:r w:rsidR="006D0C4C" w:rsidRPr="006F1FFE">
        <w:rPr>
          <w:color w:val="000000"/>
          <w:sz w:val="20"/>
          <w:szCs w:val="20"/>
        </w:rPr>
        <w:t>PSA</w:t>
      </w:r>
      <w:r w:rsidR="00C65316" w:rsidRPr="006F1FFE">
        <w:rPr>
          <w:color w:val="000000"/>
          <w:sz w:val="20"/>
          <w:szCs w:val="20"/>
        </w:rPr>
        <w:t xml:space="preserve"> progression (hazard ratio, 0.17), and a rate of decline of at least 50% in PSA (78% vs. 3%) </w:t>
      </w:r>
      <w:proofErr w:type="gramStart"/>
      <w:r w:rsidR="00C65316" w:rsidRPr="006F1FFE">
        <w:rPr>
          <w:color w:val="000000"/>
          <w:sz w:val="20"/>
          <w:szCs w:val="20"/>
        </w:rPr>
        <w:t>(P&lt;0.001 for all comparisons).</w:t>
      </w:r>
      <w:proofErr w:type="gramEnd"/>
      <w:r w:rsidR="00C65316" w:rsidRPr="006F1FFE">
        <w:rPr>
          <w:color w:val="000000"/>
          <w:sz w:val="20"/>
          <w:szCs w:val="20"/>
        </w:rPr>
        <w:t xml:space="preserve"> Fatigue and hypertension were the most common clinically relevant adverse events associated with </w:t>
      </w:r>
      <w:proofErr w:type="spellStart"/>
      <w:r w:rsidR="00C65316" w:rsidRPr="006F1FFE">
        <w:rPr>
          <w:color w:val="000000"/>
          <w:sz w:val="20"/>
          <w:szCs w:val="20"/>
        </w:rPr>
        <w:t>enzalutamide</w:t>
      </w:r>
      <w:proofErr w:type="spellEnd"/>
      <w:r w:rsidR="00C65316" w:rsidRPr="006F1FFE">
        <w:rPr>
          <w:color w:val="000000"/>
          <w:sz w:val="20"/>
          <w:szCs w:val="20"/>
        </w:rPr>
        <w:t xml:space="preserve"> treatment</w:t>
      </w:r>
      <w:r w:rsidR="0075472E" w:rsidRPr="006F1FFE">
        <w:rPr>
          <w:color w:val="000000"/>
          <w:sz w:val="20"/>
          <w:szCs w:val="20"/>
        </w:rPr>
        <w:t xml:space="preserve"> [7]</w:t>
      </w:r>
      <w:r w:rsidR="00FD26D3" w:rsidRPr="006F1FFE">
        <w:rPr>
          <w:color w:val="000000"/>
          <w:sz w:val="20"/>
          <w:szCs w:val="20"/>
        </w:rPr>
        <w:t>.</w:t>
      </w:r>
    </w:p>
    <w:p w:rsidR="004C26C1" w:rsidRPr="006F1FFE" w:rsidRDefault="00EE61B1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6F1FFE">
        <w:rPr>
          <w:rFonts w:eastAsia="OTNEJMQuadraat"/>
          <w:sz w:val="20"/>
          <w:szCs w:val="20"/>
        </w:rPr>
        <w:t xml:space="preserve">In our study, 11 patients received </w:t>
      </w:r>
      <w:proofErr w:type="spellStart"/>
      <w:r w:rsidRPr="006F1FFE">
        <w:rPr>
          <w:rFonts w:eastAsia="OTNEJMQuadraat"/>
          <w:sz w:val="20"/>
          <w:szCs w:val="20"/>
        </w:rPr>
        <w:t>docetaxel</w:t>
      </w:r>
      <w:proofErr w:type="spellEnd"/>
      <w:r w:rsidRPr="006F1FFE">
        <w:rPr>
          <w:rFonts w:eastAsia="OTNEJMQuadraat"/>
          <w:sz w:val="20"/>
          <w:szCs w:val="20"/>
        </w:rPr>
        <w:t xml:space="preserve"> prior to </w:t>
      </w:r>
      <w:proofErr w:type="spellStart"/>
      <w:r w:rsidRPr="006F1FFE">
        <w:rPr>
          <w:rFonts w:eastAsia="OTNEJMQuadraat"/>
          <w:sz w:val="20"/>
          <w:szCs w:val="20"/>
        </w:rPr>
        <w:t>enzalutamide</w:t>
      </w:r>
      <w:proofErr w:type="spellEnd"/>
      <w:r w:rsidRPr="006F1FFE">
        <w:rPr>
          <w:rFonts w:eastAsia="OTNEJMQuadraat"/>
          <w:sz w:val="20"/>
          <w:szCs w:val="20"/>
        </w:rPr>
        <w:t xml:space="preserve">. Four of them (36.4%) achieved </w:t>
      </w:r>
      <w:r w:rsidR="003230D2" w:rsidRPr="006F1FFE">
        <w:rPr>
          <w:rFonts w:eastAsia="OTNEJMQuadraat"/>
          <w:sz w:val="20"/>
          <w:szCs w:val="20"/>
        </w:rPr>
        <w:t>≥</w:t>
      </w:r>
      <w:r w:rsidRPr="006F1FFE">
        <w:rPr>
          <w:rFonts w:eastAsia="OTNEJMQuadraat"/>
          <w:sz w:val="20"/>
          <w:szCs w:val="20"/>
        </w:rPr>
        <w:t xml:space="preserve">30% PSA response at 4 weeks assessment and </w:t>
      </w:r>
      <w:r w:rsidR="003230D2" w:rsidRPr="006F1FFE">
        <w:rPr>
          <w:rFonts w:eastAsia="OTNEJMQuadraat"/>
          <w:sz w:val="20"/>
          <w:szCs w:val="20"/>
        </w:rPr>
        <w:t>≥</w:t>
      </w:r>
      <w:r w:rsidRPr="006F1FFE">
        <w:rPr>
          <w:rFonts w:eastAsia="OTNEJMQuadraat"/>
          <w:sz w:val="20"/>
          <w:szCs w:val="20"/>
        </w:rPr>
        <w:t>50% PSA response at 12 weeks assessment.</w:t>
      </w:r>
      <w:r w:rsidR="00425B13" w:rsidRPr="006F1FFE">
        <w:rPr>
          <w:rFonts w:eastAsia="OTNEJMQuadraat"/>
          <w:sz w:val="20"/>
          <w:szCs w:val="20"/>
        </w:rPr>
        <w:t xml:space="preserve"> </w:t>
      </w:r>
      <w:r w:rsidR="0052509B" w:rsidRPr="006F1FFE">
        <w:rPr>
          <w:rFonts w:eastAsia="OTNEJMQuadraat"/>
          <w:sz w:val="20"/>
          <w:szCs w:val="20"/>
        </w:rPr>
        <w:t>In our chemo-naïve patients</w:t>
      </w:r>
      <w:r w:rsidR="004A1EDC" w:rsidRPr="006F1FFE">
        <w:rPr>
          <w:rFonts w:eastAsia="OTNEJMQuadraat"/>
          <w:sz w:val="20"/>
          <w:szCs w:val="20"/>
        </w:rPr>
        <w:t>,</w:t>
      </w:r>
      <w:r w:rsidR="0052509B" w:rsidRPr="006F1FFE">
        <w:rPr>
          <w:rFonts w:eastAsia="OTNEJMQuadraat"/>
          <w:sz w:val="20"/>
          <w:szCs w:val="20"/>
        </w:rPr>
        <w:t xml:space="preserve"> the PSA response</w:t>
      </w:r>
      <w:r w:rsidR="000D7E60" w:rsidRPr="006F1FFE">
        <w:rPr>
          <w:rFonts w:eastAsia="OTNEJMQuadraat"/>
          <w:sz w:val="20"/>
          <w:szCs w:val="20"/>
        </w:rPr>
        <w:t>s</w:t>
      </w:r>
      <w:r w:rsidR="0052509B" w:rsidRPr="006F1FFE">
        <w:rPr>
          <w:rFonts w:eastAsia="OTNEJMQuadraat"/>
          <w:sz w:val="20"/>
          <w:szCs w:val="20"/>
        </w:rPr>
        <w:t xml:space="preserve"> </w:t>
      </w:r>
      <w:r w:rsidR="000D7E60" w:rsidRPr="006F1FFE">
        <w:rPr>
          <w:rFonts w:eastAsia="OTNEJMQuadraat"/>
          <w:sz w:val="20"/>
          <w:szCs w:val="20"/>
        </w:rPr>
        <w:t>were</w:t>
      </w:r>
      <w:r w:rsidR="0052509B" w:rsidRPr="006F1FFE">
        <w:rPr>
          <w:rFonts w:eastAsia="OTNEJMQuadraat"/>
          <w:sz w:val="20"/>
          <w:szCs w:val="20"/>
        </w:rPr>
        <w:t xml:space="preserve"> significantly higher </w:t>
      </w:r>
      <w:r w:rsidR="000D7E60" w:rsidRPr="006F1FFE">
        <w:rPr>
          <w:rFonts w:eastAsia="OTNEJMQuadraat"/>
          <w:sz w:val="20"/>
          <w:szCs w:val="20"/>
        </w:rPr>
        <w:t xml:space="preserve">at 4 weeks PSA response assessment (86%) and 12 weeks </w:t>
      </w:r>
      <w:r w:rsidR="00F35056" w:rsidRPr="006F1FFE">
        <w:rPr>
          <w:rFonts w:eastAsia="OTNEJMQuadraat"/>
          <w:sz w:val="20"/>
          <w:szCs w:val="20"/>
        </w:rPr>
        <w:t xml:space="preserve">assessment </w:t>
      </w:r>
      <w:r w:rsidR="0052509B" w:rsidRPr="006F1FFE">
        <w:rPr>
          <w:rFonts w:eastAsia="OTNEJMQuadraat"/>
          <w:sz w:val="20"/>
          <w:szCs w:val="20"/>
        </w:rPr>
        <w:t>(60%</w:t>
      </w:r>
      <w:r w:rsidR="00425B13" w:rsidRPr="006F1FFE">
        <w:rPr>
          <w:rFonts w:eastAsia="OTNEJMQuadraat"/>
          <w:sz w:val="20"/>
          <w:szCs w:val="20"/>
        </w:rPr>
        <w:t>) w</w:t>
      </w:r>
      <w:r w:rsidR="000A7754" w:rsidRPr="006F1FFE">
        <w:rPr>
          <w:rFonts w:eastAsia="OTNEJMQuadraat"/>
          <w:sz w:val="20"/>
          <w:szCs w:val="20"/>
        </w:rPr>
        <w:t>hen compared with responses</w:t>
      </w:r>
      <w:r w:rsidR="00425B13" w:rsidRPr="006F1FFE">
        <w:rPr>
          <w:rFonts w:eastAsia="OTNEJMQuadraat"/>
          <w:sz w:val="20"/>
          <w:szCs w:val="20"/>
        </w:rPr>
        <w:t xml:space="preserve"> of 36.4%</w:t>
      </w:r>
      <w:r w:rsidR="000A7754" w:rsidRPr="006F1FFE">
        <w:rPr>
          <w:rFonts w:eastAsia="OTNEJMQuadraat"/>
          <w:sz w:val="20"/>
          <w:szCs w:val="20"/>
        </w:rPr>
        <w:t xml:space="preserve"> in patients who had prior chemotherapy</w:t>
      </w:r>
      <w:r w:rsidR="00425B13" w:rsidRPr="006F1FFE">
        <w:rPr>
          <w:rFonts w:eastAsia="OTNEJMQuadraat"/>
          <w:sz w:val="20"/>
          <w:szCs w:val="20"/>
        </w:rPr>
        <w:t xml:space="preserve"> (</w:t>
      </w:r>
      <w:r w:rsidR="006D0C4C" w:rsidRPr="006F1FFE">
        <w:rPr>
          <w:rFonts w:eastAsia="OTNEJMQuadraat"/>
          <w:sz w:val="20"/>
          <w:szCs w:val="20"/>
        </w:rPr>
        <w:t>P.</w:t>
      </w:r>
      <w:r w:rsidR="00425B13" w:rsidRPr="006F1FFE">
        <w:rPr>
          <w:rFonts w:eastAsia="OTNEJMQuadraat"/>
          <w:sz w:val="20"/>
          <w:szCs w:val="20"/>
        </w:rPr>
        <w:t xml:space="preserve"> values were </w:t>
      </w:r>
      <w:r w:rsidR="00F35056" w:rsidRPr="006F1FFE">
        <w:rPr>
          <w:rFonts w:eastAsia="OTNEJMQuadraat"/>
          <w:sz w:val="20"/>
          <w:szCs w:val="20"/>
        </w:rPr>
        <w:t xml:space="preserve">0.044 </w:t>
      </w:r>
      <w:r w:rsidR="000A7754" w:rsidRPr="006F1FFE">
        <w:rPr>
          <w:rFonts w:eastAsia="OTNEJMQuadraat"/>
          <w:sz w:val="20"/>
          <w:szCs w:val="20"/>
        </w:rPr>
        <w:t xml:space="preserve">for 4 weeks </w:t>
      </w:r>
      <w:r w:rsidR="00F35056" w:rsidRPr="006F1FFE">
        <w:rPr>
          <w:rFonts w:eastAsia="OTNEJMQuadraat"/>
          <w:sz w:val="20"/>
          <w:szCs w:val="20"/>
        </w:rPr>
        <w:t xml:space="preserve">and 0.149 </w:t>
      </w:r>
      <w:r w:rsidR="000A7754" w:rsidRPr="006F1FFE">
        <w:rPr>
          <w:rFonts w:eastAsia="OTNEJMQuadraat"/>
          <w:sz w:val="20"/>
          <w:szCs w:val="20"/>
        </w:rPr>
        <w:t>for 12 weeks assessments</w:t>
      </w:r>
      <w:r w:rsidR="00425B13" w:rsidRPr="006F1FFE">
        <w:rPr>
          <w:rFonts w:eastAsia="OTNEJMQuadraat"/>
          <w:sz w:val="20"/>
          <w:szCs w:val="20"/>
        </w:rPr>
        <w:t>)</w:t>
      </w:r>
      <w:r w:rsidR="000A7754" w:rsidRPr="006F1FFE">
        <w:rPr>
          <w:rFonts w:eastAsia="OTNEJMQuadraat"/>
          <w:sz w:val="20"/>
          <w:szCs w:val="20"/>
        </w:rPr>
        <w:t>.</w:t>
      </w:r>
      <w:r w:rsidR="007C4D9C" w:rsidRPr="006F1FFE">
        <w:rPr>
          <w:rFonts w:eastAsia="OTNEJMQuadraat"/>
          <w:sz w:val="20"/>
          <w:szCs w:val="20"/>
        </w:rPr>
        <w:t xml:space="preserve"> The PSA progression free survival </w:t>
      </w:r>
      <w:r w:rsidR="004A1EDC" w:rsidRPr="006F1FFE">
        <w:rPr>
          <w:rFonts w:eastAsia="OTNEJMQuadraat"/>
          <w:sz w:val="20"/>
          <w:szCs w:val="20"/>
        </w:rPr>
        <w:t xml:space="preserve">duration </w:t>
      </w:r>
      <w:r w:rsidR="007C4D9C" w:rsidRPr="006F1FFE">
        <w:rPr>
          <w:rFonts w:eastAsia="OTNEJMQuadraat"/>
          <w:sz w:val="20"/>
          <w:szCs w:val="20"/>
        </w:rPr>
        <w:t xml:space="preserve">was slightly higher for chemo-naïve patients compared to </w:t>
      </w:r>
      <w:r w:rsidR="004A1EDC" w:rsidRPr="006F1FFE">
        <w:rPr>
          <w:rFonts w:eastAsia="OTNEJMQuadraat"/>
          <w:sz w:val="20"/>
          <w:szCs w:val="20"/>
        </w:rPr>
        <w:t xml:space="preserve">that of patients </w:t>
      </w:r>
      <w:r w:rsidR="004A1EDC" w:rsidRPr="006F1FFE">
        <w:rPr>
          <w:rFonts w:eastAsia="OTNEJMQuadraat"/>
          <w:sz w:val="20"/>
          <w:szCs w:val="20"/>
        </w:rPr>
        <w:lastRenderedPageBreak/>
        <w:t xml:space="preserve">who </w:t>
      </w:r>
      <w:r w:rsidR="00C00554" w:rsidRPr="006F1FFE">
        <w:rPr>
          <w:rFonts w:eastAsia="OTNEJMQuadraat"/>
          <w:sz w:val="20"/>
          <w:szCs w:val="20"/>
        </w:rPr>
        <w:t>were previously treated with</w:t>
      </w:r>
      <w:r w:rsidR="007C4D9C" w:rsidRPr="006F1FFE">
        <w:rPr>
          <w:rFonts w:eastAsia="OTNEJMQuadraat"/>
          <w:sz w:val="20"/>
          <w:szCs w:val="20"/>
        </w:rPr>
        <w:t xml:space="preserve"> </w:t>
      </w:r>
      <w:proofErr w:type="spellStart"/>
      <w:r w:rsidR="007C4D9C" w:rsidRPr="006F1FFE">
        <w:rPr>
          <w:rFonts w:eastAsia="OTNEJMQuadraat"/>
          <w:sz w:val="20"/>
          <w:szCs w:val="20"/>
        </w:rPr>
        <w:t>docetaxel</w:t>
      </w:r>
      <w:proofErr w:type="spellEnd"/>
      <w:r w:rsidR="007C4D9C" w:rsidRPr="006F1FFE">
        <w:rPr>
          <w:rFonts w:eastAsia="OTNEJMQuadraat"/>
          <w:sz w:val="20"/>
          <w:szCs w:val="20"/>
        </w:rPr>
        <w:t xml:space="preserve"> (6 versus 5 months respectively; p</w:t>
      </w:r>
      <w:r w:rsidR="00A7752C" w:rsidRPr="006F1FFE">
        <w:rPr>
          <w:rFonts w:eastAsia="OTNEJMQuadraat"/>
          <w:sz w:val="20"/>
          <w:szCs w:val="20"/>
        </w:rPr>
        <w:t xml:space="preserve">. value was 0.794). </w:t>
      </w:r>
      <w:r w:rsidR="003230D2" w:rsidRPr="006F1FFE">
        <w:rPr>
          <w:sz w:val="20"/>
          <w:szCs w:val="20"/>
        </w:rPr>
        <w:t xml:space="preserve">For chemo-naïve patients the </w:t>
      </w:r>
      <w:r w:rsidR="003230D2" w:rsidRPr="006F1FFE">
        <w:rPr>
          <w:rFonts w:eastAsia="OTNEJMQuadraat"/>
          <w:sz w:val="20"/>
          <w:szCs w:val="20"/>
        </w:rPr>
        <w:t>median overall survival</w:t>
      </w:r>
      <w:r w:rsidR="003230D2" w:rsidRPr="006F1FFE">
        <w:rPr>
          <w:sz w:val="20"/>
          <w:szCs w:val="20"/>
        </w:rPr>
        <w:t xml:space="preserve"> was 14 months compared to 11 months for patients who had chemotherapy prior to </w:t>
      </w:r>
      <w:proofErr w:type="spellStart"/>
      <w:r w:rsidR="003230D2" w:rsidRPr="006F1FFE">
        <w:rPr>
          <w:sz w:val="20"/>
          <w:szCs w:val="20"/>
        </w:rPr>
        <w:t>enzalutamide</w:t>
      </w:r>
      <w:proofErr w:type="spellEnd"/>
      <w:r w:rsidR="003230D2" w:rsidRPr="006F1FFE">
        <w:rPr>
          <w:sz w:val="20"/>
          <w:szCs w:val="20"/>
        </w:rPr>
        <w:t xml:space="preserve"> (P. 0.109). </w:t>
      </w:r>
      <w:proofErr w:type="spellStart"/>
      <w:r w:rsidR="003230D2" w:rsidRPr="006F1FFE">
        <w:rPr>
          <w:rFonts w:eastAsia="OTNEJMQuadraat"/>
          <w:sz w:val="20"/>
          <w:szCs w:val="20"/>
        </w:rPr>
        <w:t>E</w:t>
      </w:r>
      <w:r w:rsidR="00A7752C" w:rsidRPr="006F1FFE">
        <w:rPr>
          <w:rFonts w:eastAsia="OTNEJMQuadraat"/>
          <w:sz w:val="20"/>
          <w:szCs w:val="20"/>
        </w:rPr>
        <w:t>nzalutamide</w:t>
      </w:r>
      <w:proofErr w:type="spellEnd"/>
      <w:r w:rsidR="003230D2" w:rsidRPr="006F1FFE">
        <w:rPr>
          <w:rFonts w:eastAsia="OTNEJMQuadraat"/>
          <w:sz w:val="20"/>
          <w:szCs w:val="20"/>
        </w:rPr>
        <w:t>-therefore-</w:t>
      </w:r>
      <w:r w:rsidR="00A7752C" w:rsidRPr="006F1FFE">
        <w:rPr>
          <w:rFonts w:eastAsia="OTNEJMQuadraat"/>
          <w:sz w:val="20"/>
          <w:szCs w:val="20"/>
        </w:rPr>
        <w:t xml:space="preserve"> </w:t>
      </w:r>
      <w:r w:rsidR="003230D2" w:rsidRPr="006F1FFE">
        <w:rPr>
          <w:rFonts w:eastAsia="OTNEJMQuadraat"/>
          <w:sz w:val="20"/>
          <w:szCs w:val="20"/>
        </w:rPr>
        <w:t>is more effective</w:t>
      </w:r>
      <w:r w:rsidR="00A7752C" w:rsidRPr="006F1FFE">
        <w:rPr>
          <w:rFonts w:eastAsia="OTNEJMQuadraat"/>
          <w:sz w:val="20"/>
          <w:szCs w:val="20"/>
        </w:rPr>
        <w:t xml:space="preserve"> in chemo-naïve patients but </w:t>
      </w:r>
      <w:r w:rsidR="003230D2" w:rsidRPr="006F1FFE">
        <w:rPr>
          <w:rFonts w:eastAsia="OTNEJMQuadraat"/>
          <w:sz w:val="20"/>
          <w:szCs w:val="20"/>
        </w:rPr>
        <w:t xml:space="preserve">also </w:t>
      </w:r>
      <w:r w:rsidR="007F5B2C" w:rsidRPr="006F1FFE">
        <w:rPr>
          <w:rFonts w:eastAsia="OTNEJMQuadraat"/>
          <w:sz w:val="20"/>
          <w:szCs w:val="20"/>
        </w:rPr>
        <w:t xml:space="preserve">it </w:t>
      </w:r>
      <w:r w:rsidR="00A7752C" w:rsidRPr="006F1FFE">
        <w:rPr>
          <w:rFonts w:eastAsia="OTNEJMQuadraat"/>
          <w:sz w:val="20"/>
          <w:szCs w:val="20"/>
        </w:rPr>
        <w:t xml:space="preserve">can be </w:t>
      </w:r>
      <w:r w:rsidR="003230D2" w:rsidRPr="006F1FFE">
        <w:rPr>
          <w:rFonts w:eastAsia="OTNEJMQuadraat"/>
          <w:sz w:val="20"/>
          <w:szCs w:val="20"/>
        </w:rPr>
        <w:t xml:space="preserve">of benefit </w:t>
      </w:r>
      <w:r w:rsidR="00A7752C" w:rsidRPr="006F1FFE">
        <w:rPr>
          <w:rFonts w:eastAsia="OTNEJMQuadraat"/>
          <w:sz w:val="20"/>
          <w:szCs w:val="20"/>
        </w:rPr>
        <w:t xml:space="preserve">in patients who had been </w:t>
      </w:r>
      <w:r w:rsidR="00C00554" w:rsidRPr="006F1FFE">
        <w:rPr>
          <w:rFonts w:eastAsia="OTNEJMQuadraat"/>
          <w:sz w:val="20"/>
          <w:szCs w:val="20"/>
        </w:rPr>
        <w:t>previously treated with chemotherapy</w:t>
      </w:r>
      <w:r w:rsidR="00A7752C" w:rsidRPr="006F1FFE">
        <w:rPr>
          <w:rFonts w:eastAsia="OTNEJMQuadraat"/>
          <w:sz w:val="20"/>
          <w:szCs w:val="20"/>
        </w:rPr>
        <w:t>.</w:t>
      </w:r>
    </w:p>
    <w:p w:rsidR="004551A4" w:rsidRPr="006F1FFE" w:rsidRDefault="003F788A" w:rsidP="00F613D5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In conclusion, </w:t>
      </w:r>
      <w:proofErr w:type="spellStart"/>
      <w:r w:rsidRPr="006F1FFE">
        <w:rPr>
          <w:sz w:val="20"/>
          <w:szCs w:val="20"/>
        </w:rPr>
        <w:t>enzalutami</w:t>
      </w:r>
      <w:r w:rsidR="004551A4" w:rsidRPr="006F1FFE">
        <w:rPr>
          <w:sz w:val="20"/>
          <w:szCs w:val="20"/>
        </w:rPr>
        <w:t>de</w:t>
      </w:r>
      <w:proofErr w:type="spellEnd"/>
      <w:r w:rsidR="004551A4" w:rsidRPr="006F1FFE">
        <w:rPr>
          <w:sz w:val="20"/>
          <w:szCs w:val="20"/>
        </w:rPr>
        <w:t xml:space="preserve"> achieved reasonable response</w:t>
      </w:r>
      <w:r w:rsidRPr="006F1FFE">
        <w:rPr>
          <w:sz w:val="20"/>
          <w:szCs w:val="20"/>
        </w:rPr>
        <w:t xml:space="preserve"> and duration of control in patients with CRPC </w:t>
      </w:r>
      <w:r w:rsidR="004551A4" w:rsidRPr="006F1FFE">
        <w:rPr>
          <w:sz w:val="20"/>
          <w:szCs w:val="20"/>
        </w:rPr>
        <w:t>especially chemo-naïve patients</w:t>
      </w:r>
      <w:r w:rsidR="008B061F" w:rsidRPr="006F1FFE">
        <w:rPr>
          <w:sz w:val="20"/>
          <w:szCs w:val="20"/>
        </w:rPr>
        <w:t xml:space="preserve"> </w:t>
      </w:r>
      <w:r w:rsidR="004551A4" w:rsidRPr="006F1FFE">
        <w:rPr>
          <w:sz w:val="20"/>
          <w:szCs w:val="20"/>
        </w:rPr>
        <w:t xml:space="preserve">with </w:t>
      </w:r>
      <w:r w:rsidR="008B061F" w:rsidRPr="006F1FFE">
        <w:rPr>
          <w:sz w:val="20"/>
          <w:szCs w:val="20"/>
        </w:rPr>
        <w:t>non-visceral metastases.</w:t>
      </w:r>
      <w:r w:rsidR="004551A4" w:rsidRPr="006F1FFE">
        <w:rPr>
          <w:sz w:val="20"/>
          <w:szCs w:val="20"/>
        </w:rPr>
        <w:t xml:space="preserve"> Therefore it is preferably to be used at an early stage in CRPC management following failure of standard </w:t>
      </w:r>
      <w:proofErr w:type="spellStart"/>
      <w:r w:rsidR="004551A4" w:rsidRPr="006F1FFE">
        <w:rPr>
          <w:sz w:val="20"/>
          <w:szCs w:val="20"/>
        </w:rPr>
        <w:t>antiandrogen</w:t>
      </w:r>
      <w:proofErr w:type="spellEnd"/>
      <w:r w:rsidR="004551A4" w:rsidRPr="006F1FFE">
        <w:rPr>
          <w:sz w:val="20"/>
          <w:szCs w:val="20"/>
        </w:rPr>
        <w:t xml:space="preserve"> regimens.</w:t>
      </w:r>
    </w:p>
    <w:p w:rsidR="008B061F" w:rsidRPr="006F1FFE" w:rsidRDefault="008B061F" w:rsidP="00F613D5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F80634" w:rsidRPr="006F1FFE" w:rsidRDefault="00F80634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6F1FFE">
        <w:rPr>
          <w:b/>
          <w:bCs/>
          <w:color w:val="000000"/>
          <w:sz w:val="20"/>
          <w:szCs w:val="20"/>
        </w:rPr>
        <w:t>Corresponding Author:</w:t>
      </w:r>
    </w:p>
    <w:p w:rsidR="00F80634" w:rsidRPr="006F1FFE" w:rsidRDefault="00F80634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6F1FFE">
        <w:rPr>
          <w:color w:val="000000"/>
          <w:sz w:val="20"/>
          <w:szCs w:val="20"/>
        </w:rPr>
        <w:t xml:space="preserve">Dr </w:t>
      </w:r>
      <w:proofErr w:type="spellStart"/>
      <w:r w:rsidRPr="006F1FFE">
        <w:rPr>
          <w:color w:val="000000"/>
          <w:sz w:val="20"/>
          <w:szCs w:val="20"/>
        </w:rPr>
        <w:t>Loaie</w:t>
      </w:r>
      <w:proofErr w:type="spellEnd"/>
      <w:r w:rsidRPr="006F1FFE">
        <w:rPr>
          <w:color w:val="000000"/>
          <w:sz w:val="20"/>
          <w:szCs w:val="20"/>
        </w:rPr>
        <w:t xml:space="preserve"> M El-</w:t>
      </w:r>
      <w:proofErr w:type="spellStart"/>
      <w:r w:rsidRPr="006F1FFE">
        <w:rPr>
          <w:color w:val="000000"/>
          <w:sz w:val="20"/>
          <w:szCs w:val="20"/>
        </w:rPr>
        <w:t>Helw</w:t>
      </w:r>
      <w:proofErr w:type="spellEnd"/>
    </w:p>
    <w:p w:rsidR="00F80634" w:rsidRPr="006F1FFE" w:rsidRDefault="00F80634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6F1FFE">
        <w:rPr>
          <w:color w:val="000000"/>
          <w:sz w:val="20"/>
          <w:szCs w:val="20"/>
        </w:rPr>
        <w:t>The Royal Stoke Hospital</w:t>
      </w:r>
    </w:p>
    <w:p w:rsidR="00F80634" w:rsidRPr="006F1FFE" w:rsidRDefault="00F80634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proofErr w:type="spellStart"/>
      <w:r w:rsidRPr="006F1FFE">
        <w:rPr>
          <w:color w:val="000000"/>
          <w:sz w:val="20"/>
          <w:szCs w:val="20"/>
        </w:rPr>
        <w:t>Stok</w:t>
      </w:r>
      <w:proofErr w:type="spellEnd"/>
      <w:r w:rsidRPr="006F1FFE">
        <w:rPr>
          <w:color w:val="000000"/>
          <w:sz w:val="20"/>
          <w:szCs w:val="20"/>
        </w:rPr>
        <w:t>-On-Trent, UK,</w:t>
      </w:r>
    </w:p>
    <w:p w:rsidR="00F80634" w:rsidRPr="006F1FFE" w:rsidRDefault="00F80634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6F1FFE">
        <w:rPr>
          <w:color w:val="000000"/>
          <w:sz w:val="20"/>
          <w:szCs w:val="20"/>
        </w:rPr>
        <w:t>ST4 6QG</w:t>
      </w:r>
    </w:p>
    <w:p w:rsidR="00F80634" w:rsidRPr="006F1FFE" w:rsidRDefault="004407BD" w:rsidP="0034123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hyperlink r:id="rId19" w:history="1">
        <w:r w:rsidR="00F80634" w:rsidRPr="006F1FFE">
          <w:rPr>
            <w:rStyle w:val="Hyperlink"/>
            <w:sz w:val="20"/>
            <w:szCs w:val="20"/>
          </w:rPr>
          <w:t>Loaieelhelw@hotmail.com</w:t>
        </w:r>
      </w:hyperlink>
    </w:p>
    <w:p w:rsidR="002A0364" w:rsidRPr="006F1FFE" w:rsidRDefault="004407BD" w:rsidP="0034123F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hyperlink r:id="rId20" w:history="1">
        <w:r w:rsidR="0041723C" w:rsidRPr="006F1FFE">
          <w:rPr>
            <w:rStyle w:val="Hyperlink"/>
            <w:sz w:val="20"/>
            <w:szCs w:val="20"/>
          </w:rPr>
          <w:t>loaie.elhelw@uhns.nhs.uk</w:t>
        </w:r>
      </w:hyperlink>
    </w:p>
    <w:p w:rsidR="002A0364" w:rsidRPr="006F1FFE" w:rsidRDefault="002A0364" w:rsidP="0034123F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</w:rPr>
      </w:pPr>
      <w:r w:rsidRPr="006F1FFE">
        <w:rPr>
          <w:rStyle w:val="Hyperlink"/>
          <w:color w:val="auto"/>
          <w:sz w:val="20"/>
          <w:szCs w:val="20"/>
        </w:rPr>
        <w:t>Egyptian University Affiliation</w:t>
      </w:r>
    </w:p>
    <w:p w:rsidR="002A0364" w:rsidRPr="006F1FFE" w:rsidRDefault="002A0364" w:rsidP="0034123F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  <w:u w:val="none"/>
        </w:rPr>
      </w:pPr>
      <w:r w:rsidRPr="006F1FFE">
        <w:rPr>
          <w:rStyle w:val="Hyperlink"/>
          <w:color w:val="auto"/>
          <w:sz w:val="20"/>
          <w:szCs w:val="20"/>
          <w:u w:val="none"/>
        </w:rPr>
        <w:t>Internal Medicine department, Medical Oncology Unit</w:t>
      </w:r>
    </w:p>
    <w:p w:rsidR="002A0364" w:rsidRPr="006F1FFE" w:rsidRDefault="002A0364" w:rsidP="0034123F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  <w:u w:val="none"/>
        </w:rPr>
      </w:pPr>
      <w:proofErr w:type="spellStart"/>
      <w:r w:rsidRPr="006F1FFE">
        <w:rPr>
          <w:rStyle w:val="Hyperlink"/>
          <w:color w:val="auto"/>
          <w:sz w:val="20"/>
          <w:szCs w:val="20"/>
          <w:u w:val="none"/>
        </w:rPr>
        <w:t>Mansoura</w:t>
      </w:r>
      <w:proofErr w:type="spellEnd"/>
      <w:r w:rsidRPr="006F1FFE">
        <w:rPr>
          <w:rStyle w:val="Hyperlink"/>
          <w:color w:val="auto"/>
          <w:sz w:val="20"/>
          <w:szCs w:val="20"/>
          <w:u w:val="none"/>
        </w:rPr>
        <w:t xml:space="preserve"> University, Egypt</w:t>
      </w:r>
    </w:p>
    <w:p w:rsidR="004C26C1" w:rsidRPr="006F1FFE" w:rsidRDefault="004C26C1" w:rsidP="00F613D5">
      <w:pPr>
        <w:snapToGrid w:val="0"/>
        <w:jc w:val="both"/>
        <w:rPr>
          <w:b/>
          <w:bCs/>
          <w:sz w:val="20"/>
          <w:szCs w:val="20"/>
        </w:rPr>
      </w:pPr>
    </w:p>
    <w:p w:rsidR="005D781F" w:rsidRPr="006F1FFE" w:rsidRDefault="005D781F" w:rsidP="00F613D5">
      <w:pPr>
        <w:snapToGrid w:val="0"/>
        <w:jc w:val="both"/>
        <w:rPr>
          <w:color w:val="000000"/>
          <w:sz w:val="20"/>
          <w:szCs w:val="20"/>
        </w:rPr>
      </w:pPr>
      <w:r w:rsidRPr="006F1FFE">
        <w:rPr>
          <w:b/>
          <w:bCs/>
          <w:sz w:val="20"/>
          <w:szCs w:val="20"/>
        </w:rPr>
        <w:t>References</w:t>
      </w:r>
    </w:p>
    <w:p w:rsidR="0096141D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Edwards BK, </w:t>
      </w:r>
      <w:proofErr w:type="spellStart"/>
      <w:r w:rsidRPr="006F1FFE">
        <w:rPr>
          <w:sz w:val="20"/>
          <w:szCs w:val="20"/>
        </w:rPr>
        <w:t>Noone</w:t>
      </w:r>
      <w:proofErr w:type="spellEnd"/>
      <w:r w:rsidRPr="006F1FFE">
        <w:rPr>
          <w:sz w:val="20"/>
          <w:szCs w:val="20"/>
        </w:rPr>
        <w:t xml:space="preserve"> AM, </w:t>
      </w:r>
      <w:proofErr w:type="spellStart"/>
      <w:r w:rsidRPr="006F1FFE">
        <w:rPr>
          <w:sz w:val="20"/>
          <w:szCs w:val="20"/>
        </w:rPr>
        <w:t>Mariotto</w:t>
      </w:r>
      <w:proofErr w:type="spellEnd"/>
      <w:r w:rsidRPr="006F1FFE">
        <w:rPr>
          <w:sz w:val="20"/>
          <w:szCs w:val="20"/>
        </w:rPr>
        <w:t xml:space="preserve"> AB, </w:t>
      </w:r>
      <w:proofErr w:type="spellStart"/>
      <w:r w:rsidRPr="006F1FFE">
        <w:rPr>
          <w:sz w:val="20"/>
          <w:szCs w:val="20"/>
        </w:rPr>
        <w:t>Simard</w:t>
      </w:r>
      <w:proofErr w:type="spellEnd"/>
      <w:r w:rsidRPr="006F1FFE">
        <w:rPr>
          <w:sz w:val="20"/>
          <w:szCs w:val="20"/>
        </w:rPr>
        <w:t xml:space="preserve"> EP, </w:t>
      </w:r>
      <w:proofErr w:type="spellStart"/>
      <w:r w:rsidRPr="006F1FFE">
        <w:rPr>
          <w:sz w:val="20"/>
          <w:szCs w:val="20"/>
        </w:rPr>
        <w:t>Boscoe</w:t>
      </w:r>
      <w:proofErr w:type="spellEnd"/>
      <w:r w:rsidRPr="006F1FFE">
        <w:rPr>
          <w:sz w:val="20"/>
          <w:szCs w:val="20"/>
        </w:rPr>
        <w:t xml:space="preserve"> FP, Henley SJ, </w:t>
      </w:r>
      <w:r w:rsidR="0096141D" w:rsidRPr="006F1FFE">
        <w:rPr>
          <w:sz w:val="20"/>
          <w:szCs w:val="20"/>
        </w:rPr>
        <w:t>et al</w:t>
      </w:r>
      <w:r w:rsidRPr="006F1FFE">
        <w:rPr>
          <w:sz w:val="20"/>
          <w:szCs w:val="20"/>
        </w:rPr>
        <w:t xml:space="preserve">. </w:t>
      </w:r>
      <w:hyperlink r:id="rId21" w:history="1">
        <w:r w:rsidRPr="006F1FFE">
          <w:rPr>
            <w:sz w:val="20"/>
            <w:szCs w:val="20"/>
          </w:rPr>
          <w:t xml:space="preserve">Annual Report to the Nation on the status of cancer, 1975-2010, featuring prevalence of </w:t>
        </w:r>
        <w:proofErr w:type="spellStart"/>
        <w:r w:rsidRPr="006F1FFE">
          <w:rPr>
            <w:sz w:val="20"/>
            <w:szCs w:val="20"/>
          </w:rPr>
          <w:t>comorbidity</w:t>
        </w:r>
        <w:proofErr w:type="spellEnd"/>
        <w:r w:rsidRPr="006F1FFE">
          <w:rPr>
            <w:sz w:val="20"/>
            <w:szCs w:val="20"/>
          </w:rPr>
          <w:t xml:space="preserve"> and impact on survival among persons with lung, colorectal, breast, or prostate cancer.</w:t>
        </w:r>
      </w:hyperlink>
      <w:r w:rsidRPr="006F1FFE">
        <w:rPr>
          <w:sz w:val="20"/>
          <w:szCs w:val="20"/>
        </w:rPr>
        <w:t xml:space="preserve"> </w:t>
      </w:r>
      <w:r w:rsidRPr="006F1FFE">
        <w:rPr>
          <w:rStyle w:val="jrnl"/>
          <w:sz w:val="20"/>
          <w:szCs w:val="20"/>
        </w:rPr>
        <w:t>Cancer</w:t>
      </w:r>
      <w:r w:rsidR="0096141D" w:rsidRPr="006F1FFE">
        <w:rPr>
          <w:sz w:val="20"/>
          <w:szCs w:val="20"/>
        </w:rPr>
        <w:t>, 120 (9): 1290-314, 2014.</w:t>
      </w:r>
    </w:p>
    <w:p w:rsidR="0096141D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Eisenberger</w:t>
      </w:r>
      <w:proofErr w:type="spellEnd"/>
      <w:r w:rsidRPr="006F1FFE">
        <w:rPr>
          <w:sz w:val="20"/>
          <w:szCs w:val="20"/>
        </w:rPr>
        <w:t xml:space="preserve"> MA, Blumenstein BA, Crawford ED, et al. Bilateral </w:t>
      </w:r>
      <w:proofErr w:type="spellStart"/>
      <w:r w:rsidRPr="006F1FFE">
        <w:rPr>
          <w:sz w:val="20"/>
          <w:szCs w:val="20"/>
        </w:rPr>
        <w:t>orchiectomy</w:t>
      </w:r>
      <w:proofErr w:type="spellEnd"/>
      <w:r w:rsidRPr="006F1FFE">
        <w:rPr>
          <w:sz w:val="20"/>
          <w:szCs w:val="20"/>
        </w:rPr>
        <w:t xml:space="preserve"> with or without </w:t>
      </w:r>
      <w:proofErr w:type="spellStart"/>
      <w:r w:rsidRPr="006F1FFE">
        <w:rPr>
          <w:sz w:val="20"/>
          <w:szCs w:val="20"/>
        </w:rPr>
        <w:t>flutamide</w:t>
      </w:r>
      <w:proofErr w:type="spellEnd"/>
      <w:r w:rsidRPr="006F1FFE">
        <w:rPr>
          <w:sz w:val="20"/>
          <w:szCs w:val="20"/>
        </w:rPr>
        <w:t xml:space="preserve"> for metastatic prostate cancer.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</w:t>
      </w:r>
      <w:r w:rsidR="0096141D" w:rsidRPr="006F1FFE">
        <w:rPr>
          <w:sz w:val="20"/>
          <w:szCs w:val="20"/>
        </w:rPr>
        <w:t>., 339(15): 1036–1042, 1998</w:t>
      </w:r>
      <w:r w:rsidR="006A2D6F" w:rsidRPr="006F1FFE">
        <w:rPr>
          <w:sz w:val="20"/>
          <w:szCs w:val="20"/>
        </w:rPr>
        <w:t>.</w:t>
      </w:r>
    </w:p>
    <w:p w:rsidR="0096141D" w:rsidRPr="006F1FFE" w:rsidRDefault="009C7AEE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Saad</w:t>
      </w:r>
      <w:proofErr w:type="spellEnd"/>
      <w:r w:rsidRPr="006F1FFE">
        <w:rPr>
          <w:sz w:val="20"/>
          <w:szCs w:val="20"/>
        </w:rPr>
        <w:t xml:space="preserve"> F and </w:t>
      </w:r>
      <w:proofErr w:type="spellStart"/>
      <w:r w:rsidRPr="006F1FFE">
        <w:rPr>
          <w:sz w:val="20"/>
          <w:szCs w:val="20"/>
        </w:rPr>
        <w:t>Hotte</w:t>
      </w:r>
      <w:proofErr w:type="spellEnd"/>
      <w:r w:rsidRPr="006F1FFE">
        <w:rPr>
          <w:sz w:val="20"/>
          <w:szCs w:val="20"/>
        </w:rPr>
        <w:t xml:space="preserve"> SJ. Guidelines for the management of castrate-resistant prostate cancer. Can </w:t>
      </w:r>
      <w:proofErr w:type="spellStart"/>
      <w:r w:rsidRPr="006F1FFE">
        <w:rPr>
          <w:sz w:val="20"/>
          <w:szCs w:val="20"/>
        </w:rPr>
        <w:t>Urol</w:t>
      </w:r>
      <w:proofErr w:type="spellEnd"/>
      <w:r w:rsidRPr="006F1FFE">
        <w:rPr>
          <w:sz w:val="20"/>
          <w:szCs w:val="20"/>
        </w:rPr>
        <w:t xml:space="preserve"> Assoc J</w:t>
      </w:r>
      <w:r w:rsidR="0096141D" w:rsidRPr="006F1FFE">
        <w:rPr>
          <w:sz w:val="20"/>
          <w:szCs w:val="20"/>
        </w:rPr>
        <w:t>.,</w:t>
      </w:r>
      <w:r w:rsidRPr="006F1FFE">
        <w:rPr>
          <w:sz w:val="20"/>
          <w:szCs w:val="20"/>
        </w:rPr>
        <w:t xml:space="preserve"> 4 (6): 3804</w:t>
      </w:r>
      <w:r w:rsidR="00AA2FBE" w:rsidRPr="006F1FFE">
        <w:rPr>
          <w:sz w:val="20"/>
          <w:szCs w:val="20"/>
        </w:rPr>
        <w:t>, 2010.</w:t>
      </w:r>
    </w:p>
    <w:p w:rsidR="00AA2FBE" w:rsidRPr="006F1FFE" w:rsidRDefault="009C7AEE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Recine</w:t>
      </w:r>
      <w:proofErr w:type="spellEnd"/>
      <w:r w:rsidRPr="006F1FFE">
        <w:rPr>
          <w:sz w:val="20"/>
          <w:szCs w:val="20"/>
        </w:rPr>
        <w:t xml:space="preserve"> F and </w:t>
      </w:r>
      <w:proofErr w:type="spellStart"/>
      <w:r w:rsidRPr="006F1FFE">
        <w:rPr>
          <w:sz w:val="20"/>
          <w:szCs w:val="20"/>
        </w:rPr>
        <w:t>Sternbersg</w:t>
      </w:r>
      <w:proofErr w:type="spellEnd"/>
      <w:r w:rsidRPr="006F1FFE">
        <w:rPr>
          <w:sz w:val="20"/>
          <w:szCs w:val="20"/>
        </w:rPr>
        <w:t xml:space="preserve"> C. Hormonal therapy and chemotherapy in hormone-naïve and castration resistant prostat</w:t>
      </w:r>
      <w:r w:rsidR="00AA2FBE" w:rsidRPr="006F1FFE">
        <w:rPr>
          <w:sz w:val="20"/>
          <w:szCs w:val="20"/>
        </w:rPr>
        <w:t xml:space="preserve">e cancer. Transl. </w:t>
      </w:r>
      <w:proofErr w:type="spellStart"/>
      <w:r w:rsidR="00AA2FBE" w:rsidRPr="006F1FFE">
        <w:rPr>
          <w:sz w:val="20"/>
          <w:szCs w:val="20"/>
        </w:rPr>
        <w:t>Androl</w:t>
      </w:r>
      <w:proofErr w:type="spellEnd"/>
      <w:r w:rsidR="00AA2FBE" w:rsidRPr="006F1FFE">
        <w:rPr>
          <w:sz w:val="20"/>
          <w:szCs w:val="20"/>
        </w:rPr>
        <w:t>. Urol., 4 (3): 355-364, 2015</w:t>
      </w:r>
      <w:r w:rsidRPr="006F1FFE">
        <w:rPr>
          <w:sz w:val="20"/>
          <w:szCs w:val="20"/>
        </w:rPr>
        <w:t>.</w:t>
      </w:r>
    </w:p>
    <w:p w:rsidR="00306C95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Ryan </w:t>
      </w:r>
      <w:r w:rsidR="00744844" w:rsidRPr="006F1FFE">
        <w:rPr>
          <w:sz w:val="20"/>
          <w:szCs w:val="20"/>
        </w:rPr>
        <w:t>CJ, Smith MR, de Bono JS, et al.</w:t>
      </w:r>
      <w:r w:rsidRPr="006F1FFE">
        <w:rPr>
          <w:sz w:val="20"/>
          <w:szCs w:val="20"/>
        </w:rPr>
        <w:t xml:space="preserve"> COU-AA-302 Investigators. </w:t>
      </w:r>
      <w:proofErr w:type="spellStart"/>
      <w:r w:rsidRPr="006F1FFE">
        <w:rPr>
          <w:sz w:val="20"/>
          <w:szCs w:val="20"/>
        </w:rPr>
        <w:t>Abiraterone</w:t>
      </w:r>
      <w:proofErr w:type="spellEnd"/>
      <w:r w:rsidRPr="006F1FFE">
        <w:rPr>
          <w:sz w:val="20"/>
          <w:szCs w:val="20"/>
        </w:rPr>
        <w:t xml:space="preserve"> in metastatic prostate cancer without previous chemo</w:t>
      </w:r>
      <w:r w:rsidRPr="006F1FFE">
        <w:rPr>
          <w:sz w:val="20"/>
          <w:szCs w:val="20"/>
        </w:rPr>
        <w:softHyphen/>
        <w:t xml:space="preserve">therapy.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306C95" w:rsidRPr="006F1FFE">
        <w:rPr>
          <w:sz w:val="20"/>
          <w:szCs w:val="20"/>
        </w:rPr>
        <w:t>, 368(2):138–148, 2013</w:t>
      </w:r>
      <w:r w:rsidRPr="006F1FFE">
        <w:rPr>
          <w:sz w:val="20"/>
          <w:szCs w:val="20"/>
        </w:rPr>
        <w:t>.</w:t>
      </w:r>
    </w:p>
    <w:p w:rsidR="00744844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Sc</w:t>
      </w:r>
      <w:r w:rsidR="00744844" w:rsidRPr="006F1FFE">
        <w:rPr>
          <w:sz w:val="20"/>
          <w:szCs w:val="20"/>
        </w:rPr>
        <w:t>her</w:t>
      </w:r>
      <w:proofErr w:type="spellEnd"/>
      <w:r w:rsidR="00744844" w:rsidRPr="006F1FFE">
        <w:rPr>
          <w:sz w:val="20"/>
          <w:szCs w:val="20"/>
        </w:rPr>
        <w:t xml:space="preserve"> HI, </w:t>
      </w:r>
      <w:proofErr w:type="spellStart"/>
      <w:r w:rsidR="00744844" w:rsidRPr="006F1FFE">
        <w:rPr>
          <w:sz w:val="20"/>
          <w:szCs w:val="20"/>
        </w:rPr>
        <w:t>Fizazi</w:t>
      </w:r>
      <w:proofErr w:type="spellEnd"/>
      <w:r w:rsidR="00744844" w:rsidRPr="006F1FFE">
        <w:rPr>
          <w:sz w:val="20"/>
          <w:szCs w:val="20"/>
        </w:rPr>
        <w:t xml:space="preserve"> K, </w:t>
      </w:r>
      <w:proofErr w:type="spellStart"/>
      <w:r w:rsidR="00744844" w:rsidRPr="006F1FFE">
        <w:rPr>
          <w:sz w:val="20"/>
          <w:szCs w:val="20"/>
        </w:rPr>
        <w:t>Saad</w:t>
      </w:r>
      <w:proofErr w:type="spellEnd"/>
      <w:r w:rsidR="00744844" w:rsidRPr="006F1FFE">
        <w:rPr>
          <w:sz w:val="20"/>
          <w:szCs w:val="20"/>
        </w:rPr>
        <w:t xml:space="preserve"> F, et al.</w:t>
      </w:r>
      <w:r w:rsidRPr="006F1FFE">
        <w:rPr>
          <w:sz w:val="20"/>
          <w:szCs w:val="20"/>
        </w:rPr>
        <w:t xml:space="preserve"> AFFIRM Investigators. Increased survival with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in prostate cancer after chemotherapy.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744844" w:rsidRPr="006F1FFE">
        <w:rPr>
          <w:sz w:val="20"/>
          <w:szCs w:val="20"/>
        </w:rPr>
        <w:t>,</w:t>
      </w:r>
      <w:r w:rsidRPr="006F1FFE">
        <w:rPr>
          <w:sz w:val="20"/>
          <w:szCs w:val="20"/>
        </w:rPr>
        <w:t xml:space="preserve"> 367(13):1187–1197</w:t>
      </w:r>
      <w:r w:rsidR="00744844" w:rsidRPr="006F1FFE">
        <w:rPr>
          <w:sz w:val="20"/>
          <w:szCs w:val="20"/>
        </w:rPr>
        <w:t>, 2012</w:t>
      </w:r>
      <w:r w:rsidRPr="006F1FFE">
        <w:rPr>
          <w:sz w:val="20"/>
          <w:szCs w:val="20"/>
        </w:rPr>
        <w:t>.</w:t>
      </w:r>
    </w:p>
    <w:p w:rsidR="00EE19B8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lastRenderedPageBreak/>
        <w:t>Beer TM, A</w:t>
      </w:r>
      <w:r w:rsidR="00EE19B8" w:rsidRPr="006F1FFE">
        <w:rPr>
          <w:sz w:val="20"/>
          <w:szCs w:val="20"/>
        </w:rPr>
        <w:t xml:space="preserve">rmstrong AJ, </w:t>
      </w:r>
      <w:proofErr w:type="spellStart"/>
      <w:r w:rsidR="00EE19B8" w:rsidRPr="006F1FFE">
        <w:rPr>
          <w:sz w:val="20"/>
          <w:szCs w:val="20"/>
        </w:rPr>
        <w:t>Rathkopf</w:t>
      </w:r>
      <w:proofErr w:type="spellEnd"/>
      <w:r w:rsidR="00EE19B8" w:rsidRPr="006F1FFE">
        <w:rPr>
          <w:sz w:val="20"/>
          <w:szCs w:val="20"/>
        </w:rPr>
        <w:t xml:space="preserve"> DE, et al.</w:t>
      </w:r>
      <w:r w:rsidRPr="006F1FFE">
        <w:rPr>
          <w:sz w:val="20"/>
          <w:szCs w:val="20"/>
        </w:rPr>
        <w:t xml:space="preserve"> PREVAIL Investiga</w:t>
      </w:r>
      <w:r w:rsidRPr="006F1FFE">
        <w:rPr>
          <w:sz w:val="20"/>
          <w:szCs w:val="20"/>
        </w:rPr>
        <w:softHyphen/>
        <w:t xml:space="preserve">tors.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in metastatic prostate cancer before chemotherapy.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EE19B8" w:rsidRPr="006F1FFE">
        <w:rPr>
          <w:sz w:val="20"/>
          <w:szCs w:val="20"/>
        </w:rPr>
        <w:t xml:space="preserve">, </w:t>
      </w:r>
      <w:r w:rsidRPr="006F1FFE">
        <w:rPr>
          <w:sz w:val="20"/>
          <w:szCs w:val="20"/>
        </w:rPr>
        <w:t>371(5):424–433</w:t>
      </w:r>
      <w:r w:rsidR="00EE19B8" w:rsidRPr="006F1FFE">
        <w:rPr>
          <w:sz w:val="20"/>
          <w:szCs w:val="20"/>
        </w:rPr>
        <w:t>, 2014</w:t>
      </w:r>
      <w:r w:rsidRPr="006F1FFE">
        <w:rPr>
          <w:sz w:val="20"/>
          <w:szCs w:val="20"/>
        </w:rPr>
        <w:t>.</w:t>
      </w:r>
    </w:p>
    <w:p w:rsidR="00EE19B8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Tannoc</w:t>
      </w:r>
      <w:r w:rsidR="00EE19B8" w:rsidRPr="006F1FFE">
        <w:rPr>
          <w:sz w:val="20"/>
          <w:szCs w:val="20"/>
        </w:rPr>
        <w:t>k</w:t>
      </w:r>
      <w:proofErr w:type="spellEnd"/>
      <w:r w:rsidR="00EE19B8" w:rsidRPr="006F1FFE">
        <w:rPr>
          <w:sz w:val="20"/>
          <w:szCs w:val="20"/>
        </w:rPr>
        <w:t xml:space="preserve"> IF, de Wit R, Berry WR, et al.</w:t>
      </w:r>
      <w:r w:rsidRPr="006F1FFE">
        <w:rPr>
          <w:sz w:val="20"/>
          <w:szCs w:val="20"/>
        </w:rPr>
        <w:t xml:space="preserve"> TAX 327 Investigators. </w:t>
      </w:r>
      <w:proofErr w:type="spellStart"/>
      <w:r w:rsidRPr="006F1FFE">
        <w:rPr>
          <w:sz w:val="20"/>
          <w:szCs w:val="20"/>
        </w:rPr>
        <w:t>Doc</w:t>
      </w:r>
      <w:r w:rsidRPr="006F1FFE">
        <w:rPr>
          <w:sz w:val="20"/>
          <w:szCs w:val="20"/>
        </w:rPr>
        <w:softHyphen/>
        <w:t>etaxel</w:t>
      </w:r>
      <w:proofErr w:type="spellEnd"/>
      <w:r w:rsidRPr="006F1FFE">
        <w:rPr>
          <w:sz w:val="20"/>
          <w:szCs w:val="20"/>
        </w:rPr>
        <w:t xml:space="preserve"> plus prednisone or </w:t>
      </w:r>
      <w:proofErr w:type="spellStart"/>
      <w:r w:rsidRPr="006F1FFE">
        <w:rPr>
          <w:sz w:val="20"/>
          <w:szCs w:val="20"/>
        </w:rPr>
        <w:t>mitoxantrone</w:t>
      </w:r>
      <w:proofErr w:type="spellEnd"/>
      <w:r w:rsidRPr="006F1FFE">
        <w:rPr>
          <w:sz w:val="20"/>
          <w:szCs w:val="20"/>
        </w:rPr>
        <w:t xml:space="preserve"> plus prednisone for advanced prostate cancer.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EE19B8" w:rsidRPr="006F1FFE">
        <w:rPr>
          <w:sz w:val="20"/>
          <w:szCs w:val="20"/>
        </w:rPr>
        <w:t>,</w:t>
      </w:r>
      <w:r w:rsidRPr="006F1FFE">
        <w:rPr>
          <w:sz w:val="20"/>
          <w:szCs w:val="20"/>
        </w:rPr>
        <w:t xml:space="preserve"> 351(15):1502–1512. </w:t>
      </w:r>
      <w:r w:rsidR="00EE19B8" w:rsidRPr="006F1FFE">
        <w:rPr>
          <w:sz w:val="20"/>
          <w:szCs w:val="20"/>
        </w:rPr>
        <w:t>2004.</w:t>
      </w:r>
    </w:p>
    <w:p w:rsidR="00EE19B8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gramStart"/>
      <w:r w:rsidRPr="006F1FFE">
        <w:rPr>
          <w:sz w:val="20"/>
          <w:szCs w:val="20"/>
        </w:rPr>
        <w:t>de</w:t>
      </w:r>
      <w:proofErr w:type="gramEnd"/>
      <w:r w:rsidRPr="006F1FFE">
        <w:rPr>
          <w:sz w:val="20"/>
          <w:szCs w:val="20"/>
        </w:rPr>
        <w:t xml:space="preserve"> Bono J</w:t>
      </w:r>
      <w:r w:rsidR="00EE19B8" w:rsidRPr="006F1FFE">
        <w:rPr>
          <w:sz w:val="20"/>
          <w:szCs w:val="20"/>
        </w:rPr>
        <w:t xml:space="preserve">S, </w:t>
      </w:r>
      <w:proofErr w:type="spellStart"/>
      <w:r w:rsidR="00EE19B8" w:rsidRPr="006F1FFE">
        <w:rPr>
          <w:sz w:val="20"/>
          <w:szCs w:val="20"/>
        </w:rPr>
        <w:t>Oudard</w:t>
      </w:r>
      <w:proofErr w:type="spellEnd"/>
      <w:r w:rsidR="00EE19B8" w:rsidRPr="006F1FFE">
        <w:rPr>
          <w:sz w:val="20"/>
          <w:szCs w:val="20"/>
        </w:rPr>
        <w:t xml:space="preserve"> S, </w:t>
      </w:r>
      <w:proofErr w:type="spellStart"/>
      <w:r w:rsidR="00EE19B8" w:rsidRPr="006F1FFE">
        <w:rPr>
          <w:sz w:val="20"/>
          <w:szCs w:val="20"/>
        </w:rPr>
        <w:t>Ozguroglu</w:t>
      </w:r>
      <w:proofErr w:type="spellEnd"/>
      <w:r w:rsidR="00EE19B8" w:rsidRPr="006F1FFE">
        <w:rPr>
          <w:sz w:val="20"/>
          <w:szCs w:val="20"/>
        </w:rPr>
        <w:t xml:space="preserve"> M, et al.</w:t>
      </w:r>
      <w:r w:rsidRPr="006F1FFE">
        <w:rPr>
          <w:sz w:val="20"/>
          <w:szCs w:val="20"/>
        </w:rPr>
        <w:t xml:space="preserve"> TROPIC Investigators. Prednisone plus </w:t>
      </w:r>
      <w:proofErr w:type="spellStart"/>
      <w:r w:rsidRPr="006F1FFE">
        <w:rPr>
          <w:sz w:val="20"/>
          <w:szCs w:val="20"/>
        </w:rPr>
        <w:t>cabazitaxel</w:t>
      </w:r>
      <w:proofErr w:type="spellEnd"/>
      <w:r w:rsidRPr="006F1FFE">
        <w:rPr>
          <w:sz w:val="20"/>
          <w:szCs w:val="20"/>
        </w:rPr>
        <w:t xml:space="preserve"> or </w:t>
      </w:r>
      <w:proofErr w:type="spellStart"/>
      <w:r w:rsidRPr="006F1FFE">
        <w:rPr>
          <w:sz w:val="20"/>
          <w:szCs w:val="20"/>
        </w:rPr>
        <w:t>mitoxantrone</w:t>
      </w:r>
      <w:proofErr w:type="spellEnd"/>
      <w:r w:rsidRPr="006F1FFE">
        <w:rPr>
          <w:sz w:val="20"/>
          <w:szCs w:val="20"/>
        </w:rPr>
        <w:t xml:space="preserve"> for metastatic castration-resistant prostate cancer progressing after </w:t>
      </w:r>
      <w:proofErr w:type="spellStart"/>
      <w:r w:rsidRPr="006F1FFE">
        <w:rPr>
          <w:sz w:val="20"/>
          <w:szCs w:val="20"/>
        </w:rPr>
        <w:t>docetaxel</w:t>
      </w:r>
      <w:proofErr w:type="spellEnd"/>
      <w:r w:rsidRPr="006F1FFE">
        <w:rPr>
          <w:sz w:val="20"/>
          <w:szCs w:val="20"/>
        </w:rPr>
        <w:t xml:space="preserve"> treatment: a randomised open-label trial. Lancet</w:t>
      </w:r>
      <w:r w:rsidR="00EE19B8" w:rsidRPr="006F1FFE">
        <w:rPr>
          <w:sz w:val="20"/>
          <w:szCs w:val="20"/>
        </w:rPr>
        <w:t>, 376(9747):1147–1154, 2010.</w:t>
      </w:r>
    </w:p>
    <w:p w:rsidR="00EE19B8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Parker </w:t>
      </w:r>
      <w:r w:rsidR="00EE19B8" w:rsidRPr="006F1FFE">
        <w:rPr>
          <w:sz w:val="20"/>
          <w:szCs w:val="20"/>
        </w:rPr>
        <w:t>C, Nilsson S, Heinrich D, et al.</w:t>
      </w:r>
      <w:r w:rsidRPr="006F1FFE">
        <w:rPr>
          <w:sz w:val="20"/>
          <w:szCs w:val="20"/>
        </w:rPr>
        <w:t xml:space="preserve"> ALSYMPCA Investigators. Alpha emitter radium-223 and survival in metastatic prostate cancer.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EE19B8" w:rsidRPr="006F1FFE">
        <w:rPr>
          <w:sz w:val="20"/>
          <w:szCs w:val="20"/>
        </w:rPr>
        <w:t>, 369(3): 213–223, 2013.</w:t>
      </w:r>
    </w:p>
    <w:p w:rsidR="00EE19B8" w:rsidRPr="006F1FFE" w:rsidRDefault="005D781F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Kantoff</w:t>
      </w:r>
      <w:proofErr w:type="spellEnd"/>
      <w:r w:rsidR="00EE19B8" w:rsidRPr="006F1FFE">
        <w:rPr>
          <w:sz w:val="20"/>
          <w:szCs w:val="20"/>
        </w:rPr>
        <w:t xml:space="preserve"> PW, </w:t>
      </w:r>
      <w:proofErr w:type="spellStart"/>
      <w:r w:rsidR="00EE19B8" w:rsidRPr="006F1FFE">
        <w:rPr>
          <w:sz w:val="20"/>
          <w:szCs w:val="20"/>
        </w:rPr>
        <w:t>Higano</w:t>
      </w:r>
      <w:proofErr w:type="spellEnd"/>
      <w:r w:rsidR="00EE19B8" w:rsidRPr="006F1FFE">
        <w:rPr>
          <w:sz w:val="20"/>
          <w:szCs w:val="20"/>
        </w:rPr>
        <w:t xml:space="preserve"> CS, Shore ND, et al.</w:t>
      </w:r>
      <w:r w:rsidRPr="006F1FFE">
        <w:rPr>
          <w:sz w:val="20"/>
          <w:szCs w:val="20"/>
        </w:rPr>
        <w:t xml:space="preserve"> IMPACT Study Investigators. </w:t>
      </w:r>
      <w:proofErr w:type="spellStart"/>
      <w:r w:rsidRPr="006F1FFE">
        <w:rPr>
          <w:sz w:val="20"/>
          <w:szCs w:val="20"/>
        </w:rPr>
        <w:t>Sipuleucel</w:t>
      </w:r>
      <w:proofErr w:type="spellEnd"/>
      <w:r w:rsidRPr="006F1FFE">
        <w:rPr>
          <w:sz w:val="20"/>
          <w:szCs w:val="20"/>
        </w:rPr>
        <w:t xml:space="preserve">-T immunotherapy for castration-resistant prostate cancer. N </w:t>
      </w:r>
      <w:proofErr w:type="spellStart"/>
      <w:r w:rsidRPr="006F1FFE">
        <w:rPr>
          <w:sz w:val="20"/>
          <w:szCs w:val="20"/>
        </w:rPr>
        <w:t>Engl</w:t>
      </w:r>
      <w:proofErr w:type="spellEnd"/>
      <w:r w:rsidRPr="006F1FFE">
        <w:rPr>
          <w:sz w:val="20"/>
          <w:szCs w:val="20"/>
        </w:rPr>
        <w:t xml:space="preserve"> J Med.</w:t>
      </w:r>
      <w:r w:rsidR="00EE19B8" w:rsidRPr="006F1FFE">
        <w:rPr>
          <w:sz w:val="20"/>
          <w:szCs w:val="20"/>
        </w:rPr>
        <w:t>, 363(5): 411–422, 2010.</w:t>
      </w:r>
    </w:p>
    <w:p w:rsidR="00EE19B8" w:rsidRPr="006F1FFE" w:rsidRDefault="00A771EB" w:rsidP="00F613D5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lastRenderedPageBreak/>
        <w:t>Scher</w:t>
      </w:r>
      <w:proofErr w:type="spellEnd"/>
      <w:r w:rsidRPr="006F1FFE">
        <w:rPr>
          <w:sz w:val="20"/>
          <w:szCs w:val="20"/>
        </w:rPr>
        <w:t xml:space="preserve"> HI, </w:t>
      </w:r>
      <w:proofErr w:type="spellStart"/>
      <w:r w:rsidRPr="006F1FFE">
        <w:rPr>
          <w:sz w:val="20"/>
          <w:szCs w:val="20"/>
        </w:rPr>
        <w:t>Halabi</w:t>
      </w:r>
      <w:proofErr w:type="spellEnd"/>
      <w:r w:rsidRPr="006F1FFE">
        <w:rPr>
          <w:sz w:val="20"/>
          <w:szCs w:val="20"/>
        </w:rPr>
        <w:t xml:space="preserve"> S, </w:t>
      </w:r>
      <w:proofErr w:type="spellStart"/>
      <w:r w:rsidRPr="006F1FFE">
        <w:rPr>
          <w:sz w:val="20"/>
          <w:szCs w:val="20"/>
        </w:rPr>
        <w:t>Tannock</w:t>
      </w:r>
      <w:proofErr w:type="spellEnd"/>
      <w:r w:rsidRPr="006F1FFE">
        <w:rPr>
          <w:sz w:val="20"/>
          <w:szCs w:val="20"/>
        </w:rPr>
        <w:t xml:space="preserve"> I, Morris M, Sternberg CN, Carducci MA, Design and end points of clinical trials for patients with progressive prostate cancer and castrate levels of testosterone: recommendations of the Prostate Cancer Clinical Trials Working Group. </w:t>
      </w:r>
      <w:r w:rsidRPr="006F1FFE">
        <w:rPr>
          <w:rStyle w:val="jrnl"/>
          <w:sz w:val="20"/>
          <w:szCs w:val="20"/>
        </w:rPr>
        <w:t xml:space="preserve">J </w:t>
      </w:r>
      <w:proofErr w:type="spellStart"/>
      <w:r w:rsidRPr="006F1FFE">
        <w:rPr>
          <w:rStyle w:val="jrnl"/>
          <w:sz w:val="20"/>
          <w:szCs w:val="20"/>
        </w:rPr>
        <w:t>Clin</w:t>
      </w:r>
      <w:proofErr w:type="spellEnd"/>
      <w:r w:rsidRPr="006F1FFE">
        <w:rPr>
          <w:rStyle w:val="jrnl"/>
          <w:sz w:val="20"/>
          <w:szCs w:val="20"/>
        </w:rPr>
        <w:t xml:space="preserve"> </w:t>
      </w:r>
      <w:proofErr w:type="spellStart"/>
      <w:r w:rsidRPr="006F1FFE">
        <w:rPr>
          <w:rStyle w:val="jrnl"/>
          <w:sz w:val="20"/>
          <w:szCs w:val="20"/>
        </w:rPr>
        <w:t>Oncol</w:t>
      </w:r>
      <w:proofErr w:type="spellEnd"/>
      <w:r w:rsidR="00EE19B8" w:rsidRPr="006F1FFE">
        <w:rPr>
          <w:sz w:val="20"/>
          <w:szCs w:val="20"/>
        </w:rPr>
        <w:t xml:space="preserve">., </w:t>
      </w:r>
      <w:r w:rsidRPr="006F1FFE">
        <w:rPr>
          <w:sz w:val="20"/>
          <w:szCs w:val="20"/>
        </w:rPr>
        <w:t>26(7):1148-59</w:t>
      </w:r>
      <w:r w:rsidR="00EE19B8" w:rsidRPr="006F1FFE">
        <w:rPr>
          <w:sz w:val="20"/>
          <w:szCs w:val="20"/>
        </w:rPr>
        <w:t>, 2008.</w:t>
      </w:r>
    </w:p>
    <w:p w:rsidR="00CE5CD7" w:rsidRPr="006F1FFE" w:rsidRDefault="00CE5CD7" w:rsidP="00F613D5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rStyle w:val="highlight2"/>
          <w:sz w:val="20"/>
          <w:szCs w:val="20"/>
        </w:rPr>
        <w:t>Chen Y</w:t>
      </w:r>
      <w:r w:rsidRPr="006F1FFE">
        <w:rPr>
          <w:sz w:val="20"/>
          <w:szCs w:val="20"/>
        </w:rPr>
        <w:t xml:space="preserve">, Sawyers CL, </w:t>
      </w:r>
      <w:hyperlink r:id="rId22" w:history="1">
        <w:proofErr w:type="spellStart"/>
        <w:r w:rsidRPr="006F1FFE">
          <w:rPr>
            <w:sz w:val="20"/>
            <w:szCs w:val="20"/>
          </w:rPr>
          <w:t>Scher</w:t>
        </w:r>
        <w:proofErr w:type="spellEnd"/>
        <w:r w:rsidRPr="006F1FFE">
          <w:rPr>
            <w:sz w:val="20"/>
            <w:szCs w:val="20"/>
          </w:rPr>
          <w:t xml:space="preserve"> HI</w:t>
        </w:r>
      </w:hyperlink>
      <w:r w:rsidRPr="006F1FFE">
        <w:rPr>
          <w:sz w:val="20"/>
          <w:szCs w:val="20"/>
        </w:rPr>
        <w:t>.</w:t>
      </w:r>
      <w:r w:rsidR="0034123F" w:rsidRPr="006F1FFE">
        <w:rPr>
          <w:sz w:val="20"/>
          <w:szCs w:val="20"/>
        </w:rPr>
        <w:t xml:space="preserve"> </w:t>
      </w:r>
      <w:r w:rsidRPr="006F1FFE">
        <w:rPr>
          <w:sz w:val="20"/>
          <w:szCs w:val="20"/>
        </w:rPr>
        <w:t xml:space="preserve">Targeting the androgen receptor pathway in </w:t>
      </w:r>
      <w:r w:rsidRPr="006F1FFE">
        <w:rPr>
          <w:rStyle w:val="highlight2"/>
          <w:sz w:val="20"/>
          <w:szCs w:val="20"/>
        </w:rPr>
        <w:t xml:space="preserve">prostate cancer. </w:t>
      </w:r>
      <w:hyperlink r:id="rId23" w:tooltip="Current opinion in pharmacology." w:history="1">
        <w:proofErr w:type="spellStart"/>
        <w:r w:rsidRPr="006F1FFE">
          <w:rPr>
            <w:sz w:val="20"/>
            <w:szCs w:val="20"/>
          </w:rPr>
          <w:t>Curr</w:t>
        </w:r>
        <w:proofErr w:type="spellEnd"/>
        <w:r w:rsidRPr="006F1FFE">
          <w:rPr>
            <w:sz w:val="20"/>
            <w:szCs w:val="20"/>
          </w:rPr>
          <w:t xml:space="preserve"> </w:t>
        </w:r>
        <w:proofErr w:type="spellStart"/>
        <w:r w:rsidRPr="006F1FFE">
          <w:rPr>
            <w:sz w:val="20"/>
            <w:szCs w:val="20"/>
          </w:rPr>
          <w:t>Opin</w:t>
        </w:r>
        <w:proofErr w:type="spellEnd"/>
        <w:r w:rsidRPr="006F1FFE">
          <w:rPr>
            <w:sz w:val="20"/>
            <w:szCs w:val="20"/>
          </w:rPr>
          <w:t xml:space="preserve"> </w:t>
        </w:r>
        <w:proofErr w:type="spellStart"/>
        <w:proofErr w:type="gramStart"/>
        <w:r w:rsidRPr="006F1FFE">
          <w:rPr>
            <w:sz w:val="20"/>
            <w:szCs w:val="20"/>
          </w:rPr>
          <w:t>Pharmacol</w:t>
        </w:r>
        <w:proofErr w:type="spellEnd"/>
        <w:r w:rsidRPr="006F1FFE">
          <w:rPr>
            <w:sz w:val="20"/>
            <w:szCs w:val="20"/>
          </w:rPr>
          <w:t>.</w:t>
        </w:r>
      </w:hyperlink>
      <w:r w:rsidR="00EE19B8" w:rsidRPr="006F1FFE">
        <w:rPr>
          <w:sz w:val="20"/>
          <w:szCs w:val="20"/>
        </w:rPr>
        <w:t>,</w:t>
      </w:r>
      <w:proofErr w:type="gramEnd"/>
      <w:r w:rsidR="00EE19B8" w:rsidRPr="006F1FFE">
        <w:rPr>
          <w:sz w:val="20"/>
          <w:szCs w:val="20"/>
        </w:rPr>
        <w:t xml:space="preserve"> </w:t>
      </w:r>
      <w:r w:rsidRPr="006F1FFE">
        <w:rPr>
          <w:sz w:val="20"/>
          <w:szCs w:val="20"/>
        </w:rPr>
        <w:t xml:space="preserve">8(4): </w:t>
      </w:r>
      <w:r w:rsidR="00EE19B8" w:rsidRPr="006F1FFE">
        <w:rPr>
          <w:sz w:val="20"/>
          <w:szCs w:val="20"/>
        </w:rPr>
        <w:t>440-8, 2008.</w:t>
      </w:r>
    </w:p>
    <w:p w:rsidR="00CE5CD7" w:rsidRPr="006F1FFE" w:rsidRDefault="00CE5CD7" w:rsidP="00F613D5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sz w:val="20"/>
          <w:szCs w:val="20"/>
        </w:rPr>
        <w:t xml:space="preserve">Edwards J, Krishna NS, </w:t>
      </w:r>
      <w:proofErr w:type="spellStart"/>
      <w:r w:rsidRPr="006F1FFE">
        <w:rPr>
          <w:sz w:val="20"/>
          <w:szCs w:val="20"/>
        </w:rPr>
        <w:t>Grigor</w:t>
      </w:r>
      <w:proofErr w:type="spellEnd"/>
      <w:r w:rsidRPr="006F1FFE">
        <w:rPr>
          <w:sz w:val="20"/>
          <w:szCs w:val="20"/>
        </w:rPr>
        <w:t xml:space="preserve"> KM, Bartlett JM. Androgen receptor gene amplification and protein expression in hormone refractory prostate cancer. </w:t>
      </w:r>
      <w:r w:rsidRPr="006F1FFE">
        <w:rPr>
          <w:rStyle w:val="jrnl"/>
          <w:sz w:val="20"/>
          <w:szCs w:val="20"/>
        </w:rPr>
        <w:t>Br J Cancer</w:t>
      </w:r>
      <w:r w:rsidR="004174DC" w:rsidRPr="006F1FFE">
        <w:rPr>
          <w:sz w:val="20"/>
          <w:szCs w:val="20"/>
        </w:rPr>
        <w:t xml:space="preserve">, </w:t>
      </w:r>
      <w:r w:rsidRPr="006F1FFE">
        <w:rPr>
          <w:sz w:val="20"/>
          <w:szCs w:val="20"/>
        </w:rPr>
        <w:t xml:space="preserve">89 </w:t>
      </w:r>
      <w:r w:rsidR="004174DC" w:rsidRPr="006F1FFE">
        <w:rPr>
          <w:sz w:val="20"/>
          <w:szCs w:val="20"/>
        </w:rPr>
        <w:t>(3):552-6, 2003.</w:t>
      </w:r>
    </w:p>
    <w:p w:rsidR="00CE5CD7" w:rsidRPr="006F1FFE" w:rsidRDefault="00FF6B21" w:rsidP="00F613D5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rStyle w:val="highlight2"/>
          <w:sz w:val="20"/>
          <w:szCs w:val="20"/>
        </w:rPr>
        <w:t>Tran C</w:t>
      </w:r>
      <w:r w:rsidRPr="006F1FFE">
        <w:rPr>
          <w:sz w:val="20"/>
          <w:szCs w:val="20"/>
        </w:rPr>
        <w:t xml:space="preserve">, </w:t>
      </w:r>
      <w:hyperlink r:id="rId24" w:history="1">
        <w:proofErr w:type="spellStart"/>
        <w:r w:rsidRPr="006F1FFE">
          <w:rPr>
            <w:sz w:val="20"/>
            <w:szCs w:val="20"/>
          </w:rPr>
          <w:t>Ouk</w:t>
        </w:r>
        <w:proofErr w:type="spellEnd"/>
        <w:r w:rsidRPr="006F1FFE">
          <w:rPr>
            <w:sz w:val="20"/>
            <w:szCs w:val="20"/>
          </w:rPr>
          <w:t xml:space="preserve"> S</w:t>
        </w:r>
      </w:hyperlink>
      <w:r w:rsidRPr="006F1FFE">
        <w:rPr>
          <w:sz w:val="20"/>
          <w:szCs w:val="20"/>
        </w:rPr>
        <w:t xml:space="preserve">, Clegg NJ, Chen Y, Watson PA, </w:t>
      </w:r>
      <w:proofErr w:type="spellStart"/>
      <w:r w:rsidRPr="006F1FFE">
        <w:rPr>
          <w:sz w:val="20"/>
          <w:szCs w:val="20"/>
        </w:rPr>
        <w:t>Arora</w:t>
      </w:r>
      <w:proofErr w:type="spellEnd"/>
      <w:r w:rsidRPr="006F1FFE">
        <w:rPr>
          <w:sz w:val="20"/>
          <w:szCs w:val="20"/>
        </w:rPr>
        <w:t xml:space="preserve"> V, Development of a second-generation </w:t>
      </w:r>
      <w:proofErr w:type="spellStart"/>
      <w:r w:rsidRPr="006F1FFE">
        <w:rPr>
          <w:sz w:val="20"/>
          <w:szCs w:val="20"/>
        </w:rPr>
        <w:t>antiandrogen</w:t>
      </w:r>
      <w:proofErr w:type="spellEnd"/>
      <w:r w:rsidRPr="006F1FFE">
        <w:rPr>
          <w:sz w:val="20"/>
          <w:szCs w:val="20"/>
        </w:rPr>
        <w:t xml:space="preserve"> for treatment of advanced </w:t>
      </w:r>
      <w:r w:rsidRPr="006F1FFE">
        <w:rPr>
          <w:rStyle w:val="highlight2"/>
          <w:sz w:val="20"/>
          <w:szCs w:val="20"/>
        </w:rPr>
        <w:t>prostate cancer</w:t>
      </w:r>
      <w:r w:rsidRPr="006F1FFE">
        <w:rPr>
          <w:sz w:val="20"/>
          <w:szCs w:val="20"/>
        </w:rPr>
        <w:t>. Science</w:t>
      </w:r>
      <w:r w:rsidR="004174DC" w:rsidRPr="006F1FFE">
        <w:rPr>
          <w:sz w:val="20"/>
          <w:szCs w:val="20"/>
        </w:rPr>
        <w:t>,</w:t>
      </w:r>
      <w:r w:rsidRPr="006F1FFE">
        <w:rPr>
          <w:sz w:val="20"/>
          <w:szCs w:val="20"/>
        </w:rPr>
        <w:t xml:space="preserve"> 324(5928):787-90</w:t>
      </w:r>
      <w:r w:rsidR="004174DC" w:rsidRPr="006F1FFE">
        <w:rPr>
          <w:sz w:val="20"/>
          <w:szCs w:val="20"/>
        </w:rPr>
        <w:t>, 2009.</w:t>
      </w:r>
    </w:p>
    <w:p w:rsidR="00FD26D3" w:rsidRPr="006F1FFE" w:rsidRDefault="00FF6B21" w:rsidP="00F613D5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6F1FFE">
        <w:rPr>
          <w:sz w:val="20"/>
          <w:szCs w:val="20"/>
        </w:rPr>
        <w:t>Scher</w:t>
      </w:r>
      <w:proofErr w:type="spellEnd"/>
      <w:r w:rsidRPr="006F1FFE">
        <w:rPr>
          <w:sz w:val="20"/>
          <w:szCs w:val="20"/>
        </w:rPr>
        <w:t xml:space="preserve"> HI, </w:t>
      </w:r>
      <w:proofErr w:type="spellStart"/>
      <w:r w:rsidRPr="006F1FFE">
        <w:rPr>
          <w:sz w:val="20"/>
          <w:szCs w:val="20"/>
        </w:rPr>
        <w:t>Fizazi</w:t>
      </w:r>
      <w:proofErr w:type="spellEnd"/>
      <w:r w:rsidRPr="006F1FFE">
        <w:rPr>
          <w:sz w:val="20"/>
          <w:szCs w:val="20"/>
        </w:rPr>
        <w:t xml:space="preserve"> K, </w:t>
      </w:r>
      <w:hyperlink r:id="rId25" w:history="1">
        <w:proofErr w:type="spellStart"/>
        <w:r w:rsidRPr="006F1FFE">
          <w:rPr>
            <w:sz w:val="20"/>
            <w:szCs w:val="20"/>
          </w:rPr>
          <w:t>Saad</w:t>
        </w:r>
        <w:proofErr w:type="spellEnd"/>
        <w:r w:rsidRPr="006F1FFE">
          <w:rPr>
            <w:sz w:val="20"/>
            <w:szCs w:val="20"/>
          </w:rPr>
          <w:t xml:space="preserve"> F</w:t>
        </w:r>
      </w:hyperlink>
      <w:r w:rsidRPr="006F1FFE">
        <w:rPr>
          <w:sz w:val="20"/>
          <w:szCs w:val="20"/>
        </w:rPr>
        <w:t xml:space="preserve">, </w:t>
      </w:r>
      <w:proofErr w:type="spellStart"/>
      <w:r w:rsidRPr="006F1FFE">
        <w:rPr>
          <w:sz w:val="20"/>
          <w:szCs w:val="20"/>
        </w:rPr>
        <w:t>Taplin</w:t>
      </w:r>
      <w:proofErr w:type="spellEnd"/>
      <w:r w:rsidRPr="006F1FFE">
        <w:rPr>
          <w:sz w:val="20"/>
          <w:szCs w:val="20"/>
        </w:rPr>
        <w:t xml:space="preserve"> ME, Sternberg CN, Miller K, Increased survival with </w:t>
      </w:r>
      <w:proofErr w:type="spellStart"/>
      <w:r w:rsidRPr="006F1FFE">
        <w:rPr>
          <w:sz w:val="20"/>
          <w:szCs w:val="20"/>
        </w:rPr>
        <w:t>enzalutamide</w:t>
      </w:r>
      <w:proofErr w:type="spellEnd"/>
      <w:r w:rsidRPr="006F1FFE">
        <w:rPr>
          <w:sz w:val="20"/>
          <w:szCs w:val="20"/>
        </w:rPr>
        <w:t xml:space="preserve"> in prostate cancer after chemotherapy. </w:t>
      </w:r>
      <w:hyperlink r:id="rId26" w:tooltip="The New England journal of medicine." w:history="1">
        <w:r w:rsidRPr="006F1FFE">
          <w:rPr>
            <w:sz w:val="20"/>
            <w:szCs w:val="20"/>
          </w:rPr>
          <w:t xml:space="preserve">N </w:t>
        </w:r>
        <w:proofErr w:type="spellStart"/>
        <w:r w:rsidRPr="006F1FFE">
          <w:rPr>
            <w:sz w:val="20"/>
            <w:szCs w:val="20"/>
          </w:rPr>
          <w:t>Engl</w:t>
        </w:r>
        <w:proofErr w:type="spellEnd"/>
        <w:r w:rsidRPr="006F1FFE">
          <w:rPr>
            <w:sz w:val="20"/>
            <w:szCs w:val="20"/>
          </w:rPr>
          <w:t xml:space="preserve"> J Med.</w:t>
        </w:r>
      </w:hyperlink>
      <w:r w:rsidR="006A2D6F" w:rsidRPr="006F1FFE">
        <w:rPr>
          <w:sz w:val="20"/>
          <w:szCs w:val="20"/>
        </w:rPr>
        <w:t>,</w:t>
      </w:r>
      <w:r w:rsidRPr="006F1FFE">
        <w:rPr>
          <w:sz w:val="20"/>
          <w:szCs w:val="20"/>
        </w:rPr>
        <w:t xml:space="preserve"> </w:t>
      </w:r>
      <w:r w:rsidR="006A2D6F" w:rsidRPr="006F1FFE">
        <w:rPr>
          <w:sz w:val="20"/>
          <w:szCs w:val="20"/>
        </w:rPr>
        <w:t xml:space="preserve">367(13):1187-97, </w:t>
      </w:r>
      <w:r w:rsidR="004174DC" w:rsidRPr="006F1FFE">
        <w:rPr>
          <w:sz w:val="20"/>
          <w:szCs w:val="20"/>
        </w:rPr>
        <w:t>2012.</w:t>
      </w:r>
    </w:p>
    <w:p w:rsidR="00F613D5" w:rsidRPr="006F1FFE" w:rsidRDefault="00F613D5" w:rsidP="00F613D5">
      <w:pPr>
        <w:pStyle w:val="ListParagraph"/>
        <w:shd w:val="clear" w:color="auto" w:fill="FFFFFF"/>
        <w:snapToGrid w:val="0"/>
        <w:ind w:left="425" w:hanging="425"/>
        <w:jc w:val="both"/>
        <w:rPr>
          <w:sz w:val="20"/>
          <w:szCs w:val="20"/>
        </w:rPr>
        <w:sectPr w:rsidR="00F613D5" w:rsidRPr="006F1FFE" w:rsidSect="006D3BA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8B061F" w:rsidRPr="006F1FFE" w:rsidRDefault="008B061F" w:rsidP="00F613D5">
      <w:pPr>
        <w:pStyle w:val="ListParagraph"/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</w:p>
    <w:p w:rsidR="005D781F" w:rsidRPr="006F1FFE" w:rsidRDefault="005D781F" w:rsidP="00F613D5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</w:p>
    <w:p w:rsidR="00257BF3" w:rsidRPr="006F1FFE" w:rsidRDefault="00483490" w:rsidP="00F613D5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6F1FFE">
        <w:rPr>
          <w:rFonts w:hint="eastAsia"/>
          <w:sz w:val="20"/>
          <w:szCs w:val="20"/>
          <w:lang w:eastAsia="zh-CN"/>
        </w:rPr>
        <w:t>6</w:t>
      </w:r>
      <w:r w:rsidR="00592A9F" w:rsidRPr="006F1FFE">
        <w:rPr>
          <w:sz w:val="20"/>
          <w:szCs w:val="20"/>
        </w:rPr>
        <w:t>/</w:t>
      </w:r>
      <w:r w:rsidRPr="006F1FFE">
        <w:rPr>
          <w:rFonts w:hint="eastAsia"/>
          <w:sz w:val="20"/>
          <w:szCs w:val="20"/>
          <w:lang w:eastAsia="zh-CN"/>
        </w:rPr>
        <w:t>25</w:t>
      </w:r>
      <w:r w:rsidR="00592A9F" w:rsidRPr="006F1FFE">
        <w:rPr>
          <w:sz w:val="20"/>
          <w:szCs w:val="20"/>
        </w:rPr>
        <w:t>/2017</w:t>
      </w:r>
    </w:p>
    <w:sectPr w:rsidR="00257BF3" w:rsidRPr="006F1FFE" w:rsidSect="00592A9F"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94" w:rsidRDefault="00776694" w:rsidP="009527EF">
      <w:r>
        <w:separator/>
      </w:r>
    </w:p>
  </w:endnote>
  <w:endnote w:type="continuationSeparator" w:id="0">
    <w:p w:rsidR="00776694" w:rsidRDefault="00776694" w:rsidP="0095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OTNEJMQuadraat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1D" w:rsidRPr="006D3BA6" w:rsidRDefault="004407BD" w:rsidP="006D3BA6">
    <w:pPr>
      <w:jc w:val="center"/>
      <w:rPr>
        <w:sz w:val="20"/>
      </w:rPr>
    </w:pPr>
    <w:r w:rsidRPr="006D3BA6">
      <w:rPr>
        <w:sz w:val="20"/>
      </w:rPr>
      <w:fldChar w:fldCharType="begin"/>
    </w:r>
    <w:r w:rsidR="006D3BA6" w:rsidRPr="006D3BA6">
      <w:rPr>
        <w:sz w:val="20"/>
      </w:rPr>
      <w:instrText xml:space="preserve"> page </w:instrText>
    </w:r>
    <w:r w:rsidRPr="006D3BA6">
      <w:rPr>
        <w:sz w:val="20"/>
      </w:rPr>
      <w:fldChar w:fldCharType="separate"/>
    </w:r>
    <w:r w:rsidR="00BA6DD6">
      <w:rPr>
        <w:noProof/>
        <w:sz w:val="20"/>
      </w:rPr>
      <w:t>80</w:t>
    </w:r>
    <w:r w:rsidRPr="006D3BA6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94" w:rsidRDefault="00776694" w:rsidP="009527EF">
      <w:r>
        <w:separator/>
      </w:r>
    </w:p>
  </w:footnote>
  <w:footnote w:type="continuationSeparator" w:id="0">
    <w:p w:rsidR="00776694" w:rsidRDefault="00776694" w:rsidP="0095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A6" w:rsidRPr="006D3BA6" w:rsidRDefault="006D3BA6" w:rsidP="006D3BA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6D3BA6">
      <w:rPr>
        <w:rFonts w:hint="eastAsia"/>
        <w:iCs/>
        <w:color w:val="000000"/>
        <w:sz w:val="20"/>
      </w:rPr>
      <w:tab/>
    </w:r>
    <w:r w:rsidRPr="006D3BA6">
      <w:rPr>
        <w:iCs/>
        <w:color w:val="000000"/>
        <w:sz w:val="20"/>
      </w:rPr>
      <w:t xml:space="preserve">Cancer Biology </w:t>
    </w:r>
    <w:r w:rsidRPr="006D3BA6">
      <w:rPr>
        <w:iCs/>
        <w:sz w:val="20"/>
      </w:rPr>
      <w:t>201</w:t>
    </w:r>
    <w:r w:rsidRPr="006D3BA6">
      <w:rPr>
        <w:rFonts w:hint="eastAsia"/>
        <w:iCs/>
        <w:sz w:val="20"/>
      </w:rPr>
      <w:t>7</w:t>
    </w:r>
    <w:proofErr w:type="gramStart"/>
    <w:r w:rsidRPr="006D3BA6">
      <w:rPr>
        <w:iCs/>
        <w:sz w:val="20"/>
      </w:rPr>
      <w:t>;</w:t>
    </w:r>
    <w:r w:rsidRPr="006D3BA6">
      <w:rPr>
        <w:rFonts w:hint="eastAsia"/>
        <w:iCs/>
        <w:sz w:val="20"/>
      </w:rPr>
      <w:t>7</w:t>
    </w:r>
    <w:proofErr w:type="gramEnd"/>
    <w:r w:rsidRPr="006D3BA6">
      <w:rPr>
        <w:iCs/>
        <w:sz w:val="20"/>
      </w:rPr>
      <w:t>(</w:t>
    </w:r>
    <w:r w:rsidRPr="006D3BA6">
      <w:rPr>
        <w:rFonts w:hint="eastAsia"/>
        <w:iCs/>
        <w:sz w:val="20"/>
      </w:rPr>
      <w:t>2</w:t>
    </w:r>
    <w:r w:rsidRPr="006D3BA6">
      <w:rPr>
        <w:iCs/>
        <w:sz w:val="20"/>
      </w:rPr>
      <w:t xml:space="preserve">)  </w:t>
    </w:r>
    <w:r w:rsidRPr="006D3BA6">
      <w:rPr>
        <w:rFonts w:hint="eastAsia"/>
        <w:iCs/>
        <w:sz w:val="20"/>
      </w:rPr>
      <w:t xml:space="preserve">   </w:t>
    </w:r>
    <w:r w:rsidRPr="006D3BA6">
      <w:rPr>
        <w:rFonts w:hint="eastAsia"/>
        <w:iCs/>
        <w:sz w:val="20"/>
      </w:rPr>
      <w:tab/>
      <w:t xml:space="preserve">     </w:t>
    </w:r>
    <w:r w:rsidRPr="006D3BA6">
      <w:rPr>
        <w:iCs/>
        <w:sz w:val="20"/>
      </w:rPr>
      <w:t xml:space="preserve"> </w:t>
    </w:r>
    <w:r w:rsidRPr="006D3BA6">
      <w:rPr>
        <w:sz w:val="20"/>
      </w:rPr>
      <w:t xml:space="preserve">  </w:t>
    </w:r>
    <w:hyperlink r:id="rId1" w:history="1">
      <w:r w:rsidRPr="006D3BA6">
        <w:rPr>
          <w:rStyle w:val="Hyperlink"/>
          <w:sz w:val="20"/>
        </w:rPr>
        <w:t>http://www.cancerbio.net</w:t>
      </w:r>
    </w:hyperlink>
  </w:p>
  <w:p w:rsidR="006D3BA6" w:rsidRPr="006D3BA6" w:rsidRDefault="006D3BA6" w:rsidP="006D3BA6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54"/>
    <w:multiLevelType w:val="hybridMultilevel"/>
    <w:tmpl w:val="6008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48AB"/>
    <w:multiLevelType w:val="hybridMultilevel"/>
    <w:tmpl w:val="6CF68B3C"/>
    <w:lvl w:ilvl="0" w:tplc="0809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C5E"/>
    <w:multiLevelType w:val="hybridMultilevel"/>
    <w:tmpl w:val="A3A2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7900"/>
    <w:multiLevelType w:val="hybridMultilevel"/>
    <w:tmpl w:val="254E9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8DE"/>
    <w:multiLevelType w:val="hybridMultilevel"/>
    <w:tmpl w:val="9C642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4F1F"/>
    <w:multiLevelType w:val="hybridMultilevel"/>
    <w:tmpl w:val="71821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77CB"/>
    <w:multiLevelType w:val="hybridMultilevel"/>
    <w:tmpl w:val="C520E6B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F7D76"/>
    <w:multiLevelType w:val="hybridMultilevel"/>
    <w:tmpl w:val="C186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9D5"/>
    <w:multiLevelType w:val="hybridMultilevel"/>
    <w:tmpl w:val="CDD0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87"/>
    <w:rsid w:val="00003C62"/>
    <w:rsid w:val="00006F5C"/>
    <w:rsid w:val="0001484E"/>
    <w:rsid w:val="00020FFA"/>
    <w:rsid w:val="00021A78"/>
    <w:rsid w:val="0002764A"/>
    <w:rsid w:val="00035846"/>
    <w:rsid w:val="000416A7"/>
    <w:rsid w:val="00042754"/>
    <w:rsid w:val="000436D1"/>
    <w:rsid w:val="0004463D"/>
    <w:rsid w:val="000550F9"/>
    <w:rsid w:val="0006305C"/>
    <w:rsid w:val="00075422"/>
    <w:rsid w:val="00082077"/>
    <w:rsid w:val="00082D42"/>
    <w:rsid w:val="00085A24"/>
    <w:rsid w:val="00091455"/>
    <w:rsid w:val="000A7754"/>
    <w:rsid w:val="000C17A1"/>
    <w:rsid w:val="000C1DB2"/>
    <w:rsid w:val="000D4316"/>
    <w:rsid w:val="000D7E60"/>
    <w:rsid w:val="00111A56"/>
    <w:rsid w:val="001152FE"/>
    <w:rsid w:val="001154C1"/>
    <w:rsid w:val="001168E2"/>
    <w:rsid w:val="001267E5"/>
    <w:rsid w:val="001356F2"/>
    <w:rsid w:val="00137EB7"/>
    <w:rsid w:val="00140918"/>
    <w:rsid w:val="001549C5"/>
    <w:rsid w:val="00154C00"/>
    <w:rsid w:val="001635AA"/>
    <w:rsid w:val="00170112"/>
    <w:rsid w:val="00177B23"/>
    <w:rsid w:val="00180B13"/>
    <w:rsid w:val="00182967"/>
    <w:rsid w:val="001A63A9"/>
    <w:rsid w:val="001A7A3D"/>
    <w:rsid w:val="001B52F0"/>
    <w:rsid w:val="001B7B0B"/>
    <w:rsid w:val="001C302E"/>
    <w:rsid w:val="001C5BBB"/>
    <w:rsid w:val="001D7428"/>
    <w:rsid w:val="001E39FA"/>
    <w:rsid w:val="001F3EF6"/>
    <w:rsid w:val="00227D9C"/>
    <w:rsid w:val="00255988"/>
    <w:rsid w:val="00257BF3"/>
    <w:rsid w:val="002661EA"/>
    <w:rsid w:val="002A0364"/>
    <w:rsid w:val="002B35D2"/>
    <w:rsid w:val="002B758E"/>
    <w:rsid w:val="002D7402"/>
    <w:rsid w:val="002D7DC0"/>
    <w:rsid w:val="002E66FD"/>
    <w:rsid w:val="002F4EEF"/>
    <w:rsid w:val="00306C95"/>
    <w:rsid w:val="003230D2"/>
    <w:rsid w:val="003320D3"/>
    <w:rsid w:val="00335E6E"/>
    <w:rsid w:val="00337DD4"/>
    <w:rsid w:val="0034123F"/>
    <w:rsid w:val="00341D23"/>
    <w:rsid w:val="00382D17"/>
    <w:rsid w:val="00392BB9"/>
    <w:rsid w:val="003C4902"/>
    <w:rsid w:val="003F66F2"/>
    <w:rsid w:val="003F788A"/>
    <w:rsid w:val="00404511"/>
    <w:rsid w:val="0041723C"/>
    <w:rsid w:val="004174DC"/>
    <w:rsid w:val="00417549"/>
    <w:rsid w:val="0042120B"/>
    <w:rsid w:val="00425B13"/>
    <w:rsid w:val="004407BD"/>
    <w:rsid w:val="00452088"/>
    <w:rsid w:val="00452916"/>
    <w:rsid w:val="004551A4"/>
    <w:rsid w:val="004715EC"/>
    <w:rsid w:val="0047411C"/>
    <w:rsid w:val="00480B68"/>
    <w:rsid w:val="00483490"/>
    <w:rsid w:val="004A1063"/>
    <w:rsid w:val="004A1EDC"/>
    <w:rsid w:val="004B0671"/>
    <w:rsid w:val="004C1857"/>
    <w:rsid w:val="004C26C1"/>
    <w:rsid w:val="004C3A4A"/>
    <w:rsid w:val="004C74FE"/>
    <w:rsid w:val="004D162A"/>
    <w:rsid w:val="004D4414"/>
    <w:rsid w:val="004E7367"/>
    <w:rsid w:val="00507012"/>
    <w:rsid w:val="00521D42"/>
    <w:rsid w:val="0052509B"/>
    <w:rsid w:val="00527F11"/>
    <w:rsid w:val="00556DB5"/>
    <w:rsid w:val="005712CE"/>
    <w:rsid w:val="005918AD"/>
    <w:rsid w:val="00592A9F"/>
    <w:rsid w:val="00596F66"/>
    <w:rsid w:val="005C076F"/>
    <w:rsid w:val="005C37E5"/>
    <w:rsid w:val="005D781F"/>
    <w:rsid w:val="005F5135"/>
    <w:rsid w:val="006034EC"/>
    <w:rsid w:val="00605BA1"/>
    <w:rsid w:val="0061084B"/>
    <w:rsid w:val="00613C38"/>
    <w:rsid w:val="00630434"/>
    <w:rsid w:val="00632B81"/>
    <w:rsid w:val="006414CD"/>
    <w:rsid w:val="00660071"/>
    <w:rsid w:val="00670B88"/>
    <w:rsid w:val="00680FF5"/>
    <w:rsid w:val="006814BD"/>
    <w:rsid w:val="00681672"/>
    <w:rsid w:val="00696748"/>
    <w:rsid w:val="006A2D6F"/>
    <w:rsid w:val="006A523C"/>
    <w:rsid w:val="006B3950"/>
    <w:rsid w:val="006B50EE"/>
    <w:rsid w:val="006C79B3"/>
    <w:rsid w:val="006D0C4C"/>
    <w:rsid w:val="006D33FC"/>
    <w:rsid w:val="006D3BA6"/>
    <w:rsid w:val="006D40F9"/>
    <w:rsid w:val="006F1FFE"/>
    <w:rsid w:val="00703CC8"/>
    <w:rsid w:val="007062F3"/>
    <w:rsid w:val="007063D8"/>
    <w:rsid w:val="00706DE1"/>
    <w:rsid w:val="007143E1"/>
    <w:rsid w:val="00734748"/>
    <w:rsid w:val="00737473"/>
    <w:rsid w:val="0074483B"/>
    <w:rsid w:val="00744844"/>
    <w:rsid w:val="00745C69"/>
    <w:rsid w:val="0075472E"/>
    <w:rsid w:val="0075625C"/>
    <w:rsid w:val="00765F45"/>
    <w:rsid w:val="007751AB"/>
    <w:rsid w:val="00776694"/>
    <w:rsid w:val="00777B95"/>
    <w:rsid w:val="00781FD1"/>
    <w:rsid w:val="007854AA"/>
    <w:rsid w:val="007B37F3"/>
    <w:rsid w:val="007C0F4D"/>
    <w:rsid w:val="007C4D9C"/>
    <w:rsid w:val="007D1CA5"/>
    <w:rsid w:val="007D30DD"/>
    <w:rsid w:val="007E435F"/>
    <w:rsid w:val="007E7F19"/>
    <w:rsid w:val="007F5B2C"/>
    <w:rsid w:val="00800B04"/>
    <w:rsid w:val="008043AB"/>
    <w:rsid w:val="008443F1"/>
    <w:rsid w:val="00845DE0"/>
    <w:rsid w:val="00853ECF"/>
    <w:rsid w:val="008551D9"/>
    <w:rsid w:val="00890CE9"/>
    <w:rsid w:val="0089102D"/>
    <w:rsid w:val="00895B87"/>
    <w:rsid w:val="008A3A6D"/>
    <w:rsid w:val="008A53A4"/>
    <w:rsid w:val="008A5DC0"/>
    <w:rsid w:val="008B061F"/>
    <w:rsid w:val="008C5007"/>
    <w:rsid w:val="008E1153"/>
    <w:rsid w:val="008F0F0C"/>
    <w:rsid w:val="008F4B4B"/>
    <w:rsid w:val="008F7627"/>
    <w:rsid w:val="0090548A"/>
    <w:rsid w:val="00912A38"/>
    <w:rsid w:val="0092560C"/>
    <w:rsid w:val="00925E0C"/>
    <w:rsid w:val="009321EA"/>
    <w:rsid w:val="009346DC"/>
    <w:rsid w:val="00936D6E"/>
    <w:rsid w:val="00943726"/>
    <w:rsid w:val="009527EF"/>
    <w:rsid w:val="0096141D"/>
    <w:rsid w:val="00967539"/>
    <w:rsid w:val="009860F1"/>
    <w:rsid w:val="009A3E57"/>
    <w:rsid w:val="009B518A"/>
    <w:rsid w:val="009C62D9"/>
    <w:rsid w:val="009C7144"/>
    <w:rsid w:val="009C7AEE"/>
    <w:rsid w:val="009D5C04"/>
    <w:rsid w:val="009D5C32"/>
    <w:rsid w:val="009D6B7E"/>
    <w:rsid w:val="009D7A04"/>
    <w:rsid w:val="009E366B"/>
    <w:rsid w:val="009F039C"/>
    <w:rsid w:val="00A0215F"/>
    <w:rsid w:val="00A026CA"/>
    <w:rsid w:val="00A204CE"/>
    <w:rsid w:val="00A35EEA"/>
    <w:rsid w:val="00A42964"/>
    <w:rsid w:val="00A44F22"/>
    <w:rsid w:val="00A55D5B"/>
    <w:rsid w:val="00A771EB"/>
    <w:rsid w:val="00A7752C"/>
    <w:rsid w:val="00A83B3A"/>
    <w:rsid w:val="00AA2FBE"/>
    <w:rsid w:val="00AB1446"/>
    <w:rsid w:val="00AB675F"/>
    <w:rsid w:val="00AC3610"/>
    <w:rsid w:val="00AD5780"/>
    <w:rsid w:val="00AE147D"/>
    <w:rsid w:val="00AF11E8"/>
    <w:rsid w:val="00AF2E44"/>
    <w:rsid w:val="00B17980"/>
    <w:rsid w:val="00B25BCC"/>
    <w:rsid w:val="00B301CC"/>
    <w:rsid w:val="00B355D6"/>
    <w:rsid w:val="00B37373"/>
    <w:rsid w:val="00B5506F"/>
    <w:rsid w:val="00B712F1"/>
    <w:rsid w:val="00B736C2"/>
    <w:rsid w:val="00B75CDC"/>
    <w:rsid w:val="00B85B31"/>
    <w:rsid w:val="00BA1462"/>
    <w:rsid w:val="00BA62D2"/>
    <w:rsid w:val="00BA6DD6"/>
    <w:rsid w:val="00BD4CF4"/>
    <w:rsid w:val="00BE31F5"/>
    <w:rsid w:val="00BE4435"/>
    <w:rsid w:val="00C00554"/>
    <w:rsid w:val="00C142D7"/>
    <w:rsid w:val="00C252F1"/>
    <w:rsid w:val="00C36696"/>
    <w:rsid w:val="00C37A3B"/>
    <w:rsid w:val="00C52D37"/>
    <w:rsid w:val="00C64A2D"/>
    <w:rsid w:val="00C65316"/>
    <w:rsid w:val="00C6790A"/>
    <w:rsid w:val="00C93DE2"/>
    <w:rsid w:val="00CA1DBC"/>
    <w:rsid w:val="00CB3E2F"/>
    <w:rsid w:val="00CC4B07"/>
    <w:rsid w:val="00CD1633"/>
    <w:rsid w:val="00CD4AB1"/>
    <w:rsid w:val="00CE5CD7"/>
    <w:rsid w:val="00D102B9"/>
    <w:rsid w:val="00D13B7F"/>
    <w:rsid w:val="00D20CB2"/>
    <w:rsid w:val="00D30E06"/>
    <w:rsid w:val="00D33701"/>
    <w:rsid w:val="00D6708B"/>
    <w:rsid w:val="00D729EE"/>
    <w:rsid w:val="00D72D5F"/>
    <w:rsid w:val="00D73F80"/>
    <w:rsid w:val="00D828DA"/>
    <w:rsid w:val="00D8649D"/>
    <w:rsid w:val="00D93C22"/>
    <w:rsid w:val="00DA59AF"/>
    <w:rsid w:val="00DA666F"/>
    <w:rsid w:val="00DC0E94"/>
    <w:rsid w:val="00DC29B9"/>
    <w:rsid w:val="00DE052C"/>
    <w:rsid w:val="00DE7B2B"/>
    <w:rsid w:val="00DF349E"/>
    <w:rsid w:val="00E05EEA"/>
    <w:rsid w:val="00E14DBA"/>
    <w:rsid w:val="00E20B13"/>
    <w:rsid w:val="00E52007"/>
    <w:rsid w:val="00E56387"/>
    <w:rsid w:val="00E564F0"/>
    <w:rsid w:val="00E667D1"/>
    <w:rsid w:val="00E71699"/>
    <w:rsid w:val="00E85995"/>
    <w:rsid w:val="00E90F64"/>
    <w:rsid w:val="00E90FBF"/>
    <w:rsid w:val="00E9490A"/>
    <w:rsid w:val="00EA1375"/>
    <w:rsid w:val="00EB13DF"/>
    <w:rsid w:val="00EC30B4"/>
    <w:rsid w:val="00ED5AC2"/>
    <w:rsid w:val="00EE19B8"/>
    <w:rsid w:val="00EE613B"/>
    <w:rsid w:val="00EE61B1"/>
    <w:rsid w:val="00EE6CBD"/>
    <w:rsid w:val="00EE7D73"/>
    <w:rsid w:val="00F15E00"/>
    <w:rsid w:val="00F16256"/>
    <w:rsid w:val="00F22B55"/>
    <w:rsid w:val="00F25A9D"/>
    <w:rsid w:val="00F25B0C"/>
    <w:rsid w:val="00F35056"/>
    <w:rsid w:val="00F36E20"/>
    <w:rsid w:val="00F449D6"/>
    <w:rsid w:val="00F45EBF"/>
    <w:rsid w:val="00F50244"/>
    <w:rsid w:val="00F570BF"/>
    <w:rsid w:val="00F57B66"/>
    <w:rsid w:val="00F613D5"/>
    <w:rsid w:val="00F61EA5"/>
    <w:rsid w:val="00F77245"/>
    <w:rsid w:val="00F80634"/>
    <w:rsid w:val="00F91501"/>
    <w:rsid w:val="00FC1798"/>
    <w:rsid w:val="00FD26D3"/>
    <w:rsid w:val="00FE5E92"/>
    <w:rsid w:val="00FE5EEF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D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F6B21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2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7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2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EF"/>
    <w:rPr>
      <w:sz w:val="24"/>
      <w:szCs w:val="24"/>
    </w:rPr>
  </w:style>
  <w:style w:type="paragraph" w:customStyle="1" w:styleId="Default">
    <w:name w:val="Default"/>
    <w:rsid w:val="00681672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52D37"/>
    <w:rPr>
      <w:b/>
      <w:bCs/>
      <w:i w:val="0"/>
      <w:iCs w:val="0"/>
    </w:rPr>
  </w:style>
  <w:style w:type="character" w:customStyle="1" w:styleId="jrnl">
    <w:name w:val="jrnl"/>
    <w:basedOn w:val="DefaultParagraphFont"/>
    <w:rsid w:val="009860F1"/>
  </w:style>
  <w:style w:type="character" w:customStyle="1" w:styleId="A11">
    <w:name w:val="A11"/>
    <w:uiPriority w:val="99"/>
    <w:rsid w:val="009860F1"/>
    <w:rPr>
      <w:rFonts w:cs="Times New Roman PS"/>
      <w:color w:val="000000"/>
      <w:sz w:val="11"/>
      <w:szCs w:val="11"/>
    </w:rPr>
  </w:style>
  <w:style w:type="paragraph" w:customStyle="1" w:styleId="Pa26">
    <w:name w:val="Pa26"/>
    <w:basedOn w:val="Default"/>
    <w:next w:val="Default"/>
    <w:uiPriority w:val="99"/>
    <w:rsid w:val="00B355D6"/>
    <w:pPr>
      <w:spacing w:line="161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93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4CD"/>
    <w:pPr>
      <w:ind w:left="720"/>
      <w:contextualSpacing/>
    </w:pPr>
  </w:style>
  <w:style w:type="character" w:customStyle="1" w:styleId="highlight2">
    <w:name w:val="highlight2"/>
    <w:basedOn w:val="DefaultParagraphFont"/>
    <w:rsid w:val="00FF6B21"/>
  </w:style>
  <w:style w:type="character" w:customStyle="1" w:styleId="Heading1Char">
    <w:name w:val="Heading 1 Char"/>
    <w:basedOn w:val="DefaultParagraphFont"/>
    <w:link w:val="Heading1"/>
    <w:uiPriority w:val="9"/>
    <w:rsid w:val="00FF6B21"/>
    <w:rPr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uiPriority w:val="99"/>
    <w:rsid w:val="00D72D5F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613D5"/>
    <w:pPr>
      <w:spacing w:before="100" w:beforeAutospacing="1" w:after="100" w:afterAutospacing="1"/>
    </w:pPr>
    <w:rPr>
      <w:lang w:val="en-US" w:eastAsia="zh-CN"/>
    </w:rPr>
  </w:style>
  <w:style w:type="character" w:customStyle="1" w:styleId="NoSpacingChar">
    <w:name w:val="No Spacing Char"/>
    <w:basedOn w:val="DefaultParagraphFont"/>
    <w:link w:val="NoSpacing"/>
    <w:locked/>
    <w:rsid w:val="00F613D5"/>
    <w:rPr>
      <w:rFonts w:eastAsia="宋体"/>
      <w:sz w:val="24"/>
      <w:szCs w:val="24"/>
      <w:lang w:val="en-US" w:eastAsia="zh-CN"/>
    </w:rPr>
  </w:style>
  <w:style w:type="character" w:customStyle="1" w:styleId="msonormal0">
    <w:name w:val="msonormal0"/>
    <w:basedOn w:val="DefaultParagraphFont"/>
    <w:rsid w:val="00F61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B21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2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7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2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EF"/>
    <w:rPr>
      <w:sz w:val="24"/>
      <w:szCs w:val="24"/>
    </w:rPr>
  </w:style>
  <w:style w:type="paragraph" w:customStyle="1" w:styleId="Default">
    <w:name w:val="Default"/>
    <w:rsid w:val="00681672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D37"/>
    <w:rPr>
      <w:b/>
      <w:bCs/>
      <w:i w:val="0"/>
      <w:iCs w:val="0"/>
    </w:rPr>
  </w:style>
  <w:style w:type="character" w:customStyle="1" w:styleId="jrnl">
    <w:name w:val="jrnl"/>
    <w:basedOn w:val="DefaultParagraphFont"/>
    <w:rsid w:val="009860F1"/>
  </w:style>
  <w:style w:type="character" w:customStyle="1" w:styleId="A11">
    <w:name w:val="A11"/>
    <w:uiPriority w:val="99"/>
    <w:rsid w:val="009860F1"/>
    <w:rPr>
      <w:rFonts w:cs="Times New Roman PS"/>
      <w:color w:val="000000"/>
      <w:sz w:val="11"/>
      <w:szCs w:val="11"/>
    </w:rPr>
  </w:style>
  <w:style w:type="paragraph" w:customStyle="1" w:styleId="Pa26">
    <w:name w:val="Pa26"/>
    <w:basedOn w:val="Default"/>
    <w:next w:val="Default"/>
    <w:uiPriority w:val="99"/>
    <w:rsid w:val="00B355D6"/>
    <w:pPr>
      <w:spacing w:line="161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9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4CD"/>
    <w:pPr>
      <w:ind w:left="720"/>
      <w:contextualSpacing/>
    </w:pPr>
  </w:style>
  <w:style w:type="character" w:customStyle="1" w:styleId="highlight2">
    <w:name w:val="highlight2"/>
    <w:basedOn w:val="DefaultParagraphFont"/>
    <w:rsid w:val="00FF6B21"/>
  </w:style>
  <w:style w:type="character" w:customStyle="1" w:styleId="Heading1Char">
    <w:name w:val="Heading 1 Char"/>
    <w:basedOn w:val="DefaultParagraphFont"/>
    <w:link w:val="Heading1"/>
    <w:uiPriority w:val="9"/>
    <w:rsid w:val="00FF6B21"/>
    <w:rPr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rsid w:val="00D72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3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3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2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3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72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aie.elhelw@uhns.nhs.uk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://www.ncbi.nlm.nih.gov/pubmed/22894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4343171" TargetMode="External"/><Relationship Id="rId7" Type="http://schemas.openxmlformats.org/officeDocument/2006/relationships/hyperlink" Target="mailto:loaieelhelw@hotmail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://www.ncbi.nlm.nih.gov/pubmed/?term=Saad%20F%5BAuthor%5D&amp;cauthor=true&amp;cauthor_uid=22894553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loaie.elhelw@uhns.nhs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ncbi.nlm.nih.gov/pubmed/?term=Ouk%20S%5BAuthor%5D&amp;cauthor=true&amp;cauthor_uid=1935954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ncbi.nlm.nih.gov/pubmed/186746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x.doi.org/10.7537/marscbj070217.10" TargetMode="External"/><Relationship Id="rId19" Type="http://schemas.openxmlformats.org/officeDocument/2006/relationships/hyperlink" Target="mailto:Loaieelhelw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ncbi.nlm.nih.gov/pubmed/?term=Scher%20HI%5BAuthor%5D&amp;cauthor=true&amp;cauthor_uid=1867463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omnia</dc:creator>
  <cp:lastModifiedBy>Administrator</cp:lastModifiedBy>
  <cp:revision>4</cp:revision>
  <cp:lastPrinted>2016-06-26T01:35:00Z</cp:lastPrinted>
  <dcterms:created xsi:type="dcterms:W3CDTF">2017-07-06T07:42:00Z</dcterms:created>
  <dcterms:modified xsi:type="dcterms:W3CDTF">2017-07-04T11:35:00Z</dcterms:modified>
</cp:coreProperties>
</file>