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B258EE" w:rsidRDefault="007D1FF9" w:rsidP="00B258EE">
      <w:pPr>
        <w:suppressAutoHyphens w:val="0"/>
        <w:autoSpaceDE w:val="0"/>
        <w:autoSpaceDN w:val="0"/>
        <w:adjustRightInd w:val="0"/>
        <w:snapToGrid w:val="0"/>
        <w:ind w:right="4"/>
        <w:jc w:val="center"/>
        <w:rPr>
          <w:b/>
          <w:bCs/>
          <w:sz w:val="20"/>
          <w:szCs w:val="20"/>
          <w:lang w:eastAsia="zh-CN"/>
        </w:rPr>
      </w:pPr>
      <w:r w:rsidRPr="00B258EE">
        <w:rPr>
          <w:b/>
          <w:bCs/>
          <w:sz w:val="20"/>
          <w:szCs w:val="20"/>
          <w:lang w:eastAsia="zh-CN"/>
        </w:rPr>
        <w:t>An investigation of the effect of the covariates on survival time of Breast Cancer patients in Saudi Arabia.</w:t>
      </w:r>
    </w:p>
    <w:p w:rsidR="00743C30" w:rsidRPr="00B258EE" w:rsidRDefault="00743C30" w:rsidP="00B258EE">
      <w:pPr>
        <w:suppressAutoHyphens w:val="0"/>
        <w:autoSpaceDE w:val="0"/>
        <w:autoSpaceDN w:val="0"/>
        <w:adjustRightInd w:val="0"/>
        <w:snapToGrid w:val="0"/>
        <w:ind w:right="4"/>
        <w:jc w:val="center"/>
        <w:rPr>
          <w:b/>
          <w:bCs/>
          <w:sz w:val="20"/>
          <w:szCs w:val="20"/>
          <w:lang w:eastAsia="zh-CN"/>
        </w:rPr>
      </w:pPr>
    </w:p>
    <w:p w:rsidR="00471E57" w:rsidRPr="00B258EE" w:rsidRDefault="00642D15" w:rsidP="00B258EE">
      <w:pPr>
        <w:suppressAutoHyphens w:val="0"/>
        <w:snapToGrid w:val="0"/>
        <w:ind w:right="4"/>
        <w:jc w:val="center"/>
        <w:rPr>
          <w:sz w:val="20"/>
          <w:szCs w:val="20"/>
        </w:rPr>
      </w:pPr>
      <w:proofErr w:type="spellStart"/>
      <w:r w:rsidRPr="00B258EE">
        <w:rPr>
          <w:sz w:val="20"/>
          <w:szCs w:val="20"/>
        </w:rPr>
        <w:t>Refah</w:t>
      </w:r>
      <w:proofErr w:type="spellEnd"/>
      <w:r w:rsidRPr="00B258EE">
        <w:rPr>
          <w:sz w:val="20"/>
          <w:szCs w:val="20"/>
        </w:rPr>
        <w:t xml:space="preserve"> </w:t>
      </w:r>
      <w:proofErr w:type="spellStart"/>
      <w:r w:rsidRPr="00B258EE">
        <w:rPr>
          <w:sz w:val="20"/>
          <w:szCs w:val="20"/>
        </w:rPr>
        <w:t>Alotaibi</w:t>
      </w:r>
      <w:proofErr w:type="spellEnd"/>
    </w:p>
    <w:p w:rsidR="00471E57" w:rsidRPr="00B258EE" w:rsidRDefault="00471E57" w:rsidP="00B258EE">
      <w:pPr>
        <w:suppressAutoHyphens w:val="0"/>
        <w:snapToGrid w:val="0"/>
        <w:ind w:right="4"/>
        <w:jc w:val="center"/>
        <w:rPr>
          <w:sz w:val="20"/>
          <w:szCs w:val="20"/>
        </w:rPr>
      </w:pPr>
    </w:p>
    <w:p w:rsidR="00471E57" w:rsidRPr="00B258EE" w:rsidRDefault="00630762" w:rsidP="00B258EE">
      <w:pPr>
        <w:suppressAutoHyphens w:val="0"/>
        <w:snapToGrid w:val="0"/>
        <w:ind w:right="4"/>
        <w:jc w:val="center"/>
        <w:rPr>
          <w:sz w:val="20"/>
          <w:szCs w:val="20"/>
        </w:rPr>
      </w:pPr>
      <w:r w:rsidRPr="00B258EE">
        <w:rPr>
          <w:sz w:val="20"/>
          <w:szCs w:val="20"/>
        </w:rPr>
        <w:t xml:space="preserve">Mathematical Science Department, Princess </w:t>
      </w:r>
      <w:proofErr w:type="spellStart"/>
      <w:r w:rsidRPr="00B258EE">
        <w:rPr>
          <w:sz w:val="20"/>
          <w:szCs w:val="20"/>
        </w:rPr>
        <w:t>Nourah</w:t>
      </w:r>
      <w:proofErr w:type="spellEnd"/>
      <w:r w:rsidRPr="00B258EE">
        <w:rPr>
          <w:sz w:val="20"/>
          <w:szCs w:val="20"/>
        </w:rPr>
        <w:t xml:space="preserve"> </w:t>
      </w:r>
      <w:proofErr w:type="spellStart"/>
      <w:r w:rsidRPr="00B258EE">
        <w:rPr>
          <w:sz w:val="20"/>
          <w:szCs w:val="20"/>
        </w:rPr>
        <w:t>Bint</w:t>
      </w:r>
      <w:proofErr w:type="spellEnd"/>
      <w:r w:rsidRPr="00B258EE">
        <w:rPr>
          <w:sz w:val="20"/>
          <w:szCs w:val="20"/>
        </w:rPr>
        <w:t xml:space="preserve"> </w:t>
      </w:r>
      <w:proofErr w:type="spellStart"/>
      <w:r w:rsidRPr="00B258EE">
        <w:rPr>
          <w:sz w:val="20"/>
          <w:szCs w:val="20"/>
        </w:rPr>
        <w:t>Abdulrahman</w:t>
      </w:r>
      <w:proofErr w:type="spellEnd"/>
      <w:r w:rsidRPr="00B258EE">
        <w:rPr>
          <w:sz w:val="20"/>
          <w:szCs w:val="20"/>
        </w:rPr>
        <w:t xml:space="preserve"> University, P.O. Box 84428, Riyadh 11671, Saudi Arabia.</w:t>
      </w:r>
    </w:p>
    <w:p w:rsidR="00B258EE" w:rsidRPr="00B258EE" w:rsidRDefault="00B258EE" w:rsidP="00B258EE">
      <w:pPr>
        <w:suppressAutoHyphens w:val="0"/>
        <w:snapToGrid w:val="0"/>
        <w:ind w:right="4"/>
        <w:jc w:val="center"/>
        <w:rPr>
          <w:sz w:val="20"/>
          <w:szCs w:val="20"/>
        </w:rPr>
      </w:pPr>
      <w:r w:rsidRPr="00B258EE">
        <w:rPr>
          <w:sz w:val="20"/>
          <w:szCs w:val="20"/>
        </w:rPr>
        <w:t xml:space="preserve">E-mail: </w:t>
      </w:r>
      <w:hyperlink r:id="rId8" w:history="1">
        <w:r w:rsidRPr="00B258EE">
          <w:rPr>
            <w:rStyle w:val="Hyperlink"/>
            <w:sz w:val="20"/>
            <w:szCs w:val="20"/>
          </w:rPr>
          <w:t>rmalotaibi@pnu.edu.sa</w:t>
        </w:r>
      </w:hyperlink>
    </w:p>
    <w:p w:rsidR="001817C7" w:rsidRPr="00B258EE" w:rsidRDefault="001817C7" w:rsidP="00B258EE">
      <w:pPr>
        <w:suppressAutoHyphens w:val="0"/>
        <w:snapToGrid w:val="0"/>
        <w:ind w:right="4"/>
        <w:jc w:val="center"/>
        <w:rPr>
          <w:sz w:val="20"/>
          <w:szCs w:val="20"/>
        </w:rPr>
      </w:pPr>
    </w:p>
    <w:p w:rsidR="00012408" w:rsidRPr="00B258EE" w:rsidRDefault="00471E57" w:rsidP="009C702A">
      <w:pPr>
        <w:suppressAutoHyphens w:val="0"/>
        <w:autoSpaceDE w:val="0"/>
        <w:autoSpaceDN w:val="0"/>
        <w:adjustRightInd w:val="0"/>
        <w:snapToGrid w:val="0"/>
        <w:jc w:val="both"/>
        <w:rPr>
          <w:color w:val="000000"/>
          <w:sz w:val="20"/>
          <w:szCs w:val="20"/>
        </w:rPr>
      </w:pPr>
      <w:r w:rsidRPr="00B258EE">
        <w:rPr>
          <w:b/>
          <w:sz w:val="20"/>
          <w:szCs w:val="20"/>
        </w:rPr>
        <w:t xml:space="preserve">Abstract: </w:t>
      </w:r>
      <w:r w:rsidR="00D93819" w:rsidRPr="00B258EE">
        <w:rPr>
          <w:sz w:val="20"/>
          <w:szCs w:val="20"/>
          <w:lang w:eastAsia="zh-CN"/>
        </w:rPr>
        <w:t>Breast cancer is the most common type of cancer in Saudi women, according to the</w:t>
      </w:r>
      <w:r w:rsidR="00E567B1" w:rsidRPr="00B258EE">
        <w:rPr>
          <w:sz w:val="20"/>
          <w:szCs w:val="20"/>
          <w:lang w:eastAsia="zh-CN"/>
        </w:rPr>
        <w:t xml:space="preserve"> </w:t>
      </w:r>
      <w:r w:rsidR="00D93819" w:rsidRPr="00B258EE">
        <w:rPr>
          <w:sz w:val="20"/>
          <w:szCs w:val="20"/>
          <w:lang w:eastAsia="zh-CN"/>
        </w:rPr>
        <w:t>Saudi Cancer Registry in King Faisal Specialist Hospital and Research Centre (KFSH and RC). Around 930 new cases is diagnosed per year, which means that 19.5% of women in Saudi Arabi</w:t>
      </w:r>
      <w:r w:rsidR="00743C30" w:rsidRPr="00B258EE">
        <w:rPr>
          <w:sz w:val="20"/>
          <w:szCs w:val="20"/>
          <w:lang w:eastAsia="zh-CN"/>
        </w:rPr>
        <w:t>a (</w:t>
      </w:r>
      <w:r w:rsidR="00D93819" w:rsidRPr="00B258EE">
        <w:rPr>
          <w:sz w:val="20"/>
          <w:szCs w:val="20"/>
          <w:lang w:eastAsia="zh-CN"/>
        </w:rPr>
        <w:t>Saudi and non-Saudi). The primary objective of this work is to investigate the effect of the covariates on survival time of Breast cancer patients in Saudi Arabia in order to estimate the survival probability of the different patients with different covariate combinations. We fit the Cox proportional hazards model and predict the lifetime of any patient given her covariates. The survival data for this project will consist of a study of 8312 (8172) females and about 140 males (1.68%) patients with advanced breast cancer</w:t>
      </w:r>
      <w:r w:rsidR="00A150EA" w:rsidRPr="00B258EE">
        <w:rPr>
          <w:sz w:val="20"/>
          <w:szCs w:val="20"/>
          <w:lang w:eastAsia="zh-CN"/>
        </w:rPr>
        <w:t xml:space="preserve"> </w:t>
      </w:r>
      <w:r w:rsidR="00D93819" w:rsidRPr="00B258EE">
        <w:rPr>
          <w:sz w:val="20"/>
          <w:szCs w:val="20"/>
          <w:lang w:eastAsia="zh-CN"/>
        </w:rPr>
        <w:t>with thirteen covariates collected for 9-years (2004 to 2013).</w:t>
      </w:r>
    </w:p>
    <w:p w:rsidR="009C702A" w:rsidRPr="00B258EE" w:rsidRDefault="009C702A" w:rsidP="009C702A">
      <w:pPr>
        <w:suppressAutoHyphens w:val="0"/>
        <w:snapToGrid w:val="0"/>
        <w:jc w:val="both"/>
        <w:rPr>
          <w:sz w:val="20"/>
          <w:szCs w:val="20"/>
        </w:rPr>
      </w:pPr>
      <w:r w:rsidRPr="00B258EE">
        <w:rPr>
          <w:b/>
          <w:sz w:val="20"/>
          <w:szCs w:val="20"/>
          <w:lang w:val="en-GB"/>
        </w:rPr>
        <w:t>[</w:t>
      </w:r>
      <w:proofErr w:type="spellStart"/>
      <w:r w:rsidRPr="00B258EE">
        <w:rPr>
          <w:sz w:val="20"/>
          <w:szCs w:val="20"/>
        </w:rPr>
        <w:t>Refah</w:t>
      </w:r>
      <w:proofErr w:type="spellEnd"/>
      <w:r w:rsidRPr="00B258EE">
        <w:rPr>
          <w:sz w:val="20"/>
          <w:szCs w:val="20"/>
        </w:rPr>
        <w:t xml:space="preserve"> </w:t>
      </w:r>
      <w:proofErr w:type="spellStart"/>
      <w:r w:rsidRPr="00B258EE">
        <w:rPr>
          <w:sz w:val="20"/>
          <w:szCs w:val="20"/>
        </w:rPr>
        <w:t>Alotaibi</w:t>
      </w:r>
      <w:proofErr w:type="spellEnd"/>
      <w:r w:rsidRPr="00B258EE">
        <w:rPr>
          <w:sz w:val="20"/>
          <w:szCs w:val="20"/>
        </w:rPr>
        <w:t xml:space="preserve">. </w:t>
      </w:r>
      <w:r w:rsidRPr="00B258EE">
        <w:rPr>
          <w:b/>
          <w:bCs/>
          <w:sz w:val="20"/>
          <w:szCs w:val="20"/>
          <w:lang w:eastAsia="zh-CN"/>
        </w:rPr>
        <w:t>An investigation of the effect of the covariates on survival time of Breast Cancer patients in Saudi Arabia</w:t>
      </w:r>
      <w:r w:rsidRPr="00B258EE">
        <w:rPr>
          <w:rFonts w:eastAsia="Times New Roman"/>
          <w:b/>
          <w:bCs/>
          <w:sz w:val="20"/>
          <w:szCs w:val="20"/>
          <w:lang w:bidi="fa-IR"/>
        </w:rPr>
        <w:t>.</w:t>
      </w:r>
      <w:r w:rsidRPr="00B258EE">
        <w:rPr>
          <w:i/>
          <w:sz w:val="20"/>
          <w:szCs w:val="20"/>
        </w:rPr>
        <w:t xml:space="preserve"> Cancer Biology</w:t>
      </w:r>
      <w:r w:rsidRPr="00B258EE">
        <w:rPr>
          <w:sz w:val="20"/>
          <w:szCs w:val="20"/>
        </w:rPr>
        <w:t xml:space="preserve"> 2017;7(2):</w:t>
      </w:r>
      <w:r w:rsidR="00135C77" w:rsidRPr="00B258EE">
        <w:rPr>
          <w:noProof/>
          <w:color w:val="000000"/>
          <w:sz w:val="20"/>
          <w:szCs w:val="20"/>
        </w:rPr>
        <w:t>48-54</w:t>
      </w:r>
      <w:r w:rsidRPr="00B258EE">
        <w:rPr>
          <w:sz w:val="20"/>
          <w:szCs w:val="20"/>
        </w:rPr>
        <w:t xml:space="preserve">]. </w:t>
      </w:r>
      <w:r w:rsidRPr="00B258EE">
        <w:rPr>
          <w:rStyle w:val="msonormal0"/>
          <w:rFonts w:eastAsia="宋"/>
          <w:sz w:val="20"/>
          <w:szCs w:val="20"/>
        </w:rPr>
        <w:t>ISSN: 2150-1041 (print); ISSN: 2150-105X (online)</w:t>
      </w:r>
      <w:r w:rsidRPr="00B258EE">
        <w:rPr>
          <w:sz w:val="20"/>
          <w:szCs w:val="20"/>
        </w:rPr>
        <w:t xml:space="preserve">. </w:t>
      </w:r>
      <w:hyperlink r:id="rId9" w:history="1">
        <w:r w:rsidRPr="00B258EE">
          <w:rPr>
            <w:rStyle w:val="Hyperlink"/>
            <w:sz w:val="20"/>
            <w:szCs w:val="20"/>
          </w:rPr>
          <w:t>http://www.cancerbio.net</w:t>
        </w:r>
      </w:hyperlink>
      <w:r w:rsidRPr="00B258EE">
        <w:rPr>
          <w:sz w:val="20"/>
          <w:szCs w:val="20"/>
        </w:rPr>
        <w:t xml:space="preserve">. </w:t>
      </w:r>
      <w:r w:rsidRPr="00B258EE">
        <w:rPr>
          <w:sz w:val="20"/>
          <w:szCs w:val="20"/>
          <w:lang w:eastAsia="zh-CN"/>
        </w:rPr>
        <w:t>7</w:t>
      </w:r>
      <w:r w:rsidRPr="00B258EE">
        <w:rPr>
          <w:sz w:val="20"/>
          <w:szCs w:val="20"/>
        </w:rPr>
        <w:t xml:space="preserve">. </w:t>
      </w:r>
      <w:r w:rsidRPr="00B258EE">
        <w:rPr>
          <w:color w:val="000000"/>
          <w:sz w:val="20"/>
          <w:szCs w:val="20"/>
          <w:shd w:val="clear" w:color="auto" w:fill="FFFFFF"/>
        </w:rPr>
        <w:t>doi:</w:t>
      </w:r>
      <w:hyperlink r:id="rId10" w:history="1">
        <w:r w:rsidRPr="00B258EE">
          <w:rPr>
            <w:rStyle w:val="Hyperlink"/>
            <w:sz w:val="20"/>
            <w:szCs w:val="20"/>
            <w:shd w:val="clear" w:color="auto" w:fill="FFFFFF"/>
          </w:rPr>
          <w:t>10.7537/marscbj070217.0</w:t>
        </w:r>
        <w:r w:rsidRPr="00B258EE">
          <w:rPr>
            <w:rStyle w:val="Hyperlink"/>
            <w:sz w:val="20"/>
            <w:szCs w:val="20"/>
            <w:shd w:val="clear" w:color="auto" w:fill="FFFFFF"/>
            <w:lang w:eastAsia="zh-CN"/>
          </w:rPr>
          <w:t>7</w:t>
        </w:r>
      </w:hyperlink>
      <w:r w:rsidRPr="00B258EE">
        <w:rPr>
          <w:color w:val="000000"/>
          <w:sz w:val="20"/>
          <w:szCs w:val="20"/>
          <w:shd w:val="clear" w:color="auto" w:fill="FFFFFF"/>
        </w:rPr>
        <w:t>.</w:t>
      </w:r>
    </w:p>
    <w:p w:rsidR="007D5FE9" w:rsidRPr="00B258EE" w:rsidRDefault="007D5FE9" w:rsidP="009C702A">
      <w:pPr>
        <w:suppressAutoHyphens w:val="0"/>
        <w:snapToGrid w:val="0"/>
        <w:jc w:val="both"/>
        <w:rPr>
          <w:rFonts w:eastAsia="Times New Roman"/>
          <w:b/>
          <w:color w:val="0000FF"/>
          <w:sz w:val="20"/>
          <w:szCs w:val="20"/>
          <w:u w:val="single"/>
          <w:lang w:eastAsia="zh-CN"/>
        </w:rPr>
      </w:pPr>
    </w:p>
    <w:p w:rsidR="001817C7" w:rsidRPr="00B258EE" w:rsidRDefault="001817C7" w:rsidP="009C702A">
      <w:pPr>
        <w:suppressAutoHyphens w:val="0"/>
        <w:snapToGrid w:val="0"/>
        <w:jc w:val="both"/>
        <w:rPr>
          <w:sz w:val="20"/>
          <w:szCs w:val="20"/>
        </w:rPr>
      </w:pPr>
      <w:r w:rsidRPr="00B258EE">
        <w:rPr>
          <w:b/>
          <w:sz w:val="20"/>
          <w:szCs w:val="20"/>
        </w:rPr>
        <w:t xml:space="preserve">Keywords: </w:t>
      </w:r>
      <w:r w:rsidR="00707DB7" w:rsidRPr="00B258EE">
        <w:rPr>
          <w:sz w:val="20"/>
          <w:szCs w:val="20"/>
          <w:lang w:eastAsia="zh-CN"/>
        </w:rPr>
        <w:t>Breast Cancer, model, Kaplan-Meier, Cox Survival, hazard.</w:t>
      </w:r>
    </w:p>
    <w:p w:rsidR="00743C30" w:rsidRPr="00B258EE" w:rsidRDefault="00743C30" w:rsidP="009C702A">
      <w:pPr>
        <w:suppressAutoHyphens w:val="0"/>
        <w:snapToGrid w:val="0"/>
        <w:jc w:val="both"/>
        <w:rPr>
          <w:b/>
          <w:sz w:val="20"/>
          <w:szCs w:val="20"/>
        </w:rPr>
      </w:pPr>
    </w:p>
    <w:p w:rsidR="00743C30" w:rsidRPr="00B258EE" w:rsidRDefault="00743C30" w:rsidP="009C702A">
      <w:pPr>
        <w:suppressAutoHyphens w:val="0"/>
        <w:snapToGrid w:val="0"/>
        <w:jc w:val="both"/>
        <w:rPr>
          <w:b/>
          <w:sz w:val="20"/>
          <w:szCs w:val="20"/>
        </w:rPr>
        <w:sectPr w:rsidR="00743C30" w:rsidRPr="00B258EE" w:rsidSect="00135C77">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48"/>
          <w:cols w:space="720"/>
          <w:docGrid w:linePitch="360"/>
        </w:sectPr>
      </w:pPr>
    </w:p>
    <w:p w:rsidR="00471E57" w:rsidRPr="00B258EE" w:rsidRDefault="00471E57" w:rsidP="009C702A">
      <w:pPr>
        <w:suppressAutoHyphens w:val="0"/>
        <w:snapToGrid w:val="0"/>
        <w:jc w:val="both"/>
        <w:rPr>
          <w:b/>
          <w:sz w:val="20"/>
          <w:szCs w:val="20"/>
        </w:rPr>
      </w:pPr>
      <w:r w:rsidRPr="00B258EE">
        <w:rPr>
          <w:b/>
          <w:sz w:val="20"/>
          <w:szCs w:val="20"/>
        </w:rPr>
        <w:lastRenderedPageBreak/>
        <w:t>1. Introduction</w:t>
      </w:r>
    </w:p>
    <w:p w:rsidR="00FE7EF9" w:rsidRPr="00B258EE" w:rsidRDefault="00FE7EF9" w:rsidP="009C702A">
      <w:pPr>
        <w:suppressAutoHyphens w:val="0"/>
        <w:autoSpaceDE w:val="0"/>
        <w:autoSpaceDN w:val="0"/>
        <w:adjustRightInd w:val="0"/>
        <w:snapToGrid w:val="0"/>
        <w:ind w:firstLine="425"/>
        <w:jc w:val="both"/>
        <w:rPr>
          <w:sz w:val="20"/>
          <w:szCs w:val="20"/>
        </w:rPr>
      </w:pPr>
      <w:r w:rsidRPr="00B258EE">
        <w:rPr>
          <w:sz w:val="20"/>
          <w:szCs w:val="20"/>
          <w:lang w:eastAsia="zh-CN"/>
        </w:rPr>
        <w:t xml:space="preserve">Breast cancer is one of the most dangerous diseases and is the most frequently occurring cancer among women. According to the Saudi Cancer Registry in King Faisal Specialist Hospital and Research Center (KFSH and RC), Breast cancer is the most common type of cancer in Saudi women whereas around 930 new cases is diagnosed per year, which means that 19.5% of women in Saudi Arabia (Saudi and non-Saudi). In year 2010, there were 1473 female breast cancer cases. Breast cancer ranked first among females accounting for 27.4% of all newly diagnosed female cancers (5,378) in year 2010. The Age-Standardized Rate (ASR) was 24.9/100,000 for female population. The five regions with the highest ASR were Eastern region at 39.5/100,000, </w:t>
      </w:r>
      <w:proofErr w:type="spellStart"/>
      <w:r w:rsidRPr="00B258EE">
        <w:rPr>
          <w:sz w:val="20"/>
          <w:szCs w:val="20"/>
          <w:lang w:eastAsia="zh-CN"/>
        </w:rPr>
        <w:t>Qassim</w:t>
      </w:r>
      <w:proofErr w:type="spellEnd"/>
      <w:r w:rsidRPr="00B258EE">
        <w:rPr>
          <w:sz w:val="20"/>
          <w:szCs w:val="20"/>
          <w:lang w:eastAsia="zh-CN"/>
        </w:rPr>
        <w:t xml:space="preserve"> region at 32.8/100,000, Riyadh Region at 30.6/100</w:t>
      </w:r>
      <w:r w:rsidR="00FC5731" w:rsidRPr="00B258EE">
        <w:rPr>
          <w:sz w:val="20"/>
          <w:szCs w:val="20"/>
          <w:lang w:eastAsia="zh-CN"/>
        </w:rPr>
        <w:t>,</w:t>
      </w:r>
      <w:r w:rsidRPr="00B258EE">
        <w:rPr>
          <w:sz w:val="20"/>
          <w:szCs w:val="20"/>
          <w:lang w:eastAsia="zh-CN"/>
        </w:rPr>
        <w:t>000,</w:t>
      </w:r>
      <w:r w:rsidR="00FC5731" w:rsidRPr="00B258EE">
        <w:rPr>
          <w:sz w:val="20"/>
          <w:szCs w:val="20"/>
          <w:lang w:eastAsia="zh-CN"/>
        </w:rPr>
        <w:t xml:space="preserve"> </w:t>
      </w:r>
      <w:proofErr w:type="spellStart"/>
      <w:r w:rsidRPr="00B258EE">
        <w:rPr>
          <w:sz w:val="20"/>
          <w:szCs w:val="20"/>
          <w:lang w:eastAsia="zh-CN"/>
        </w:rPr>
        <w:t>Makkah</w:t>
      </w:r>
      <w:proofErr w:type="spellEnd"/>
      <w:r w:rsidRPr="00B258EE">
        <w:rPr>
          <w:sz w:val="20"/>
          <w:szCs w:val="20"/>
          <w:lang w:eastAsia="zh-CN"/>
        </w:rPr>
        <w:t xml:space="preserve"> Region at 24.2/100,000 and </w:t>
      </w:r>
      <w:proofErr w:type="spellStart"/>
      <w:r w:rsidRPr="00B258EE">
        <w:rPr>
          <w:sz w:val="20"/>
          <w:szCs w:val="20"/>
          <w:lang w:eastAsia="zh-CN"/>
        </w:rPr>
        <w:t>Madinah</w:t>
      </w:r>
      <w:proofErr w:type="spellEnd"/>
      <w:r w:rsidRPr="00B258EE">
        <w:rPr>
          <w:sz w:val="20"/>
          <w:szCs w:val="20"/>
          <w:lang w:eastAsia="zh-CN"/>
        </w:rPr>
        <w:t xml:space="preserve"> Region at 21.3/100,000. The median age at diagnosis was 49 years (Range 21-120 years). In the world for example, the American Cancer Society in the year 2013 estimated that, about 232,340 new cases of aggressive breast cancer would be diagnosed; and about 39, 620 women would die due to this deadly disease</w:t>
      </w:r>
      <w:r w:rsidR="00FC5731" w:rsidRPr="00B258EE">
        <w:rPr>
          <w:sz w:val="20"/>
          <w:szCs w:val="20"/>
          <w:lang w:eastAsia="zh-CN"/>
        </w:rPr>
        <w:t xml:space="preserve"> </w:t>
      </w:r>
      <w:r w:rsidRPr="00B258EE">
        <w:rPr>
          <w:sz w:val="20"/>
          <w:szCs w:val="20"/>
          <w:lang w:eastAsia="zh-CN"/>
        </w:rPr>
        <w:t>(American Cancer Society., 2013).</w:t>
      </w:r>
    </w:p>
    <w:p w:rsidR="00471E57" w:rsidRPr="00B258EE" w:rsidRDefault="00C35AF9"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Several studies have presented that, the Breast cancer is considered as the main cause of death in the Western societies (</w:t>
      </w:r>
      <w:proofErr w:type="spellStart"/>
      <w:r w:rsidRPr="00B258EE">
        <w:rPr>
          <w:sz w:val="20"/>
          <w:szCs w:val="20"/>
          <w:lang w:eastAsia="zh-CN"/>
        </w:rPr>
        <w:t>Tarone</w:t>
      </w:r>
      <w:proofErr w:type="spellEnd"/>
      <w:r w:rsidRPr="00B258EE">
        <w:rPr>
          <w:sz w:val="20"/>
          <w:szCs w:val="20"/>
          <w:lang w:eastAsia="zh-CN"/>
        </w:rPr>
        <w:t>, 2006). One of the top malignancies among Saudi females is breast cancer, with a</w:t>
      </w:r>
      <w:r w:rsidR="002215FA" w:rsidRPr="00B258EE">
        <w:rPr>
          <w:sz w:val="20"/>
          <w:szCs w:val="20"/>
          <w:lang w:eastAsia="zh-CN"/>
        </w:rPr>
        <w:t xml:space="preserve"> </w:t>
      </w:r>
      <w:r w:rsidR="009A19D6" w:rsidRPr="00B258EE">
        <w:rPr>
          <w:sz w:val="20"/>
          <w:szCs w:val="20"/>
          <w:lang w:eastAsia="zh-CN"/>
        </w:rPr>
        <w:t>percentage</w:t>
      </w:r>
      <w:r w:rsidRPr="00B258EE">
        <w:rPr>
          <w:sz w:val="20"/>
          <w:szCs w:val="20"/>
          <w:lang w:eastAsia="zh-CN"/>
        </w:rPr>
        <w:t xml:space="preserve"> of 21.8% (Registry, 2007) and it was the ninth leading death cause in females in Saudi Arabia in 2010. (</w:t>
      </w:r>
      <w:proofErr w:type="spellStart"/>
      <w:r w:rsidRPr="00B258EE">
        <w:rPr>
          <w:sz w:val="20"/>
          <w:szCs w:val="20"/>
          <w:lang w:eastAsia="zh-CN"/>
        </w:rPr>
        <w:t>Mokdad</w:t>
      </w:r>
      <w:proofErr w:type="spellEnd"/>
      <w:r w:rsidRPr="00B258EE">
        <w:rPr>
          <w:sz w:val="20"/>
          <w:szCs w:val="20"/>
          <w:lang w:eastAsia="zh-CN"/>
        </w:rPr>
        <w:t xml:space="preserve"> et al., 2014); (Lozano et al.,2012), Moreover,</w:t>
      </w:r>
      <w:r w:rsidR="009C702A" w:rsidRPr="00B258EE">
        <w:rPr>
          <w:sz w:val="20"/>
          <w:szCs w:val="20"/>
          <w:lang w:eastAsia="zh-CN"/>
        </w:rPr>
        <w:t xml:space="preserve"> </w:t>
      </w:r>
      <w:r w:rsidRPr="00B258EE">
        <w:rPr>
          <w:sz w:val="20"/>
          <w:szCs w:val="20"/>
          <w:lang w:eastAsia="zh-CN"/>
        </w:rPr>
        <w:t>(Al-</w:t>
      </w:r>
      <w:proofErr w:type="spellStart"/>
      <w:r w:rsidRPr="00B258EE">
        <w:rPr>
          <w:sz w:val="20"/>
          <w:szCs w:val="20"/>
          <w:lang w:eastAsia="zh-CN"/>
        </w:rPr>
        <w:t>Qahtani</w:t>
      </w:r>
      <w:proofErr w:type="spellEnd"/>
      <w:r w:rsidRPr="00B258EE">
        <w:rPr>
          <w:sz w:val="20"/>
          <w:szCs w:val="20"/>
          <w:lang w:eastAsia="zh-CN"/>
        </w:rPr>
        <w:t xml:space="preserve">, 2007) points out that the Breast Cancer is the second most common of </w:t>
      </w:r>
      <w:r w:rsidRPr="00B258EE">
        <w:rPr>
          <w:sz w:val="20"/>
          <w:szCs w:val="20"/>
          <w:lang w:eastAsia="zh-CN"/>
        </w:rPr>
        <w:lastRenderedPageBreak/>
        <w:t>the malignancy in Saudi women. (Ibrahim et al., 2008) concludes that over</w:t>
      </w:r>
      <w:r w:rsidR="009C702A" w:rsidRPr="00B258EE">
        <w:rPr>
          <w:sz w:val="20"/>
          <w:szCs w:val="20"/>
          <w:lang w:eastAsia="zh-CN"/>
        </w:rPr>
        <w:t xml:space="preserve"> </w:t>
      </w:r>
      <w:r w:rsidRPr="00B258EE">
        <w:rPr>
          <w:sz w:val="20"/>
          <w:szCs w:val="20"/>
          <w:lang w:eastAsia="zh-CN"/>
        </w:rPr>
        <w:t>the coming decades in Saudi Arabia the rate of breast cancer will increase because of the increase in population and aging. Several studies have documented that breast cancer in young Saudi females is an important problem. As noted by the 2002 annual report of Saudi National Cancer Registry, breast cancers that developed before the age of 40 comprise 26.4% of all female breast cancers comparing to 6.5% in the USA. Several studies have revealed that Br</w:t>
      </w:r>
      <w:r w:rsidR="00CF3830" w:rsidRPr="00B258EE">
        <w:rPr>
          <w:sz w:val="20"/>
          <w:szCs w:val="20"/>
          <w:lang w:eastAsia="zh-CN"/>
        </w:rPr>
        <w:t>east cancer in young patients (</w:t>
      </w:r>
      <w:r w:rsidRPr="00B258EE">
        <w:rPr>
          <w:sz w:val="20"/>
          <w:szCs w:val="20"/>
          <w:lang w:eastAsia="zh-CN"/>
        </w:rPr>
        <w:t xml:space="preserve">40 years old) is often related with a poorer prognosis and more aggressive, with higher mortality and recurrence rates compared with older women </w:t>
      </w:r>
      <w:proofErr w:type="spellStart"/>
      <w:r w:rsidRPr="00B258EE">
        <w:rPr>
          <w:sz w:val="20"/>
          <w:szCs w:val="20"/>
          <w:lang w:eastAsia="zh-CN"/>
        </w:rPr>
        <w:t>Elkum</w:t>
      </w:r>
      <w:proofErr w:type="spellEnd"/>
      <w:r w:rsidRPr="00B258EE">
        <w:rPr>
          <w:sz w:val="20"/>
          <w:szCs w:val="20"/>
          <w:lang w:eastAsia="zh-CN"/>
        </w:rPr>
        <w:t xml:space="preserve"> et al. (2007); (</w:t>
      </w:r>
      <w:proofErr w:type="spellStart"/>
      <w:r w:rsidRPr="00B258EE">
        <w:rPr>
          <w:sz w:val="20"/>
          <w:szCs w:val="20"/>
          <w:lang w:eastAsia="zh-CN"/>
        </w:rPr>
        <w:t>Zabicki</w:t>
      </w:r>
      <w:proofErr w:type="spellEnd"/>
      <w:r w:rsidRPr="00B258EE">
        <w:rPr>
          <w:sz w:val="20"/>
          <w:szCs w:val="20"/>
          <w:lang w:eastAsia="zh-CN"/>
        </w:rPr>
        <w:t xml:space="preserve"> et al., 2006); Han et al. (2004); </w:t>
      </w:r>
      <w:proofErr w:type="spellStart"/>
      <w:r w:rsidRPr="00B258EE">
        <w:rPr>
          <w:sz w:val="20"/>
          <w:szCs w:val="20"/>
          <w:lang w:eastAsia="zh-CN"/>
        </w:rPr>
        <w:t>Colleoni</w:t>
      </w:r>
      <w:proofErr w:type="spellEnd"/>
      <w:r w:rsidRPr="00B258EE">
        <w:rPr>
          <w:sz w:val="20"/>
          <w:szCs w:val="20"/>
          <w:lang w:eastAsia="zh-CN"/>
        </w:rPr>
        <w:t xml:space="preserve"> et al. (2002); Robson et al. (1998); </w:t>
      </w:r>
      <w:proofErr w:type="spellStart"/>
      <w:r w:rsidRPr="00B258EE">
        <w:rPr>
          <w:sz w:val="20"/>
          <w:szCs w:val="20"/>
          <w:lang w:eastAsia="zh-CN"/>
        </w:rPr>
        <w:t>Khan_r</w:t>
      </w:r>
      <w:proofErr w:type="spellEnd"/>
      <w:r w:rsidRPr="00B258EE">
        <w:rPr>
          <w:sz w:val="20"/>
          <w:szCs w:val="20"/>
          <w:lang w:eastAsia="zh-CN"/>
        </w:rPr>
        <w:t xml:space="preserve"> et al. (2006); </w:t>
      </w:r>
      <w:proofErr w:type="spellStart"/>
      <w:r w:rsidRPr="00B258EE">
        <w:rPr>
          <w:sz w:val="20"/>
          <w:szCs w:val="20"/>
          <w:lang w:eastAsia="zh-CN"/>
        </w:rPr>
        <w:t>Chia</w:t>
      </w:r>
      <w:proofErr w:type="spellEnd"/>
      <w:r w:rsidRPr="00B258EE">
        <w:rPr>
          <w:sz w:val="20"/>
          <w:szCs w:val="20"/>
          <w:lang w:eastAsia="zh-CN"/>
        </w:rPr>
        <w:t xml:space="preserve"> et al. (2004); E</w:t>
      </w:r>
      <w:r w:rsidR="009C702A" w:rsidRPr="00B258EE">
        <w:rPr>
          <w:sz w:val="20"/>
          <w:szCs w:val="20"/>
          <w:lang w:eastAsia="zh-CN"/>
        </w:rPr>
        <w:t xml:space="preserve">l </w:t>
      </w:r>
      <w:proofErr w:type="spellStart"/>
      <w:r w:rsidR="009C702A" w:rsidRPr="00B258EE">
        <w:rPr>
          <w:sz w:val="20"/>
          <w:szCs w:val="20"/>
          <w:lang w:eastAsia="zh-CN"/>
        </w:rPr>
        <w:t>S</w:t>
      </w:r>
      <w:r w:rsidRPr="00B258EE">
        <w:rPr>
          <w:sz w:val="20"/>
          <w:szCs w:val="20"/>
          <w:lang w:eastAsia="zh-CN"/>
        </w:rPr>
        <w:t>aghir</w:t>
      </w:r>
      <w:proofErr w:type="spellEnd"/>
      <w:r w:rsidRPr="00B258EE">
        <w:rPr>
          <w:sz w:val="20"/>
          <w:szCs w:val="20"/>
          <w:lang w:eastAsia="zh-CN"/>
        </w:rPr>
        <w:t xml:space="preserve"> et al. (2006); Chung et al</w:t>
      </w:r>
      <w:r w:rsidR="00743C30" w:rsidRPr="00B258EE">
        <w:rPr>
          <w:sz w:val="20"/>
          <w:szCs w:val="20"/>
          <w:lang w:eastAsia="zh-CN"/>
        </w:rPr>
        <w:t>. (</w:t>
      </w:r>
      <w:r w:rsidRPr="00B258EE">
        <w:rPr>
          <w:sz w:val="20"/>
          <w:szCs w:val="20"/>
          <w:lang w:eastAsia="zh-CN"/>
        </w:rPr>
        <w:t>1996); Nixon et al. (1994).</w:t>
      </w:r>
    </w:p>
    <w:p w:rsidR="001F71BC" w:rsidRPr="00B258EE" w:rsidRDefault="001F71BC"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Saudi Cancer Registry (SCR) is considered as a national cancer registry, followed to Saudi Health Council. It was established in 1402 Ah (1992) under authority of ministry of health and the main office was at the King Faisal specialist hospital and Research Centre in Riyadh and was moved to Saudi Health Council in 1435 Ah.</w:t>
      </w:r>
      <w:r w:rsidR="003617A8" w:rsidRPr="00B258EE">
        <w:rPr>
          <w:sz w:val="20"/>
          <w:szCs w:val="20"/>
          <w:lang w:eastAsia="zh-CN"/>
        </w:rPr>
        <w:t xml:space="preserve"> SCR working to collect all data related to cancer registration from all the thirteen administrative regions in the king-</w:t>
      </w:r>
      <w:proofErr w:type="spellStart"/>
      <w:r w:rsidR="003617A8" w:rsidRPr="00B258EE">
        <w:rPr>
          <w:sz w:val="20"/>
          <w:szCs w:val="20"/>
          <w:lang w:eastAsia="zh-CN"/>
        </w:rPr>
        <w:t>dom</w:t>
      </w:r>
      <w:proofErr w:type="spellEnd"/>
      <w:r w:rsidR="003617A8" w:rsidRPr="00B258EE">
        <w:rPr>
          <w:sz w:val="20"/>
          <w:szCs w:val="20"/>
          <w:lang w:eastAsia="zh-CN"/>
        </w:rPr>
        <w:t xml:space="preserve"> which include: Riyadh, </w:t>
      </w:r>
      <w:proofErr w:type="spellStart"/>
      <w:r w:rsidR="003617A8" w:rsidRPr="00B258EE">
        <w:rPr>
          <w:sz w:val="20"/>
          <w:szCs w:val="20"/>
          <w:lang w:eastAsia="zh-CN"/>
        </w:rPr>
        <w:t>Estern</w:t>
      </w:r>
      <w:proofErr w:type="spellEnd"/>
      <w:r w:rsidR="003617A8" w:rsidRPr="00B258EE">
        <w:rPr>
          <w:sz w:val="20"/>
          <w:szCs w:val="20"/>
          <w:lang w:eastAsia="zh-CN"/>
        </w:rPr>
        <w:t xml:space="preserve"> region, </w:t>
      </w:r>
      <w:proofErr w:type="spellStart"/>
      <w:r w:rsidR="003617A8" w:rsidRPr="00B258EE">
        <w:rPr>
          <w:sz w:val="20"/>
          <w:szCs w:val="20"/>
          <w:lang w:eastAsia="zh-CN"/>
        </w:rPr>
        <w:t>Makkah</w:t>
      </w:r>
      <w:proofErr w:type="spellEnd"/>
      <w:r w:rsidR="003617A8" w:rsidRPr="00B258EE">
        <w:rPr>
          <w:sz w:val="20"/>
          <w:szCs w:val="20"/>
          <w:lang w:eastAsia="zh-CN"/>
        </w:rPr>
        <w:t xml:space="preserve">, </w:t>
      </w:r>
      <w:proofErr w:type="spellStart"/>
      <w:r w:rsidR="003617A8" w:rsidRPr="00B258EE">
        <w:rPr>
          <w:sz w:val="20"/>
          <w:szCs w:val="20"/>
          <w:lang w:eastAsia="zh-CN"/>
        </w:rPr>
        <w:t>Madinah</w:t>
      </w:r>
      <w:proofErr w:type="spellEnd"/>
      <w:r w:rsidR="003617A8" w:rsidRPr="00B258EE">
        <w:rPr>
          <w:sz w:val="20"/>
          <w:szCs w:val="20"/>
          <w:lang w:eastAsia="zh-CN"/>
        </w:rPr>
        <w:t xml:space="preserve">, </w:t>
      </w:r>
      <w:proofErr w:type="spellStart"/>
      <w:r w:rsidR="003617A8" w:rsidRPr="00B258EE">
        <w:rPr>
          <w:sz w:val="20"/>
          <w:szCs w:val="20"/>
          <w:lang w:eastAsia="zh-CN"/>
        </w:rPr>
        <w:t>Qassim</w:t>
      </w:r>
      <w:proofErr w:type="spellEnd"/>
      <w:r w:rsidR="003617A8" w:rsidRPr="00B258EE">
        <w:rPr>
          <w:sz w:val="20"/>
          <w:szCs w:val="20"/>
          <w:lang w:eastAsia="zh-CN"/>
        </w:rPr>
        <w:t xml:space="preserve">, Hail, </w:t>
      </w:r>
      <w:proofErr w:type="spellStart"/>
      <w:r w:rsidR="003617A8" w:rsidRPr="00B258EE">
        <w:rPr>
          <w:sz w:val="20"/>
          <w:szCs w:val="20"/>
          <w:lang w:eastAsia="zh-CN"/>
        </w:rPr>
        <w:t>Jouf</w:t>
      </w:r>
      <w:proofErr w:type="spellEnd"/>
      <w:r w:rsidR="003617A8" w:rsidRPr="00B258EE">
        <w:rPr>
          <w:sz w:val="20"/>
          <w:szCs w:val="20"/>
          <w:lang w:eastAsia="zh-CN"/>
        </w:rPr>
        <w:t xml:space="preserve">, </w:t>
      </w:r>
      <w:proofErr w:type="spellStart"/>
      <w:r w:rsidR="003617A8" w:rsidRPr="00B258EE">
        <w:rPr>
          <w:sz w:val="20"/>
          <w:szCs w:val="20"/>
          <w:lang w:eastAsia="zh-CN"/>
        </w:rPr>
        <w:t>Northen</w:t>
      </w:r>
      <w:proofErr w:type="spellEnd"/>
      <w:r w:rsidR="003A2200" w:rsidRPr="00B258EE">
        <w:rPr>
          <w:sz w:val="20"/>
          <w:szCs w:val="20"/>
          <w:lang w:eastAsia="zh-CN"/>
        </w:rPr>
        <w:t xml:space="preserve"> </w:t>
      </w:r>
      <w:r w:rsidR="003617A8" w:rsidRPr="00B258EE">
        <w:rPr>
          <w:sz w:val="20"/>
          <w:szCs w:val="20"/>
          <w:lang w:eastAsia="zh-CN"/>
        </w:rPr>
        <w:t xml:space="preserve">region, </w:t>
      </w:r>
      <w:proofErr w:type="spellStart"/>
      <w:r w:rsidR="003617A8" w:rsidRPr="00B258EE">
        <w:rPr>
          <w:sz w:val="20"/>
          <w:szCs w:val="20"/>
          <w:lang w:eastAsia="zh-CN"/>
        </w:rPr>
        <w:t>Tabouk</w:t>
      </w:r>
      <w:proofErr w:type="spellEnd"/>
      <w:r w:rsidR="003617A8" w:rsidRPr="00B258EE">
        <w:rPr>
          <w:sz w:val="20"/>
          <w:szCs w:val="20"/>
          <w:lang w:eastAsia="zh-CN"/>
        </w:rPr>
        <w:t xml:space="preserve">, </w:t>
      </w:r>
      <w:proofErr w:type="spellStart"/>
      <w:r w:rsidR="003617A8" w:rsidRPr="00B258EE">
        <w:rPr>
          <w:sz w:val="20"/>
          <w:szCs w:val="20"/>
          <w:lang w:eastAsia="zh-CN"/>
        </w:rPr>
        <w:t>Najran</w:t>
      </w:r>
      <w:proofErr w:type="spellEnd"/>
      <w:r w:rsidR="003617A8" w:rsidRPr="00B258EE">
        <w:rPr>
          <w:sz w:val="20"/>
          <w:szCs w:val="20"/>
          <w:lang w:eastAsia="zh-CN"/>
        </w:rPr>
        <w:t xml:space="preserve">, </w:t>
      </w:r>
      <w:proofErr w:type="spellStart"/>
      <w:r w:rsidR="003617A8" w:rsidRPr="00B258EE">
        <w:rPr>
          <w:sz w:val="20"/>
          <w:szCs w:val="20"/>
          <w:lang w:eastAsia="zh-CN"/>
        </w:rPr>
        <w:t>Baha</w:t>
      </w:r>
      <w:proofErr w:type="spellEnd"/>
      <w:r w:rsidR="003617A8" w:rsidRPr="00B258EE">
        <w:rPr>
          <w:sz w:val="20"/>
          <w:szCs w:val="20"/>
          <w:lang w:eastAsia="zh-CN"/>
        </w:rPr>
        <w:t xml:space="preserve">, </w:t>
      </w:r>
      <w:proofErr w:type="spellStart"/>
      <w:r w:rsidR="003617A8" w:rsidRPr="00B258EE">
        <w:rPr>
          <w:sz w:val="20"/>
          <w:szCs w:val="20"/>
          <w:lang w:eastAsia="zh-CN"/>
        </w:rPr>
        <w:t>Asir</w:t>
      </w:r>
      <w:proofErr w:type="spellEnd"/>
      <w:r w:rsidR="003617A8" w:rsidRPr="00B258EE">
        <w:rPr>
          <w:sz w:val="20"/>
          <w:szCs w:val="20"/>
          <w:lang w:eastAsia="zh-CN"/>
        </w:rPr>
        <w:t xml:space="preserve">, and </w:t>
      </w:r>
      <w:proofErr w:type="spellStart"/>
      <w:r w:rsidR="003617A8" w:rsidRPr="00B258EE">
        <w:rPr>
          <w:sz w:val="20"/>
          <w:szCs w:val="20"/>
          <w:lang w:eastAsia="zh-CN"/>
        </w:rPr>
        <w:t>Jezan</w:t>
      </w:r>
      <w:proofErr w:type="spellEnd"/>
      <w:r w:rsidR="003617A8" w:rsidRPr="00B258EE">
        <w:rPr>
          <w:sz w:val="20"/>
          <w:szCs w:val="20"/>
          <w:lang w:eastAsia="zh-CN"/>
        </w:rPr>
        <w:t>. Therefore, it covers all the population in the</w:t>
      </w:r>
      <w:r w:rsidR="003E7431" w:rsidRPr="00B258EE">
        <w:rPr>
          <w:sz w:val="20"/>
          <w:szCs w:val="20"/>
          <w:lang w:eastAsia="zh-CN"/>
        </w:rPr>
        <w:t xml:space="preserve"> </w:t>
      </w:r>
      <w:r w:rsidR="003617A8" w:rsidRPr="00B258EE">
        <w:rPr>
          <w:sz w:val="20"/>
          <w:szCs w:val="20"/>
          <w:lang w:eastAsia="zh-CN"/>
        </w:rPr>
        <w:t>country. The SCR Main Office indirectly supervises the regional offices and responsible for</w:t>
      </w:r>
      <w:r w:rsidR="003A2200" w:rsidRPr="00B258EE">
        <w:rPr>
          <w:sz w:val="20"/>
          <w:szCs w:val="20"/>
          <w:lang w:eastAsia="zh-CN"/>
        </w:rPr>
        <w:t xml:space="preserve"> </w:t>
      </w:r>
      <w:r w:rsidR="003617A8" w:rsidRPr="00B258EE">
        <w:rPr>
          <w:sz w:val="20"/>
          <w:szCs w:val="20"/>
          <w:lang w:eastAsia="zh-CN"/>
        </w:rPr>
        <w:t>ensuring the accuracy and quality of data collected</w:t>
      </w:r>
      <w:r w:rsidR="009C702A" w:rsidRPr="00B258EE">
        <w:rPr>
          <w:sz w:val="20"/>
          <w:szCs w:val="20"/>
          <w:lang w:eastAsia="zh-CN"/>
        </w:rPr>
        <w:t xml:space="preserve"> </w:t>
      </w:r>
      <w:r w:rsidR="003617A8" w:rsidRPr="00B258EE">
        <w:rPr>
          <w:sz w:val="20"/>
          <w:szCs w:val="20"/>
          <w:lang w:eastAsia="zh-CN"/>
        </w:rPr>
        <w:t>in all regions. Quality control processes</w:t>
      </w:r>
      <w:r w:rsidR="003E7431" w:rsidRPr="00B258EE">
        <w:rPr>
          <w:sz w:val="20"/>
          <w:szCs w:val="20"/>
          <w:lang w:eastAsia="zh-CN"/>
        </w:rPr>
        <w:t xml:space="preserve"> </w:t>
      </w:r>
      <w:r w:rsidR="003617A8" w:rsidRPr="00B258EE">
        <w:rPr>
          <w:sz w:val="20"/>
          <w:szCs w:val="20"/>
          <w:lang w:eastAsia="zh-CN"/>
        </w:rPr>
        <w:t xml:space="preserve">include </w:t>
      </w:r>
      <w:r w:rsidR="003617A8" w:rsidRPr="00B258EE">
        <w:rPr>
          <w:sz w:val="20"/>
          <w:szCs w:val="20"/>
          <w:lang w:eastAsia="zh-CN"/>
        </w:rPr>
        <w:lastRenderedPageBreak/>
        <w:t>verification of site, morphology, and staging information as well as case linkage (tumor and patient), and consolidation of data.</w:t>
      </w:r>
    </w:p>
    <w:p w:rsidR="009C702A" w:rsidRPr="00B258EE" w:rsidRDefault="003E7431"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These data were underwent a serious of steps to</w:t>
      </w:r>
      <w:r w:rsidR="003A2200" w:rsidRPr="00B258EE">
        <w:rPr>
          <w:sz w:val="20"/>
          <w:szCs w:val="20"/>
          <w:lang w:eastAsia="zh-CN"/>
        </w:rPr>
        <w:t xml:space="preserve"> </w:t>
      </w:r>
      <w:r w:rsidRPr="00B258EE">
        <w:rPr>
          <w:sz w:val="20"/>
          <w:szCs w:val="20"/>
          <w:lang w:eastAsia="zh-CN"/>
        </w:rPr>
        <w:t>ensure its quality. Usually, in the original sites where regional and hospital cancer registries are located, data were abstracted from patients medical records, whom already classified as cancer cases bas</w:t>
      </w:r>
      <w:r w:rsidR="003A2200" w:rsidRPr="00B258EE">
        <w:rPr>
          <w:sz w:val="20"/>
          <w:szCs w:val="20"/>
          <w:lang w:eastAsia="zh-CN"/>
        </w:rPr>
        <w:t xml:space="preserve">ed on their clinical diagnosis, </w:t>
      </w:r>
      <w:proofErr w:type="spellStart"/>
      <w:r w:rsidR="003A2200" w:rsidRPr="00B258EE">
        <w:rPr>
          <w:sz w:val="20"/>
          <w:szCs w:val="20"/>
          <w:lang w:eastAsia="zh-CN"/>
        </w:rPr>
        <w:t>histopathological</w:t>
      </w:r>
      <w:proofErr w:type="spellEnd"/>
      <w:r w:rsidR="003A2200" w:rsidRPr="00B258EE">
        <w:rPr>
          <w:sz w:val="20"/>
          <w:szCs w:val="20"/>
          <w:lang w:eastAsia="zh-CN"/>
        </w:rPr>
        <w:t xml:space="preserve">, </w:t>
      </w:r>
      <w:r w:rsidRPr="00B258EE">
        <w:rPr>
          <w:sz w:val="20"/>
          <w:szCs w:val="20"/>
          <w:lang w:eastAsia="zh-CN"/>
        </w:rPr>
        <w:t>and/or radiological diagnosis.</w:t>
      </w:r>
      <w:r w:rsidR="003A2200" w:rsidRPr="00B258EE">
        <w:rPr>
          <w:sz w:val="20"/>
          <w:szCs w:val="20"/>
          <w:lang w:eastAsia="zh-CN"/>
        </w:rPr>
        <w:t xml:space="preserve"> </w:t>
      </w:r>
      <w:r w:rsidRPr="00B258EE">
        <w:rPr>
          <w:sz w:val="20"/>
          <w:szCs w:val="20"/>
          <w:lang w:eastAsia="zh-CN"/>
        </w:rPr>
        <w:t>Other data were also collected as related to personal identification (name, ID Number, sex,</w:t>
      </w:r>
      <w:r w:rsidR="009C702A" w:rsidRPr="00B258EE">
        <w:rPr>
          <w:rFonts w:hint="eastAsia"/>
          <w:sz w:val="20"/>
          <w:szCs w:val="20"/>
          <w:lang w:eastAsia="zh-CN"/>
        </w:rPr>
        <w:t xml:space="preserve"> </w:t>
      </w:r>
      <w:r w:rsidRPr="00B258EE">
        <w:rPr>
          <w:sz w:val="20"/>
          <w:szCs w:val="20"/>
          <w:lang w:eastAsia="zh-CN"/>
        </w:rPr>
        <w:t>age), demographic information (address, telephone number, nationality), and tumor details (diagnosis date, primary site, histology, behavior, grade, stage, basis of diagnosis). The primary site and histology of cancers are also identified and coded according to the International Classification of Diseases for Oncology (ICD-O-3), and all data were entered in the computer using a</w:t>
      </w:r>
      <w:r w:rsidR="00730139" w:rsidRPr="00B258EE">
        <w:rPr>
          <w:sz w:val="20"/>
          <w:szCs w:val="20"/>
          <w:lang w:eastAsia="zh-CN"/>
        </w:rPr>
        <w:t xml:space="preserve"> program software called Ca</w:t>
      </w:r>
      <w:r w:rsidR="009C702A" w:rsidRPr="00B258EE">
        <w:rPr>
          <w:sz w:val="20"/>
          <w:szCs w:val="20"/>
          <w:lang w:eastAsia="zh-CN"/>
        </w:rPr>
        <w:t>n R</w:t>
      </w:r>
      <w:r w:rsidR="00730139" w:rsidRPr="00B258EE">
        <w:rPr>
          <w:sz w:val="20"/>
          <w:szCs w:val="20"/>
          <w:lang w:eastAsia="zh-CN"/>
        </w:rPr>
        <w:t xml:space="preserve">eg4 </w:t>
      </w:r>
      <w:r w:rsidRPr="00B258EE">
        <w:rPr>
          <w:sz w:val="20"/>
          <w:szCs w:val="20"/>
          <w:lang w:eastAsia="zh-CN"/>
        </w:rPr>
        <w:t>(IA</w:t>
      </w:r>
      <w:r w:rsidR="00730139" w:rsidRPr="00B258EE">
        <w:rPr>
          <w:sz w:val="20"/>
          <w:szCs w:val="20"/>
          <w:lang w:eastAsia="zh-CN"/>
        </w:rPr>
        <w:t xml:space="preserve"> </w:t>
      </w:r>
      <w:r w:rsidRPr="00B258EE">
        <w:rPr>
          <w:sz w:val="20"/>
          <w:szCs w:val="20"/>
          <w:lang w:eastAsia="zh-CN"/>
        </w:rPr>
        <w:t>CR)</w:t>
      </w:r>
      <w:r w:rsidR="00730139" w:rsidRPr="00B258EE">
        <w:rPr>
          <w:sz w:val="20"/>
          <w:szCs w:val="20"/>
          <w:lang w:eastAsia="zh-CN"/>
        </w:rPr>
        <w:t xml:space="preserve"> </w:t>
      </w:r>
      <w:r w:rsidRPr="00B258EE">
        <w:rPr>
          <w:sz w:val="20"/>
          <w:szCs w:val="20"/>
          <w:lang w:eastAsia="zh-CN"/>
        </w:rPr>
        <w:t>(Cancer Incidence Report, 2010</w:t>
      </w:r>
      <w:r w:rsidR="009C702A" w:rsidRPr="00B258EE">
        <w:rPr>
          <w:sz w:val="20"/>
          <w:szCs w:val="20"/>
          <w:lang w:eastAsia="zh-CN"/>
        </w:rPr>
        <w:t>).</w:t>
      </w:r>
    </w:p>
    <w:p w:rsidR="00A400D2" w:rsidRPr="00B258EE" w:rsidRDefault="00A400D2" w:rsidP="009C702A">
      <w:pPr>
        <w:suppressAutoHyphens w:val="0"/>
        <w:snapToGrid w:val="0"/>
        <w:jc w:val="both"/>
        <w:rPr>
          <w:b/>
          <w:sz w:val="20"/>
          <w:szCs w:val="20"/>
        </w:rPr>
      </w:pPr>
      <w:r w:rsidRPr="00B258EE">
        <w:rPr>
          <w:b/>
          <w:sz w:val="20"/>
          <w:szCs w:val="20"/>
        </w:rPr>
        <w:t xml:space="preserve">2. </w:t>
      </w:r>
      <w:r w:rsidR="006C23CD" w:rsidRPr="00B258EE">
        <w:rPr>
          <w:b/>
          <w:sz w:val="20"/>
          <w:szCs w:val="20"/>
        </w:rPr>
        <w:t>Review of some concepts in survival analysis</w:t>
      </w:r>
    </w:p>
    <w:p w:rsidR="00A400D2" w:rsidRPr="00B258EE" w:rsidRDefault="001E6D17" w:rsidP="009C702A">
      <w:pPr>
        <w:suppressAutoHyphens w:val="0"/>
        <w:snapToGrid w:val="0"/>
        <w:ind w:firstLine="425"/>
        <w:jc w:val="both"/>
        <w:rPr>
          <w:sz w:val="20"/>
          <w:szCs w:val="20"/>
          <w:lang w:eastAsia="zh-CN"/>
        </w:rPr>
      </w:pPr>
      <w:r w:rsidRPr="00B258EE">
        <w:rPr>
          <w:sz w:val="20"/>
          <w:szCs w:val="20"/>
          <w:lang w:eastAsia="zh-CN"/>
        </w:rPr>
        <w:t xml:space="preserve">The observation time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lang w:eastAsia="zh-CN"/>
        </w:rPr>
        <w:t xml:space="preserve"> could either be the time from inclusion in the study until patient </w:t>
      </w:r>
      <w:proofErr w:type="spellStart"/>
      <w:r w:rsidRPr="00B258EE">
        <w:rPr>
          <w:i/>
          <w:iCs/>
          <w:sz w:val="20"/>
          <w:szCs w:val="20"/>
          <w:lang w:eastAsia="zh-CN"/>
        </w:rPr>
        <w:t>i</w:t>
      </w:r>
      <w:proofErr w:type="spellEnd"/>
      <w:r w:rsidRPr="00B258EE">
        <w:rPr>
          <w:sz w:val="20"/>
          <w:szCs w:val="20"/>
          <w:lang w:eastAsia="zh-CN"/>
        </w:rPr>
        <w:t xml:space="preserve"> dies from the disease of interest (indicated by </w:t>
      </w:r>
      <w:proofErr w:type="spellStart"/>
      <w:r w:rsidRPr="00B258EE">
        <w:rPr>
          <w:i/>
          <w:iCs/>
          <w:sz w:val="20"/>
          <w:szCs w:val="20"/>
          <w:lang w:eastAsia="zh-CN"/>
        </w:rPr>
        <w:t>δ</w:t>
      </w:r>
      <w:r w:rsidRPr="00B258EE">
        <w:rPr>
          <w:i/>
          <w:iCs/>
          <w:sz w:val="20"/>
          <w:szCs w:val="20"/>
          <w:vertAlign w:val="subscript"/>
          <w:lang w:eastAsia="zh-CN"/>
        </w:rPr>
        <w:t>i</w:t>
      </w:r>
      <w:proofErr w:type="spellEnd"/>
      <w:r w:rsidRPr="00B258EE">
        <w:rPr>
          <w:i/>
          <w:iCs/>
          <w:sz w:val="20"/>
          <w:szCs w:val="20"/>
          <w:lang w:eastAsia="zh-CN"/>
        </w:rPr>
        <w:t xml:space="preserve"> = 1</w:t>
      </w:r>
      <w:r w:rsidRPr="00B258EE">
        <w:rPr>
          <w:sz w:val="20"/>
          <w:szCs w:val="20"/>
          <w:lang w:eastAsia="zh-CN"/>
        </w:rPr>
        <w:t xml:space="preserve">) </w:t>
      </w:r>
      <w:proofErr w:type="spellStart"/>
      <w:r w:rsidRPr="00B258EE">
        <w:rPr>
          <w:sz w:val="20"/>
          <w:szCs w:val="20"/>
          <w:lang w:eastAsia="zh-CN"/>
        </w:rPr>
        <w:t>i.e</w:t>
      </w:r>
      <w:proofErr w:type="spellEnd"/>
      <w:r w:rsidRPr="00B258EE">
        <w:rPr>
          <w:sz w:val="20"/>
          <w:szCs w:val="20"/>
          <w:lang w:eastAsia="zh-CN"/>
        </w:rPr>
        <w:t xml:space="preserve"> time to failure or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lang w:eastAsia="zh-CN"/>
        </w:rPr>
        <w:t xml:space="preserve"> can be the censoring time if patient </w:t>
      </w:r>
      <w:proofErr w:type="spellStart"/>
      <w:r w:rsidRPr="00B258EE">
        <w:rPr>
          <w:i/>
          <w:iCs/>
          <w:sz w:val="20"/>
          <w:szCs w:val="20"/>
          <w:lang w:eastAsia="zh-CN"/>
        </w:rPr>
        <w:t>i</w:t>
      </w:r>
      <w:proofErr w:type="spellEnd"/>
      <w:r w:rsidRPr="00B258EE">
        <w:rPr>
          <w:sz w:val="20"/>
          <w:szCs w:val="20"/>
          <w:lang w:eastAsia="zh-CN"/>
        </w:rPr>
        <w:t xml:space="preserve"> is still alive at the end of the study or if he or she drops out of the study or dies from another cause during the follow-up (indicated by </w:t>
      </w:r>
      <w:proofErr w:type="spellStart"/>
      <w:r w:rsidRPr="00B258EE">
        <w:rPr>
          <w:i/>
          <w:iCs/>
          <w:sz w:val="20"/>
          <w:szCs w:val="20"/>
          <w:lang w:eastAsia="zh-CN"/>
        </w:rPr>
        <w:t>δ</w:t>
      </w:r>
      <w:r w:rsidRPr="00B258EE">
        <w:rPr>
          <w:i/>
          <w:iCs/>
          <w:sz w:val="20"/>
          <w:szCs w:val="20"/>
          <w:vertAlign w:val="subscript"/>
          <w:lang w:eastAsia="zh-CN"/>
        </w:rPr>
        <w:t>i</w:t>
      </w:r>
      <w:proofErr w:type="spellEnd"/>
      <w:r w:rsidRPr="00B258EE">
        <w:rPr>
          <w:sz w:val="20"/>
          <w:szCs w:val="20"/>
          <w:lang w:eastAsia="zh-CN"/>
        </w:rPr>
        <w:t>=0). Common</w:t>
      </w:r>
      <w:r w:rsidR="003A2200" w:rsidRPr="00B258EE">
        <w:rPr>
          <w:sz w:val="20"/>
          <w:szCs w:val="20"/>
          <w:lang w:eastAsia="zh-CN"/>
        </w:rPr>
        <w:t xml:space="preserve"> </w:t>
      </w:r>
      <w:r w:rsidRPr="00B258EE">
        <w:rPr>
          <w:sz w:val="20"/>
          <w:szCs w:val="20"/>
          <w:lang w:eastAsia="zh-CN"/>
        </w:rPr>
        <w:t xml:space="preserve">problems when observing patients in survival analysis include patients leaving or quitting before the time-frame of the study had </w:t>
      </w:r>
      <w:proofErr w:type="spellStart"/>
      <w:r w:rsidRPr="00B258EE">
        <w:rPr>
          <w:sz w:val="20"/>
          <w:szCs w:val="20"/>
          <w:lang w:eastAsia="zh-CN"/>
        </w:rPr>
        <w:t>elasped</w:t>
      </w:r>
      <w:proofErr w:type="spellEnd"/>
      <w:r w:rsidRPr="00B258EE">
        <w:rPr>
          <w:sz w:val="20"/>
          <w:szCs w:val="20"/>
          <w:lang w:eastAsia="zh-CN"/>
        </w:rPr>
        <w:t xml:space="preserve">, patients dying due to causes different from the breast cancer, patients moving too far away to continue monitoring </w:t>
      </w:r>
      <w:proofErr w:type="spellStart"/>
      <w:r w:rsidRPr="00B258EE">
        <w:rPr>
          <w:sz w:val="20"/>
          <w:szCs w:val="20"/>
          <w:lang w:eastAsia="zh-CN"/>
        </w:rPr>
        <w:t>et.c</w:t>
      </w:r>
      <w:proofErr w:type="spellEnd"/>
      <w:r w:rsidRPr="00B258EE">
        <w:rPr>
          <w:sz w:val="20"/>
          <w:szCs w:val="20"/>
          <w:lang w:eastAsia="zh-CN"/>
        </w:rPr>
        <w:t xml:space="preserve">. Hence, the true value of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lang w:eastAsia="zh-CN"/>
        </w:rPr>
        <w:t xml:space="preserve"> is not always available. These events cause the value of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vertAlign w:val="subscript"/>
          <w:lang w:eastAsia="zh-CN"/>
        </w:rPr>
        <w:t xml:space="preserve"> </w:t>
      </w:r>
      <w:r w:rsidRPr="00B258EE">
        <w:rPr>
          <w:sz w:val="20"/>
          <w:szCs w:val="20"/>
          <w:lang w:eastAsia="zh-CN"/>
        </w:rPr>
        <w:t>to be censored since the event time is definitely larger than the time between the beginning and the censoring events. We have right censoring when subjects are still alive when the study ends, they have lost follow-up or if the date of the event is after some time. We could also have left censoring</w:t>
      </w:r>
      <w:r w:rsidR="003A2200" w:rsidRPr="00B258EE">
        <w:rPr>
          <w:sz w:val="20"/>
          <w:szCs w:val="20"/>
          <w:lang w:eastAsia="zh-CN"/>
        </w:rPr>
        <w:t xml:space="preserve"> </w:t>
      </w:r>
      <w:r w:rsidRPr="00B258EE">
        <w:rPr>
          <w:sz w:val="20"/>
          <w:szCs w:val="20"/>
          <w:lang w:eastAsia="zh-CN"/>
        </w:rPr>
        <w:t>if we never knew the exact time that the patient had the cancer or if the subject's lifetime is known to be less than a certain duration. Censoring has enabled researchers to analysis incomplete data. The standard assumption, also made here, is that the failure and censoring mechanisms are independent. Additionally, we will assume for simplicity that the observation time is continuous and no ties occur.</w:t>
      </w:r>
      <w:r w:rsidR="00981243" w:rsidRPr="00B258EE">
        <w:rPr>
          <w:sz w:val="20"/>
          <w:szCs w:val="20"/>
          <w:lang w:eastAsia="zh-CN"/>
        </w:rPr>
        <w:t xml:space="preserve"> Let the survival time </w:t>
      </w:r>
      <w:proofErr w:type="spellStart"/>
      <w:r w:rsidR="00981243" w:rsidRPr="00B258EE">
        <w:rPr>
          <w:i/>
          <w:iCs/>
          <w:sz w:val="20"/>
          <w:szCs w:val="20"/>
          <w:lang w:eastAsia="zh-CN"/>
        </w:rPr>
        <w:t>t</w:t>
      </w:r>
      <w:r w:rsidR="00981243" w:rsidRPr="00B258EE">
        <w:rPr>
          <w:i/>
          <w:iCs/>
          <w:sz w:val="20"/>
          <w:szCs w:val="20"/>
          <w:vertAlign w:val="subscript"/>
          <w:lang w:eastAsia="zh-CN"/>
        </w:rPr>
        <w:t>i</w:t>
      </w:r>
      <w:proofErr w:type="spellEnd"/>
      <w:r w:rsidR="00981243" w:rsidRPr="00B258EE">
        <w:rPr>
          <w:sz w:val="20"/>
          <w:szCs w:val="20"/>
          <w:lang w:eastAsia="zh-CN"/>
        </w:rPr>
        <w:t xml:space="preserve"> of an individual </w:t>
      </w:r>
      <w:proofErr w:type="spellStart"/>
      <w:r w:rsidR="00981243" w:rsidRPr="00B258EE">
        <w:rPr>
          <w:i/>
          <w:iCs/>
          <w:sz w:val="20"/>
          <w:szCs w:val="20"/>
          <w:lang w:eastAsia="zh-CN"/>
        </w:rPr>
        <w:t>i</w:t>
      </w:r>
      <w:proofErr w:type="spellEnd"/>
      <w:r w:rsidR="00981243" w:rsidRPr="00B258EE">
        <w:rPr>
          <w:sz w:val="20"/>
          <w:szCs w:val="20"/>
          <w:lang w:eastAsia="zh-CN"/>
        </w:rPr>
        <w:t xml:space="preserve"> be a </w:t>
      </w:r>
      <w:proofErr w:type="spellStart"/>
      <w:r w:rsidR="00981243" w:rsidRPr="00B258EE">
        <w:rPr>
          <w:sz w:val="20"/>
          <w:szCs w:val="20"/>
          <w:lang w:eastAsia="zh-CN"/>
        </w:rPr>
        <w:t>realisation</w:t>
      </w:r>
      <w:proofErr w:type="spellEnd"/>
      <w:r w:rsidR="00981243" w:rsidRPr="00B258EE">
        <w:rPr>
          <w:sz w:val="20"/>
          <w:szCs w:val="20"/>
          <w:lang w:eastAsia="zh-CN"/>
        </w:rPr>
        <w:t xml:space="preserve"> of a non-negative random variable </w:t>
      </w:r>
      <w:r w:rsidR="00981243" w:rsidRPr="00B258EE">
        <w:rPr>
          <w:i/>
          <w:iCs/>
          <w:sz w:val="20"/>
          <w:szCs w:val="20"/>
          <w:lang w:eastAsia="zh-CN"/>
        </w:rPr>
        <w:t>T</w:t>
      </w:r>
      <w:r w:rsidR="00981243" w:rsidRPr="00B258EE">
        <w:rPr>
          <w:i/>
          <w:iCs/>
          <w:sz w:val="20"/>
          <w:szCs w:val="20"/>
          <w:vertAlign w:val="subscript"/>
          <w:lang w:eastAsia="zh-CN"/>
        </w:rPr>
        <w:t>i</w:t>
      </w:r>
      <w:r w:rsidR="00981243" w:rsidRPr="00B258EE">
        <w:rPr>
          <w:sz w:val="20"/>
          <w:szCs w:val="20"/>
          <w:vertAlign w:val="subscript"/>
          <w:lang w:eastAsia="zh-CN"/>
        </w:rPr>
        <w:t xml:space="preserve"> </w:t>
      </w:r>
      <w:r w:rsidR="00981243" w:rsidRPr="00B258EE">
        <w:rPr>
          <w:sz w:val="20"/>
          <w:szCs w:val="20"/>
          <w:lang w:eastAsia="zh-CN"/>
        </w:rPr>
        <w:t xml:space="preserve">with probability density function </w:t>
      </w:r>
      <w:proofErr w:type="spellStart"/>
      <w:r w:rsidR="00981243" w:rsidRPr="00B258EE">
        <w:rPr>
          <w:i/>
          <w:iCs/>
          <w:sz w:val="20"/>
          <w:szCs w:val="20"/>
          <w:lang w:eastAsia="zh-CN"/>
        </w:rPr>
        <w:t>f</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00981243" w:rsidRPr="00B258EE">
        <w:rPr>
          <w:i/>
          <w:iCs/>
          <w:sz w:val="20"/>
          <w:szCs w:val="20"/>
          <w:lang w:eastAsia="zh-CN"/>
        </w:rPr>
        <w:t>t)</w:t>
      </w:r>
      <w:r w:rsidR="00981243" w:rsidRPr="00B258EE">
        <w:rPr>
          <w:sz w:val="20"/>
          <w:szCs w:val="20"/>
          <w:lang w:eastAsia="zh-CN"/>
        </w:rPr>
        <w:t xml:space="preserve"> and cumulative distribution function (</w:t>
      </w:r>
      <w:proofErr w:type="spellStart"/>
      <w:r w:rsidR="00981243" w:rsidRPr="00B258EE">
        <w:rPr>
          <w:sz w:val="20"/>
          <w:szCs w:val="20"/>
          <w:lang w:eastAsia="zh-CN"/>
        </w:rPr>
        <w:t>cdf</w:t>
      </w:r>
      <w:proofErr w:type="spellEnd"/>
      <w:r w:rsidR="00981243" w:rsidRPr="00B258EE">
        <w:rPr>
          <w:sz w:val="20"/>
          <w:szCs w:val="20"/>
          <w:lang w:eastAsia="zh-CN"/>
        </w:rPr>
        <w:t xml:space="preserve">) </w:t>
      </w:r>
      <w:proofErr w:type="spellStart"/>
      <w:r w:rsidR="00981243" w:rsidRPr="00B258EE">
        <w:rPr>
          <w:i/>
          <w:iCs/>
          <w:sz w:val="20"/>
          <w:szCs w:val="20"/>
          <w:lang w:eastAsia="zh-CN"/>
        </w:rPr>
        <w:t>F</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00981243" w:rsidRPr="00B258EE">
        <w:rPr>
          <w:i/>
          <w:iCs/>
          <w:sz w:val="20"/>
          <w:szCs w:val="20"/>
          <w:lang w:eastAsia="zh-CN"/>
        </w:rPr>
        <w:t>t).</w:t>
      </w:r>
      <w:r w:rsidR="00981243" w:rsidRPr="00B258EE">
        <w:rPr>
          <w:sz w:val="20"/>
          <w:szCs w:val="20"/>
          <w:lang w:eastAsia="zh-CN"/>
        </w:rPr>
        <w:t xml:space="preserve"> Then, the lifetime distribution function of </w:t>
      </w:r>
      <w:r w:rsidR="00981243" w:rsidRPr="00B258EE">
        <w:rPr>
          <w:i/>
          <w:iCs/>
          <w:sz w:val="20"/>
          <w:szCs w:val="20"/>
          <w:lang w:eastAsia="zh-CN"/>
        </w:rPr>
        <w:t>T</w:t>
      </w:r>
      <w:r w:rsidR="00981243" w:rsidRPr="00B258EE">
        <w:rPr>
          <w:i/>
          <w:iCs/>
          <w:sz w:val="20"/>
          <w:szCs w:val="20"/>
          <w:vertAlign w:val="subscript"/>
          <w:lang w:eastAsia="zh-CN"/>
        </w:rPr>
        <w:t>i</w:t>
      </w:r>
      <w:r w:rsidR="00981243" w:rsidRPr="00B258EE">
        <w:rPr>
          <w:sz w:val="20"/>
          <w:szCs w:val="20"/>
          <w:lang w:eastAsia="zh-CN"/>
        </w:rPr>
        <w:t xml:space="preserve">, </w:t>
      </w:r>
      <w:proofErr w:type="spellStart"/>
      <w:r w:rsidR="00981243" w:rsidRPr="00B258EE">
        <w:rPr>
          <w:i/>
          <w:iCs/>
          <w:sz w:val="20"/>
          <w:szCs w:val="20"/>
          <w:lang w:eastAsia="zh-CN"/>
        </w:rPr>
        <w:t>F</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00981243" w:rsidRPr="00B258EE">
        <w:rPr>
          <w:i/>
          <w:iCs/>
          <w:sz w:val="20"/>
          <w:szCs w:val="20"/>
          <w:lang w:eastAsia="zh-CN"/>
        </w:rPr>
        <w:t>t),</w:t>
      </w:r>
      <w:r w:rsidR="00981243" w:rsidRPr="00B258EE">
        <w:rPr>
          <w:sz w:val="20"/>
          <w:szCs w:val="20"/>
          <w:lang w:eastAsia="zh-CN"/>
        </w:rPr>
        <w:t xml:space="preserve"> is given by</w:t>
      </w:r>
    </w:p>
    <w:p w:rsidR="00981243" w:rsidRPr="00B258EE" w:rsidRDefault="00981243" w:rsidP="009C702A">
      <w:pPr>
        <w:tabs>
          <w:tab w:val="left" w:pos="4500"/>
          <w:tab w:val="left" w:pos="4590"/>
        </w:tabs>
        <w:suppressAutoHyphens w:val="0"/>
        <w:autoSpaceDE w:val="0"/>
        <w:autoSpaceDN w:val="0"/>
        <w:adjustRightInd w:val="0"/>
        <w:snapToGrid w:val="0"/>
        <w:ind w:firstLine="425"/>
        <w:jc w:val="both"/>
        <w:rPr>
          <w:i/>
          <w:iCs/>
          <w:sz w:val="20"/>
          <w:szCs w:val="20"/>
          <w:lang w:eastAsia="zh-CN"/>
        </w:rPr>
      </w:pPr>
      <w:proofErr w:type="spellStart"/>
      <w:r w:rsidRPr="00B258EE">
        <w:rPr>
          <w:i/>
          <w:iCs/>
          <w:sz w:val="20"/>
          <w:szCs w:val="20"/>
          <w:lang w:eastAsia="zh-CN"/>
        </w:rPr>
        <w:t>F</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Pr="00B258EE">
        <w:rPr>
          <w:i/>
          <w:iCs/>
          <w:sz w:val="20"/>
          <w:szCs w:val="20"/>
          <w:lang w:eastAsia="zh-CN"/>
        </w:rPr>
        <w:t>t) = P (T</w:t>
      </w:r>
      <w:r w:rsidRPr="00B258EE">
        <w:rPr>
          <w:i/>
          <w:iCs/>
          <w:sz w:val="20"/>
          <w:szCs w:val="20"/>
          <w:vertAlign w:val="subscript"/>
          <w:lang w:eastAsia="zh-CN"/>
        </w:rPr>
        <w:t xml:space="preserve">i </w:t>
      </w:r>
      <w:r w:rsidRPr="00B258EE">
        <w:rPr>
          <w:i/>
          <w:iCs/>
          <w:sz w:val="20"/>
          <w:szCs w:val="20"/>
          <w:lang w:eastAsia="zh-CN"/>
        </w:rPr>
        <w:t>&lt; t).</w:t>
      </w:r>
    </w:p>
    <w:p w:rsidR="00A85C3B" w:rsidRPr="00B258EE" w:rsidRDefault="00A85C3B"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lastRenderedPageBreak/>
        <w:t xml:space="preserve">The survival function </w:t>
      </w:r>
      <w:r w:rsidRPr="00B258EE">
        <w:rPr>
          <w:i/>
          <w:iCs/>
          <w:sz w:val="20"/>
          <w:szCs w:val="20"/>
          <w:lang w:eastAsia="zh-CN"/>
        </w:rPr>
        <w:t>S</w:t>
      </w:r>
      <w:r w:rsidR="00743C30" w:rsidRPr="00B258EE">
        <w:rPr>
          <w:i/>
          <w:iCs/>
          <w:sz w:val="20"/>
          <w:szCs w:val="20"/>
          <w:vertAlign w:val="subscript"/>
          <w:lang w:eastAsia="zh-CN"/>
        </w:rPr>
        <w:t xml:space="preserve">i </w:t>
      </w:r>
      <w:r w:rsidR="00743C30" w:rsidRPr="00B258EE">
        <w:rPr>
          <w:i/>
          <w:iCs/>
          <w:sz w:val="20"/>
          <w:szCs w:val="20"/>
          <w:lang w:eastAsia="zh-CN"/>
        </w:rPr>
        <w:t>(</w:t>
      </w:r>
      <w:r w:rsidRPr="00B258EE">
        <w:rPr>
          <w:i/>
          <w:iCs/>
          <w:sz w:val="20"/>
          <w:szCs w:val="20"/>
          <w:lang w:eastAsia="zh-CN"/>
        </w:rPr>
        <w:t>t)</w:t>
      </w:r>
      <w:r w:rsidRPr="00B258EE">
        <w:rPr>
          <w:sz w:val="20"/>
          <w:szCs w:val="20"/>
          <w:lang w:eastAsia="zh-CN"/>
        </w:rPr>
        <w:t xml:space="preserve"> of an individual </w:t>
      </w:r>
      <w:proofErr w:type="spellStart"/>
      <w:r w:rsidRPr="00B258EE">
        <w:rPr>
          <w:i/>
          <w:iCs/>
          <w:sz w:val="20"/>
          <w:szCs w:val="20"/>
          <w:lang w:eastAsia="zh-CN"/>
        </w:rPr>
        <w:t>i</w:t>
      </w:r>
      <w:proofErr w:type="spellEnd"/>
      <w:r w:rsidRPr="00B258EE">
        <w:rPr>
          <w:sz w:val="20"/>
          <w:szCs w:val="20"/>
          <w:lang w:eastAsia="zh-CN"/>
        </w:rPr>
        <w:t xml:space="preserve"> can be defined as the probability that the individual survives longer than some specified time </w:t>
      </w:r>
      <w:r w:rsidRPr="00B258EE">
        <w:rPr>
          <w:i/>
          <w:iCs/>
          <w:sz w:val="20"/>
          <w:szCs w:val="20"/>
          <w:lang w:eastAsia="zh-CN"/>
        </w:rPr>
        <w:t>t</w:t>
      </w:r>
      <w:r w:rsidRPr="00B258EE">
        <w:rPr>
          <w:sz w:val="20"/>
          <w:szCs w:val="20"/>
          <w:lang w:eastAsia="zh-CN"/>
        </w:rPr>
        <w:t xml:space="preserve"> where </w:t>
      </w:r>
      <w:r w:rsidRPr="00B258EE">
        <w:rPr>
          <w:i/>
          <w:iCs/>
          <w:sz w:val="20"/>
          <w:szCs w:val="20"/>
          <w:lang w:eastAsia="zh-CN"/>
        </w:rPr>
        <w:t>t</w:t>
      </w:r>
      <w:r w:rsidRPr="00B258EE">
        <w:rPr>
          <w:sz w:val="20"/>
          <w:szCs w:val="20"/>
          <w:lang w:eastAsia="zh-CN"/>
        </w:rPr>
        <w:t xml:space="preserve"> ranges from </w:t>
      </w:r>
      <w:r w:rsidRPr="00B258EE">
        <w:rPr>
          <w:i/>
          <w:iCs/>
          <w:sz w:val="20"/>
          <w:szCs w:val="20"/>
          <w:lang w:eastAsia="zh-CN"/>
        </w:rPr>
        <w:t>0</w:t>
      </w:r>
      <w:r w:rsidRPr="00B258EE">
        <w:rPr>
          <w:sz w:val="20"/>
          <w:szCs w:val="20"/>
          <w:lang w:eastAsia="zh-CN"/>
        </w:rPr>
        <w:t xml:space="preserve"> to </w:t>
      </w:r>
      <m:oMath>
        <m:r>
          <w:rPr>
            <w:rFonts w:ascii="Cambria Math"/>
            <w:sz w:val="20"/>
            <w:szCs w:val="20"/>
            <w:lang w:eastAsia="zh-CN"/>
          </w:rPr>
          <m:t>∞</m:t>
        </m:r>
      </m:oMath>
      <w:r w:rsidRPr="00B258EE">
        <w:rPr>
          <w:sz w:val="20"/>
          <w:szCs w:val="20"/>
          <w:lang w:eastAsia="zh-CN"/>
        </w:rPr>
        <w:t xml:space="preserve"> (Lee and Wang, 2003). The survival function can be given as</w:t>
      </w:r>
    </w:p>
    <w:p w:rsidR="00A400D2" w:rsidRPr="00B258EE" w:rsidRDefault="00A85C3B" w:rsidP="009C702A">
      <w:pPr>
        <w:suppressAutoHyphens w:val="0"/>
        <w:snapToGrid w:val="0"/>
        <w:ind w:firstLine="425"/>
        <w:jc w:val="both"/>
        <w:rPr>
          <w:i/>
          <w:iCs/>
          <w:sz w:val="20"/>
          <w:szCs w:val="20"/>
          <w:lang w:eastAsia="zh-CN"/>
        </w:rPr>
      </w:pPr>
      <w:r w:rsidRPr="00B258EE">
        <w:rPr>
          <w:i/>
          <w:iCs/>
          <w:sz w:val="20"/>
          <w:szCs w:val="20"/>
          <w:lang w:eastAsia="zh-CN"/>
        </w:rPr>
        <w:t>S</w:t>
      </w:r>
      <w:r w:rsidR="00743C30" w:rsidRPr="00B258EE">
        <w:rPr>
          <w:i/>
          <w:iCs/>
          <w:sz w:val="20"/>
          <w:szCs w:val="20"/>
          <w:vertAlign w:val="subscript"/>
          <w:lang w:eastAsia="zh-CN"/>
        </w:rPr>
        <w:t xml:space="preserve">i </w:t>
      </w:r>
      <w:r w:rsidR="00743C30" w:rsidRPr="00B258EE">
        <w:rPr>
          <w:i/>
          <w:iCs/>
          <w:sz w:val="20"/>
          <w:szCs w:val="20"/>
          <w:lang w:eastAsia="zh-CN"/>
        </w:rPr>
        <w:t>(</w:t>
      </w:r>
      <w:r w:rsidRPr="00B258EE">
        <w:rPr>
          <w:i/>
          <w:iCs/>
          <w:sz w:val="20"/>
          <w:szCs w:val="20"/>
          <w:lang w:eastAsia="zh-CN"/>
        </w:rPr>
        <w:t>t) = P (T</w:t>
      </w:r>
      <w:r w:rsidRPr="00B258EE">
        <w:rPr>
          <w:i/>
          <w:iCs/>
          <w:sz w:val="20"/>
          <w:szCs w:val="20"/>
          <w:vertAlign w:val="subscript"/>
          <w:lang w:eastAsia="zh-CN"/>
        </w:rPr>
        <w:t>i</w:t>
      </w:r>
      <w:r w:rsidRPr="00B258EE">
        <w:rPr>
          <w:i/>
          <w:iCs/>
          <w:sz w:val="20"/>
          <w:szCs w:val="20"/>
          <w:lang w:eastAsia="zh-CN"/>
        </w:rPr>
        <w:t xml:space="preserve"> ≥ t) = 1 - </w:t>
      </w:r>
      <w:proofErr w:type="spellStart"/>
      <w:r w:rsidRPr="00B258EE">
        <w:rPr>
          <w:i/>
          <w:iCs/>
          <w:sz w:val="20"/>
          <w:szCs w:val="20"/>
          <w:lang w:eastAsia="zh-CN"/>
        </w:rPr>
        <w:t>F</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Pr="00B258EE">
        <w:rPr>
          <w:i/>
          <w:iCs/>
          <w:sz w:val="20"/>
          <w:szCs w:val="20"/>
          <w:lang w:eastAsia="zh-CN"/>
        </w:rPr>
        <w:t>t).</w:t>
      </w:r>
    </w:p>
    <w:p w:rsidR="00A400D2" w:rsidRPr="00B258EE" w:rsidRDefault="00D63D4A" w:rsidP="009C702A">
      <w:pPr>
        <w:suppressAutoHyphens w:val="0"/>
        <w:snapToGrid w:val="0"/>
        <w:ind w:firstLine="425"/>
        <w:jc w:val="both"/>
        <w:rPr>
          <w:sz w:val="20"/>
          <w:szCs w:val="20"/>
          <w:lang w:eastAsia="zh-CN"/>
        </w:rPr>
      </w:pPr>
      <w:r w:rsidRPr="00B258EE">
        <w:rPr>
          <w:sz w:val="20"/>
          <w:szCs w:val="20"/>
          <w:lang w:eastAsia="zh-CN"/>
        </w:rPr>
        <w:t xml:space="preserve">The Hazard function </w:t>
      </w:r>
      <w:proofErr w:type="spellStart"/>
      <w:r w:rsidRPr="00B258EE">
        <w:rPr>
          <w:i/>
          <w:iCs/>
          <w:sz w:val="20"/>
          <w:szCs w:val="20"/>
          <w:lang w:eastAsia="zh-CN"/>
        </w:rPr>
        <w:t>α</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Pr="00B258EE">
        <w:rPr>
          <w:i/>
          <w:iCs/>
          <w:sz w:val="20"/>
          <w:szCs w:val="20"/>
          <w:lang w:eastAsia="zh-CN"/>
        </w:rPr>
        <w:t>t)</w:t>
      </w:r>
      <w:r w:rsidRPr="00B258EE">
        <w:rPr>
          <w:sz w:val="20"/>
          <w:szCs w:val="20"/>
          <w:lang w:eastAsia="zh-CN"/>
        </w:rPr>
        <w:t xml:space="preserve"> of an individual </w:t>
      </w:r>
      <w:proofErr w:type="spellStart"/>
      <w:r w:rsidRPr="00B258EE">
        <w:rPr>
          <w:i/>
          <w:iCs/>
          <w:sz w:val="20"/>
          <w:szCs w:val="20"/>
          <w:lang w:eastAsia="zh-CN"/>
        </w:rPr>
        <w:t>i</w:t>
      </w:r>
      <w:proofErr w:type="spellEnd"/>
      <w:r w:rsidRPr="00B258EE">
        <w:rPr>
          <w:sz w:val="20"/>
          <w:szCs w:val="20"/>
          <w:lang w:eastAsia="zh-CN"/>
        </w:rPr>
        <w:t xml:space="preserve"> can be expressed mathematically as</w:t>
      </w:r>
    </w:p>
    <w:p w:rsidR="009C702A" w:rsidRPr="00B258EE" w:rsidRDefault="009C702A" w:rsidP="009C702A">
      <w:pPr>
        <w:suppressAutoHyphens w:val="0"/>
        <w:snapToGrid w:val="0"/>
        <w:ind w:firstLine="425"/>
        <w:jc w:val="both"/>
        <w:rPr>
          <w:sz w:val="20"/>
          <w:szCs w:val="20"/>
          <w:lang w:eastAsia="zh-CN"/>
        </w:rPr>
      </w:pPr>
    </w:p>
    <w:p w:rsidR="00D63D4A" w:rsidRPr="00B258EE" w:rsidRDefault="00454A39" w:rsidP="009C702A">
      <w:pPr>
        <w:suppressAutoHyphens w:val="0"/>
        <w:snapToGrid w:val="0"/>
        <w:ind w:firstLine="425"/>
        <w:jc w:val="both"/>
        <w:rPr>
          <w:sz w:val="20"/>
          <w:szCs w:val="20"/>
          <w:lang w:eastAsia="zh-CN"/>
        </w:rPr>
      </w:pPr>
      <m:oMathPara>
        <m:oMath>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hAnsi="Cambria Math"/>
                  <w:sz w:val="20"/>
                  <w:szCs w:val="20"/>
                  <w:lang w:eastAsia="zh-CN"/>
                </w:rPr>
                <m:t>i</m:t>
              </m:r>
            </m:sub>
          </m:sSub>
          <m:r>
            <w:rPr>
              <w:rFonts w:ascii="Cambria Math"/>
              <w:sz w:val="20"/>
              <w:szCs w:val="20"/>
              <w:lang w:eastAsia="zh-CN"/>
            </w:rPr>
            <m:t>=</m:t>
          </m:r>
          <m:f>
            <m:fPr>
              <m:ctrlPr>
                <w:rPr>
                  <w:rFonts w:ascii="Cambria Math" w:hAnsi="Cambria Math"/>
                  <w:i/>
                  <w:sz w:val="20"/>
                  <w:szCs w:val="20"/>
                  <w:lang w:eastAsia="zh-CN"/>
                </w:rPr>
              </m:ctrlPr>
            </m:fPr>
            <m:num>
              <m:sSub>
                <m:sSubPr>
                  <m:ctrlPr>
                    <w:rPr>
                      <w:rFonts w:ascii="Cambria Math" w:hAnsi="Cambria Math"/>
                      <w:i/>
                      <w:sz w:val="20"/>
                      <w:szCs w:val="20"/>
                      <w:lang w:eastAsia="zh-CN"/>
                    </w:rPr>
                  </m:ctrlPr>
                </m:sSubPr>
                <m:e>
                  <m:r>
                    <w:rPr>
                      <w:rFonts w:ascii="Cambria Math" w:hAnsi="Cambria Math"/>
                      <w:sz w:val="20"/>
                      <w:szCs w:val="20"/>
                      <w:lang w:eastAsia="zh-CN"/>
                    </w:rPr>
                    <m:t>f</m:t>
                  </m:r>
                </m:e>
                <m:sub>
                  <m:r>
                    <w:rPr>
                      <w:rFonts w:ascii="Cambria Math" w:hAnsi="Cambria Math"/>
                      <w:sz w:val="20"/>
                      <w:szCs w:val="20"/>
                      <w:lang w:eastAsia="zh-CN"/>
                    </w:rPr>
                    <m:t>i</m:t>
                  </m:r>
                  <m:r>
                    <w:rPr>
                      <w:rFonts w:ascii="Cambria Math"/>
                      <w:sz w:val="20"/>
                      <w:szCs w:val="20"/>
                      <w:lang w:eastAsia="zh-CN"/>
                    </w:rPr>
                    <m:t>(</m:t>
                  </m:r>
                  <m:r>
                    <w:rPr>
                      <w:rFonts w:ascii="Cambria Math" w:hAnsi="Cambria Math"/>
                      <w:sz w:val="20"/>
                      <w:szCs w:val="20"/>
                      <w:lang w:eastAsia="zh-CN"/>
                    </w:rPr>
                    <m:t>t</m:t>
                  </m:r>
                  <m:r>
                    <w:rPr>
                      <w:rFonts w:ascii="Cambria Math"/>
                      <w:sz w:val="20"/>
                      <w:szCs w:val="20"/>
                      <w:lang w:eastAsia="zh-CN"/>
                    </w:rPr>
                    <m:t xml:space="preserve">) </m:t>
                  </m:r>
                </m:sub>
              </m:sSub>
            </m:num>
            <m:den>
              <m:sSub>
                <m:sSubPr>
                  <m:ctrlPr>
                    <w:rPr>
                      <w:rFonts w:ascii="Cambria Math" w:hAnsi="Cambria Math"/>
                      <w:i/>
                      <w:sz w:val="20"/>
                      <w:szCs w:val="20"/>
                      <w:lang w:eastAsia="zh-CN"/>
                    </w:rPr>
                  </m:ctrlPr>
                </m:sSubPr>
                <m:e>
                  <m:r>
                    <w:rPr>
                      <w:rFonts w:ascii="Cambria Math" w:hAnsi="Cambria Math"/>
                      <w:sz w:val="20"/>
                      <w:szCs w:val="20"/>
                      <w:lang w:eastAsia="zh-CN"/>
                    </w:rPr>
                    <m:t>S</m:t>
                  </m:r>
                </m:e>
                <m:sub>
                  <m:r>
                    <w:rPr>
                      <w:rFonts w:ascii="Cambria Math" w:hAnsi="Cambria Math"/>
                      <w:sz w:val="20"/>
                      <w:szCs w:val="20"/>
                      <w:lang w:eastAsia="zh-CN"/>
                    </w:rPr>
                    <m:t>i</m:t>
                  </m:r>
                </m:sub>
              </m:sSub>
              <m:r>
                <w:rPr>
                  <w:rFonts w:ascii="Cambria Math"/>
                  <w:sz w:val="20"/>
                  <w:szCs w:val="20"/>
                  <w:lang w:eastAsia="zh-CN"/>
                </w:rPr>
                <m:t>(</m:t>
              </m:r>
              <m:r>
                <w:rPr>
                  <w:rFonts w:ascii="Cambria Math" w:hAnsi="Cambria Math"/>
                  <w:sz w:val="20"/>
                  <w:szCs w:val="20"/>
                  <w:lang w:eastAsia="zh-CN"/>
                </w:rPr>
                <m:t>t</m:t>
              </m:r>
              <m:r>
                <w:rPr>
                  <w:rFonts w:ascii="Cambria Math"/>
                  <w:sz w:val="20"/>
                  <w:szCs w:val="20"/>
                  <w:lang w:eastAsia="zh-CN"/>
                </w:rPr>
                <m:t>)</m:t>
              </m:r>
            </m:den>
          </m:f>
          <m:r>
            <w:rPr>
              <w:rFonts w:ascii="Cambria Math"/>
              <w:sz w:val="20"/>
              <w:szCs w:val="20"/>
              <w:lang w:eastAsia="zh-CN"/>
            </w:rPr>
            <m:t>.</m:t>
          </m:r>
        </m:oMath>
      </m:oMathPara>
    </w:p>
    <w:p w:rsidR="009A19D6" w:rsidRPr="00B258EE" w:rsidRDefault="009A19D6" w:rsidP="009C702A">
      <w:pPr>
        <w:suppressAutoHyphens w:val="0"/>
        <w:snapToGrid w:val="0"/>
        <w:ind w:firstLine="425"/>
        <w:jc w:val="both"/>
        <w:rPr>
          <w:sz w:val="20"/>
          <w:szCs w:val="20"/>
          <w:lang w:eastAsia="zh-CN"/>
        </w:rPr>
      </w:pPr>
      <w:bookmarkStart w:id="0" w:name="_GoBack"/>
      <w:bookmarkEnd w:id="0"/>
    </w:p>
    <w:p w:rsidR="00A400D2" w:rsidRPr="00B258EE" w:rsidRDefault="004B5F13" w:rsidP="009C702A">
      <w:pPr>
        <w:suppressAutoHyphens w:val="0"/>
        <w:snapToGrid w:val="0"/>
        <w:jc w:val="both"/>
        <w:rPr>
          <w:b/>
          <w:bCs/>
          <w:sz w:val="20"/>
          <w:szCs w:val="20"/>
          <w:lang w:eastAsia="zh-CN"/>
        </w:rPr>
      </w:pPr>
      <w:r w:rsidRPr="00B258EE">
        <w:rPr>
          <w:b/>
          <w:bCs/>
          <w:sz w:val="20"/>
          <w:szCs w:val="20"/>
          <w:lang w:eastAsia="zh-CN"/>
        </w:rPr>
        <w:t>2.1 Kaplan-Meier Estimator</w:t>
      </w:r>
    </w:p>
    <w:p w:rsidR="00A400D2" w:rsidRPr="00B258EE" w:rsidRDefault="003A2200"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A basic task in the analysis of survival data is to estimate a survivor function. The two main</w:t>
      </w:r>
      <w:r w:rsidR="009C702A" w:rsidRPr="00B258EE">
        <w:rPr>
          <w:rFonts w:hint="eastAsia"/>
          <w:sz w:val="20"/>
          <w:szCs w:val="20"/>
          <w:lang w:eastAsia="zh-CN"/>
        </w:rPr>
        <w:t xml:space="preserve"> </w:t>
      </w:r>
      <w:r w:rsidRPr="00B258EE">
        <w:rPr>
          <w:sz w:val="20"/>
          <w:szCs w:val="20"/>
          <w:lang w:eastAsia="zh-CN"/>
        </w:rPr>
        <w:t>non-parametric methods are the life-table and Kaplan Meier method. The Kaplan-Meier (KM) method is the most widely used, important and generally accepted estimator of the survivor function. It is also known as the product-limit estimator (Kaplan and Meier, 1958). The Kaplan Meier estimator of survival function at time t is given as follows:</w:t>
      </w:r>
    </w:p>
    <w:p w:rsidR="00A400D2" w:rsidRPr="00B258EE" w:rsidRDefault="00A400D2" w:rsidP="009C702A">
      <w:pPr>
        <w:suppressAutoHyphens w:val="0"/>
        <w:snapToGrid w:val="0"/>
        <w:ind w:firstLine="425"/>
        <w:jc w:val="both"/>
        <w:rPr>
          <w:sz w:val="20"/>
          <w:szCs w:val="20"/>
          <w:lang w:eastAsia="zh-CN"/>
        </w:rPr>
      </w:pPr>
    </w:p>
    <w:p w:rsidR="00A400D2" w:rsidRPr="00B258EE" w:rsidRDefault="00454A39" w:rsidP="009C702A">
      <w:pPr>
        <w:suppressAutoHyphens w:val="0"/>
        <w:snapToGrid w:val="0"/>
        <w:ind w:firstLine="425"/>
        <w:jc w:val="both"/>
        <w:rPr>
          <w:sz w:val="20"/>
          <w:szCs w:val="20"/>
          <w:lang w:eastAsia="zh-CN"/>
        </w:rPr>
      </w:pPr>
      <m:oMathPara>
        <m:oMath>
          <m:acc>
            <m:accPr>
              <m:ctrlPr>
                <w:rPr>
                  <w:rFonts w:ascii="Cambria Math" w:hAnsi="Cambria Math"/>
                  <w:i/>
                  <w:sz w:val="20"/>
                  <w:szCs w:val="20"/>
                  <w:lang w:eastAsia="zh-CN"/>
                </w:rPr>
              </m:ctrlPr>
            </m:accPr>
            <m:e>
              <m:r>
                <w:rPr>
                  <w:rFonts w:ascii="Cambria Math" w:hAnsi="Cambria Math"/>
                  <w:sz w:val="20"/>
                  <w:szCs w:val="20"/>
                  <w:lang w:eastAsia="zh-CN"/>
                </w:rPr>
                <m:t>S</m:t>
              </m:r>
            </m:e>
          </m:acc>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sz w:val="20"/>
              <w:szCs w:val="20"/>
              <w:lang w:eastAsia="zh-CN"/>
            </w:rPr>
            <m:t>=</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r>
                    <w:rPr>
                      <w:rFonts w:ascii="Cambria Math"/>
                      <w:sz w:val="20"/>
                      <w:szCs w:val="20"/>
                      <w:lang w:eastAsia="zh-CN"/>
                    </w:rPr>
                    <m:t xml:space="preserve">1 </m:t>
                  </m:r>
                  <m:r>
                    <w:rPr>
                      <w:rFonts w:ascii="Cambria Math" w:hAnsi="Cambria Math"/>
                      <w:sz w:val="20"/>
                      <w:szCs w:val="20"/>
                      <w:lang w:eastAsia="zh-CN"/>
                    </w:rPr>
                    <m:t>if</m:t>
                  </m:r>
                  <m:r>
                    <w:rPr>
                      <w:rFonts w:ascii="Cambria Math"/>
                      <w:sz w:val="20"/>
                      <w:szCs w:val="20"/>
                      <w:lang w:eastAsia="zh-CN"/>
                    </w:rPr>
                    <m:t xml:space="preserve"> &amp; </m:t>
                  </m:r>
                  <m:r>
                    <w:rPr>
                      <w:rFonts w:ascii="Cambria Math" w:hAnsi="Cambria Math"/>
                      <w:sz w:val="20"/>
                      <w:szCs w:val="20"/>
                      <w:lang w:eastAsia="zh-CN"/>
                    </w:rPr>
                    <m:t>t</m:t>
                  </m:r>
                  <m:r>
                    <w:rPr>
                      <w:rFonts w:ascii="Cambria Math"/>
                      <w:sz w:val="20"/>
                      <w:szCs w:val="20"/>
                      <w:lang w:eastAsia="zh-CN"/>
                    </w:rPr>
                    <m:t>&lt;</m:t>
                  </m:r>
                  <m:sSub>
                    <m:sSubPr>
                      <m:ctrlPr>
                        <w:rPr>
                          <w:rFonts w:ascii="Cambria Math" w:hAnsi="Cambria Math"/>
                          <w:i/>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i</m:t>
                      </m:r>
                    </m:sub>
                  </m:sSub>
                </m:e>
                <m:e>
                  <m:nary>
                    <m:naryPr>
                      <m:chr m:val="∏"/>
                      <m:limLoc m:val="undOvr"/>
                      <m:subHide m:val="on"/>
                      <m:supHide m:val="on"/>
                      <m:ctrlPr>
                        <w:rPr>
                          <w:rFonts w:ascii="Cambria Math" w:hAnsi="Cambria Math"/>
                          <w:i/>
                          <w:sz w:val="20"/>
                          <w:szCs w:val="20"/>
                          <w:lang w:eastAsia="zh-CN"/>
                        </w:rPr>
                      </m:ctrlPr>
                    </m:naryPr>
                    <m:sub/>
                    <m:sup/>
                    <m:e>
                      <m:sSub>
                        <m:sSubPr>
                          <m:ctrlPr>
                            <w:rPr>
                              <w:rFonts w:ascii="Cambria Math" w:hAnsi="Cambria Math"/>
                              <w:i/>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i</m:t>
                          </m:r>
                          <m:r>
                            <w:rPr>
                              <w:rFonts w:ascii="Cambria Math"/>
                              <w:sz w:val="20"/>
                              <w:szCs w:val="20"/>
                              <w:lang w:eastAsia="zh-CN"/>
                            </w:rPr>
                            <m:t>≤</m:t>
                          </m:r>
                        </m:sub>
                      </m:sSub>
                    </m:e>
                  </m:nary>
                  <m:r>
                    <w:rPr>
                      <w:rFonts w:ascii="Cambria Math" w:hAnsi="Cambria Math"/>
                      <w:sz w:val="20"/>
                      <w:szCs w:val="20"/>
                      <w:lang w:eastAsia="zh-CN"/>
                    </w:rPr>
                    <m:t>t</m:t>
                  </m:r>
                  <m:r>
                    <w:rPr>
                      <w:rFonts w:ascii="Cambria Math"/>
                      <w:sz w:val="20"/>
                      <w:szCs w:val="20"/>
                      <w:lang w:eastAsia="zh-CN"/>
                    </w:rPr>
                    <m:t xml:space="preserve"> </m:t>
                  </m:r>
                  <m:d>
                    <m:dPr>
                      <m:begChr m:val="["/>
                      <m:endChr m:val="]"/>
                      <m:ctrlPr>
                        <w:rPr>
                          <w:rFonts w:ascii="Cambria Math" w:hAnsi="Cambria Math"/>
                          <w:i/>
                          <w:sz w:val="20"/>
                          <w:szCs w:val="20"/>
                          <w:lang w:eastAsia="zh-CN"/>
                        </w:rPr>
                      </m:ctrlPr>
                    </m:dPr>
                    <m:e>
                      <m:r>
                        <w:rPr>
                          <w:rFonts w:ascii="Cambria Math"/>
                          <w:sz w:val="20"/>
                          <w:szCs w:val="20"/>
                          <w:lang w:eastAsia="zh-CN"/>
                        </w:rPr>
                        <m:t>1</m:t>
                      </m:r>
                      <m:r>
                        <w:rPr>
                          <w:rFonts w:ascii="Cambria Math"/>
                          <w:sz w:val="20"/>
                          <w:szCs w:val="20"/>
                          <w:lang w:eastAsia="zh-CN"/>
                        </w:rPr>
                        <m:t>-</m:t>
                      </m:r>
                      <m:f>
                        <m:fPr>
                          <m:ctrlPr>
                            <w:rPr>
                              <w:rFonts w:ascii="Cambria Math" w:hAnsi="Cambria Math"/>
                              <w:i/>
                              <w:sz w:val="20"/>
                              <w:szCs w:val="20"/>
                              <w:lang w:eastAsia="zh-CN"/>
                            </w:rPr>
                          </m:ctrlPr>
                        </m:fPr>
                        <m:num>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i</m:t>
                              </m:r>
                            </m:sub>
                          </m:sSub>
                        </m:num>
                        <m:den>
                          <m:sSub>
                            <m:sSubPr>
                              <m:ctrlPr>
                                <w:rPr>
                                  <w:rFonts w:ascii="Cambria Math" w:hAnsi="Cambria Math"/>
                                  <w:i/>
                                  <w:sz w:val="20"/>
                                  <w:szCs w:val="20"/>
                                  <w:lang w:eastAsia="zh-CN"/>
                                </w:rPr>
                              </m:ctrlPr>
                            </m:sSubPr>
                            <m:e>
                              <m:r>
                                <w:rPr>
                                  <w:rFonts w:ascii="Cambria Math" w:hAnsi="Cambria Math"/>
                                  <w:sz w:val="20"/>
                                  <w:szCs w:val="20"/>
                                  <w:lang w:eastAsia="zh-CN"/>
                                </w:rPr>
                                <m:t>Y</m:t>
                              </m:r>
                            </m:e>
                            <m:sub>
                              <m:r>
                                <w:rPr>
                                  <w:rFonts w:ascii="Cambria Math" w:hAnsi="Cambria Math"/>
                                  <w:sz w:val="20"/>
                                  <w:szCs w:val="20"/>
                                  <w:lang w:eastAsia="zh-CN"/>
                                </w:rPr>
                                <m:t>i</m:t>
                              </m:r>
                            </m:sub>
                          </m:sSub>
                        </m:den>
                      </m:f>
                    </m:e>
                  </m:d>
                  <m:r>
                    <w:rPr>
                      <w:rFonts w:ascii="Cambria Math"/>
                      <w:sz w:val="20"/>
                      <w:szCs w:val="20"/>
                      <w:lang w:eastAsia="zh-CN"/>
                    </w:rPr>
                    <m:t xml:space="preserve"> </m:t>
                  </m:r>
                  <m:r>
                    <w:rPr>
                      <w:rFonts w:ascii="Cambria Math" w:hAnsi="Cambria Math"/>
                      <w:sz w:val="20"/>
                      <w:szCs w:val="20"/>
                      <w:lang w:eastAsia="zh-CN"/>
                    </w:rPr>
                    <m:t>if</m:t>
                  </m:r>
                  <m:r>
                    <w:rPr>
                      <w:rFonts w:asci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i</m:t>
                      </m:r>
                    </m:sub>
                  </m:sSub>
                  <m:r>
                    <w:rPr>
                      <w:rFonts w:ascii="Cambria Math"/>
                      <w:sz w:val="20"/>
                      <w:szCs w:val="20"/>
                      <w:lang w:eastAsia="zh-CN"/>
                    </w:rPr>
                    <m:t>&lt;</m:t>
                  </m:r>
                  <m:r>
                    <w:rPr>
                      <w:rFonts w:ascii="Cambria Math" w:hAnsi="Cambria Math"/>
                      <w:sz w:val="20"/>
                      <w:szCs w:val="20"/>
                      <w:lang w:eastAsia="zh-CN"/>
                    </w:rPr>
                    <m:t>t</m:t>
                  </m:r>
                </m:e>
              </m:eqArr>
            </m:e>
          </m:d>
          <m:r>
            <w:rPr>
              <w:rFonts w:ascii="Cambria Math"/>
              <w:sz w:val="20"/>
              <w:szCs w:val="20"/>
              <w:lang w:eastAsia="zh-CN"/>
            </w:rPr>
            <m:t xml:space="preserve"> (1)</m:t>
          </m:r>
        </m:oMath>
      </m:oMathPara>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0856E6" w:rsidRPr="00B258EE" w:rsidRDefault="000856E6"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where </w:t>
      </w:r>
      <w:r w:rsidRPr="00B258EE">
        <w:rPr>
          <w:i/>
          <w:iCs/>
          <w:sz w:val="20"/>
          <w:szCs w:val="20"/>
          <w:lang w:eastAsia="zh-CN"/>
        </w:rPr>
        <w:t>Y</w:t>
      </w:r>
      <w:r w:rsidRPr="00B258EE">
        <w:rPr>
          <w:i/>
          <w:iCs/>
          <w:sz w:val="20"/>
          <w:szCs w:val="20"/>
          <w:vertAlign w:val="subscript"/>
          <w:lang w:eastAsia="zh-CN"/>
        </w:rPr>
        <w:t>i</w:t>
      </w:r>
      <w:r w:rsidRPr="00B258EE">
        <w:rPr>
          <w:sz w:val="20"/>
          <w:szCs w:val="20"/>
          <w:lang w:eastAsia="zh-CN"/>
        </w:rPr>
        <w:t xml:space="preserve"> denotes the number of individuals who are at risk at time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lang w:eastAsia="zh-CN"/>
        </w:rPr>
        <w:t xml:space="preserve"> (still alive and uncensored just before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lang w:eastAsia="zh-CN"/>
        </w:rPr>
        <w:t xml:space="preserve">) and </w:t>
      </w:r>
      <w:proofErr w:type="spellStart"/>
      <w:r w:rsidRPr="00B258EE">
        <w:rPr>
          <w:i/>
          <w:iCs/>
          <w:sz w:val="20"/>
          <w:szCs w:val="20"/>
          <w:lang w:eastAsia="zh-CN"/>
        </w:rPr>
        <w:t>d</w:t>
      </w:r>
      <w:r w:rsidRPr="00B258EE">
        <w:rPr>
          <w:i/>
          <w:iCs/>
          <w:sz w:val="20"/>
          <w:szCs w:val="20"/>
          <w:vertAlign w:val="subscript"/>
          <w:lang w:eastAsia="zh-CN"/>
        </w:rPr>
        <w:t>i</w:t>
      </w:r>
      <w:proofErr w:type="spellEnd"/>
      <w:r w:rsidRPr="00B258EE">
        <w:rPr>
          <w:sz w:val="20"/>
          <w:szCs w:val="20"/>
          <w:vertAlign w:val="subscript"/>
          <w:lang w:eastAsia="zh-CN"/>
        </w:rPr>
        <w:t xml:space="preserve"> </w:t>
      </w:r>
      <w:r w:rsidRPr="00B258EE">
        <w:rPr>
          <w:sz w:val="20"/>
          <w:szCs w:val="20"/>
          <w:lang w:eastAsia="zh-CN"/>
        </w:rPr>
        <w:t xml:space="preserve">is the number of events at the </w:t>
      </w:r>
      <w:proofErr w:type="spellStart"/>
      <w:r w:rsidRPr="00B258EE">
        <w:rPr>
          <w:i/>
          <w:iCs/>
          <w:sz w:val="20"/>
          <w:szCs w:val="20"/>
          <w:lang w:eastAsia="zh-CN"/>
        </w:rPr>
        <w:t>i</w:t>
      </w:r>
      <w:r w:rsidRPr="00B258EE">
        <w:rPr>
          <w:i/>
          <w:iCs/>
          <w:sz w:val="20"/>
          <w:szCs w:val="20"/>
          <w:vertAlign w:val="superscript"/>
          <w:lang w:eastAsia="zh-CN"/>
        </w:rPr>
        <w:t>th</w:t>
      </w:r>
      <w:proofErr w:type="spellEnd"/>
      <w:r w:rsidRPr="00B258EE">
        <w:rPr>
          <w:sz w:val="20"/>
          <w:szCs w:val="20"/>
          <w:vertAlign w:val="superscript"/>
          <w:lang w:eastAsia="zh-CN"/>
        </w:rPr>
        <w:t xml:space="preserve"> </w:t>
      </w:r>
      <w:r w:rsidRPr="00B258EE">
        <w:rPr>
          <w:sz w:val="20"/>
          <w:szCs w:val="20"/>
          <w:lang w:eastAsia="zh-CN"/>
        </w:rPr>
        <w:t xml:space="preserve">ordered time </w:t>
      </w:r>
      <w:proofErr w:type="spellStart"/>
      <w:r w:rsidRPr="00B258EE">
        <w:rPr>
          <w:i/>
          <w:iCs/>
          <w:sz w:val="20"/>
          <w:szCs w:val="20"/>
          <w:lang w:eastAsia="zh-CN"/>
        </w:rPr>
        <w:t>t</w:t>
      </w:r>
      <w:r w:rsidRPr="00B258EE">
        <w:rPr>
          <w:i/>
          <w:iCs/>
          <w:sz w:val="20"/>
          <w:szCs w:val="20"/>
          <w:vertAlign w:val="subscript"/>
          <w:lang w:eastAsia="zh-CN"/>
        </w:rPr>
        <w:t>i</w:t>
      </w:r>
      <w:proofErr w:type="spellEnd"/>
      <w:r w:rsidRPr="00B258EE">
        <w:rPr>
          <w:sz w:val="20"/>
          <w:szCs w:val="20"/>
          <w:lang w:eastAsia="zh-CN"/>
        </w:rPr>
        <w:t>.</w:t>
      </w:r>
    </w:p>
    <w:p w:rsidR="00A400D2" w:rsidRPr="00B258EE" w:rsidRDefault="000856E6"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Kaplan Meier can be used in determining the effect of the variables on the survival. The Kaplan Meier curves provide a graphical output which shows the plot of the percentage survival against time. Two major advantages of the Kaplan Meier curve are that it is very</w:t>
      </w:r>
      <w:r w:rsidR="009C702A" w:rsidRPr="00B258EE">
        <w:rPr>
          <w:rFonts w:hint="eastAsia"/>
          <w:sz w:val="20"/>
          <w:szCs w:val="20"/>
          <w:lang w:eastAsia="zh-CN"/>
        </w:rPr>
        <w:t xml:space="preserve"> </w:t>
      </w:r>
      <w:r w:rsidRPr="00B258EE">
        <w:rPr>
          <w:sz w:val="20"/>
          <w:szCs w:val="20"/>
          <w:lang w:eastAsia="zh-CN"/>
        </w:rPr>
        <w:t>quick and easy to interpret. These make it possible for analyst to go through large amount of outcomes and get inferential behaviors in a short time.</w:t>
      </w:r>
    </w:p>
    <w:p w:rsidR="000856E6" w:rsidRPr="00B258EE" w:rsidRDefault="000856E6" w:rsidP="009C702A">
      <w:pPr>
        <w:suppressAutoHyphens w:val="0"/>
        <w:autoSpaceDE w:val="0"/>
        <w:autoSpaceDN w:val="0"/>
        <w:adjustRightInd w:val="0"/>
        <w:snapToGrid w:val="0"/>
        <w:jc w:val="both"/>
        <w:rPr>
          <w:b/>
          <w:bCs/>
          <w:sz w:val="20"/>
          <w:szCs w:val="20"/>
          <w:lang w:eastAsia="zh-CN"/>
        </w:rPr>
      </w:pPr>
      <w:r w:rsidRPr="00B258EE">
        <w:rPr>
          <w:b/>
          <w:bCs/>
          <w:sz w:val="20"/>
          <w:szCs w:val="20"/>
          <w:lang w:eastAsia="zh-CN"/>
        </w:rPr>
        <w:t>2.2 Log-Rank Test Statistic</w:t>
      </w:r>
    </w:p>
    <w:p w:rsidR="000856E6" w:rsidRPr="00B258EE" w:rsidRDefault="000856E6"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It will be interesting to know whether there are significant differences between groups in terms of survival. In some cases, the Kaplan Meier plots show that there are significant differences between the groups but it is important that the differences are backed up with a test. We need to find out if there are sufficient evidence to draw the conclusion that one group of people live longer than the other. The log-rank test is a formal hypothesis test used to compare survival curves using hypothesis tests. We use this test when we have two or more groups and we wish to test the null hypothesis that all groups have the same survival</w:t>
      </w:r>
    </w:p>
    <w:p w:rsidR="00A400D2" w:rsidRPr="00B258EE" w:rsidRDefault="000856E6"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rate. We recall the null (conservative) hypothesis </w:t>
      </w:r>
      <w:r w:rsidRPr="00B258EE">
        <w:rPr>
          <w:i/>
          <w:iCs/>
          <w:sz w:val="20"/>
          <w:szCs w:val="20"/>
          <w:lang w:eastAsia="zh-CN"/>
        </w:rPr>
        <w:t>H</w:t>
      </w:r>
      <w:r w:rsidRPr="00B258EE">
        <w:rPr>
          <w:i/>
          <w:iCs/>
          <w:sz w:val="20"/>
          <w:szCs w:val="20"/>
          <w:vertAlign w:val="subscript"/>
          <w:lang w:eastAsia="zh-CN"/>
        </w:rPr>
        <w:t>0</w:t>
      </w:r>
      <w:r w:rsidRPr="00B258EE">
        <w:rPr>
          <w:sz w:val="20"/>
          <w:szCs w:val="20"/>
          <w:lang w:eastAsia="zh-CN"/>
        </w:rPr>
        <w:t xml:space="preserve"> as the case that the groups have the same lifetime </w:t>
      </w:r>
      <w:r w:rsidRPr="00B258EE">
        <w:rPr>
          <w:sz w:val="20"/>
          <w:szCs w:val="20"/>
          <w:lang w:eastAsia="zh-CN"/>
        </w:rPr>
        <w:lastRenderedPageBreak/>
        <w:t xml:space="preserve">distribution and an alternative hypothesis </w:t>
      </w:r>
      <w:r w:rsidRPr="00B258EE">
        <w:rPr>
          <w:i/>
          <w:iCs/>
          <w:sz w:val="20"/>
          <w:szCs w:val="20"/>
          <w:lang w:eastAsia="zh-CN"/>
        </w:rPr>
        <w:t>H</w:t>
      </w:r>
      <w:r w:rsidRPr="00B258EE">
        <w:rPr>
          <w:i/>
          <w:iCs/>
          <w:sz w:val="20"/>
          <w:szCs w:val="20"/>
          <w:vertAlign w:val="subscript"/>
          <w:lang w:eastAsia="zh-CN"/>
        </w:rPr>
        <w:t>1</w:t>
      </w:r>
      <w:r w:rsidRPr="00B258EE">
        <w:rPr>
          <w:sz w:val="20"/>
          <w:szCs w:val="20"/>
          <w:vertAlign w:val="subscript"/>
          <w:lang w:eastAsia="zh-CN"/>
        </w:rPr>
        <w:t xml:space="preserve"> </w:t>
      </w:r>
      <w:r w:rsidRPr="00B258EE">
        <w:rPr>
          <w:sz w:val="20"/>
          <w:szCs w:val="20"/>
          <w:lang w:eastAsia="zh-CN"/>
        </w:rPr>
        <w:t>as the case that the groups have different lifetime distributions. If the value of the log-rank test is large then we reject the</w:t>
      </w:r>
      <w:r w:rsidR="009C702A" w:rsidRPr="00B258EE">
        <w:rPr>
          <w:rFonts w:hint="eastAsia"/>
          <w:sz w:val="20"/>
          <w:szCs w:val="20"/>
          <w:lang w:eastAsia="zh-CN"/>
        </w:rPr>
        <w:t xml:space="preserve"> </w:t>
      </w:r>
      <w:r w:rsidRPr="00B258EE">
        <w:rPr>
          <w:sz w:val="20"/>
          <w:szCs w:val="20"/>
          <w:lang w:eastAsia="zh-CN"/>
        </w:rPr>
        <w:t xml:space="preserve">null hypothesis in </w:t>
      </w:r>
      <w:proofErr w:type="spellStart"/>
      <w:r w:rsidRPr="00B258EE">
        <w:rPr>
          <w:sz w:val="20"/>
          <w:szCs w:val="20"/>
          <w:lang w:eastAsia="zh-CN"/>
        </w:rPr>
        <w:t>favour</w:t>
      </w:r>
      <w:proofErr w:type="spellEnd"/>
      <w:r w:rsidRPr="00B258EE">
        <w:rPr>
          <w:sz w:val="20"/>
          <w:szCs w:val="20"/>
          <w:lang w:eastAsia="zh-CN"/>
        </w:rPr>
        <w:t xml:space="preserve"> of the alternative hypothesis.</w:t>
      </w:r>
    </w:p>
    <w:p w:rsidR="00A400D2" w:rsidRPr="00B258EE" w:rsidRDefault="008C72FC"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Suppose we have r groups of individuals, with </w:t>
      </w:r>
      <m:oMath>
        <m:r>
          <w:rPr>
            <w:rFonts w:ascii="Cambria Math" w:hAnsi="Cambria Math"/>
            <w:sz w:val="20"/>
            <w:szCs w:val="20"/>
            <w:lang w:eastAsia="zh-CN"/>
          </w:rPr>
          <m:t>r</m:t>
        </m:r>
        <m:r>
          <w:rPr>
            <w:rFonts w:ascii="Cambria Math"/>
            <w:sz w:val="20"/>
            <w:szCs w:val="20"/>
            <w:lang w:eastAsia="zh-CN"/>
          </w:rPr>
          <m:t>≥</m:t>
        </m:r>
        <m:r>
          <w:rPr>
            <w:rFonts w:ascii="Cambria Math"/>
            <w:sz w:val="20"/>
            <w:szCs w:val="20"/>
            <w:lang w:eastAsia="zh-CN"/>
          </w:rPr>
          <m:t>2</m:t>
        </m:r>
      </m:oMath>
      <w:r w:rsidRPr="00B258EE">
        <w:rPr>
          <w:sz w:val="20"/>
          <w:szCs w:val="20"/>
          <w:lang w:eastAsia="zh-CN"/>
        </w:rPr>
        <w:t xml:space="preserve">. We pool all the death times together to define intervals </w:t>
      </w:r>
      <w:r w:rsidRPr="00B258EE">
        <w:rPr>
          <w:i/>
          <w:iCs/>
          <w:sz w:val="20"/>
          <w:szCs w:val="20"/>
          <w:lang w:eastAsia="zh-CN"/>
        </w:rPr>
        <w:t>[0, t</w:t>
      </w:r>
      <w:r w:rsidRPr="00B258EE">
        <w:rPr>
          <w:i/>
          <w:iCs/>
          <w:sz w:val="20"/>
          <w:szCs w:val="20"/>
          <w:vertAlign w:val="subscript"/>
          <w:lang w:eastAsia="zh-CN"/>
        </w:rPr>
        <w:t>1</w:t>
      </w:r>
      <w:r w:rsidRPr="00B258EE">
        <w:rPr>
          <w:i/>
          <w:iCs/>
          <w:sz w:val="20"/>
          <w:szCs w:val="20"/>
          <w:lang w:eastAsia="zh-CN"/>
        </w:rPr>
        <w:t>)</w:t>
      </w:r>
      <w:r w:rsidR="00743C30" w:rsidRPr="00B258EE">
        <w:rPr>
          <w:i/>
          <w:iCs/>
          <w:sz w:val="20"/>
          <w:szCs w:val="20"/>
          <w:lang w:eastAsia="zh-CN"/>
        </w:rPr>
        <w:t>, [</w:t>
      </w:r>
      <w:r w:rsidRPr="00B258EE">
        <w:rPr>
          <w:i/>
          <w:iCs/>
          <w:sz w:val="20"/>
          <w:szCs w:val="20"/>
          <w:lang w:eastAsia="zh-CN"/>
        </w:rPr>
        <w:t>t</w:t>
      </w:r>
      <w:r w:rsidRPr="00B258EE">
        <w:rPr>
          <w:i/>
          <w:iCs/>
          <w:sz w:val="20"/>
          <w:szCs w:val="20"/>
          <w:vertAlign w:val="subscript"/>
          <w:lang w:eastAsia="zh-CN"/>
        </w:rPr>
        <w:t>1</w:t>
      </w:r>
      <w:r w:rsidRPr="00B258EE">
        <w:rPr>
          <w:i/>
          <w:iCs/>
          <w:sz w:val="20"/>
          <w:szCs w:val="20"/>
          <w:lang w:eastAsia="zh-CN"/>
        </w:rPr>
        <w:t>, t</w:t>
      </w:r>
      <w:r w:rsidRPr="00B258EE">
        <w:rPr>
          <w:i/>
          <w:iCs/>
          <w:sz w:val="20"/>
          <w:szCs w:val="20"/>
          <w:vertAlign w:val="subscript"/>
          <w:lang w:eastAsia="zh-CN"/>
        </w:rPr>
        <w:t>2</w:t>
      </w:r>
      <w:r w:rsidRPr="00B258EE">
        <w:rPr>
          <w:i/>
          <w:iCs/>
          <w:sz w:val="20"/>
          <w:szCs w:val="20"/>
          <w:lang w:eastAsia="zh-CN"/>
        </w:rPr>
        <w:t>)</w:t>
      </w:r>
      <w:r w:rsidR="009C702A" w:rsidRPr="00B258EE">
        <w:rPr>
          <w:sz w:val="20"/>
          <w:szCs w:val="20"/>
          <w:lang w:eastAsia="zh-CN"/>
        </w:rPr>
        <w:t>,</w:t>
      </w:r>
      <w:r w:rsidRPr="00B258EE">
        <w:rPr>
          <w:sz w:val="20"/>
          <w:szCs w:val="20"/>
          <w:lang w:eastAsia="zh-CN"/>
        </w:rPr>
        <w:t xml:space="preserve"> etc. We have </w:t>
      </w:r>
      <w:proofErr w:type="spellStart"/>
      <w:r w:rsidRPr="00B258EE">
        <w:rPr>
          <w:i/>
          <w:iCs/>
          <w:sz w:val="20"/>
          <w:szCs w:val="20"/>
          <w:lang w:eastAsia="zh-CN"/>
        </w:rPr>
        <w:t>d</w:t>
      </w:r>
      <w:r w:rsidRPr="00B258EE">
        <w:rPr>
          <w:i/>
          <w:iCs/>
          <w:sz w:val="20"/>
          <w:szCs w:val="20"/>
          <w:vertAlign w:val="subscript"/>
          <w:lang w:eastAsia="zh-CN"/>
        </w:rPr>
        <w:t>bj</w:t>
      </w:r>
      <w:proofErr w:type="spellEnd"/>
      <w:r w:rsidRPr="00B258EE">
        <w:rPr>
          <w:i/>
          <w:iCs/>
          <w:sz w:val="20"/>
          <w:szCs w:val="20"/>
          <w:lang w:eastAsia="zh-CN"/>
        </w:rPr>
        <w:t xml:space="preserve"> </w:t>
      </w:r>
      <w:r w:rsidRPr="00B258EE">
        <w:rPr>
          <w:sz w:val="20"/>
          <w:szCs w:val="20"/>
          <w:lang w:eastAsia="zh-CN"/>
        </w:rPr>
        <w:t xml:space="preserve">deaths in group </w:t>
      </w:r>
      <w:r w:rsidRPr="00B258EE">
        <w:rPr>
          <w:i/>
          <w:iCs/>
          <w:sz w:val="20"/>
          <w:szCs w:val="20"/>
          <w:lang w:eastAsia="zh-CN"/>
        </w:rPr>
        <w:t>b</w:t>
      </w:r>
      <w:r w:rsidRPr="00B258EE">
        <w:rPr>
          <w:sz w:val="20"/>
          <w:szCs w:val="20"/>
          <w:lang w:eastAsia="zh-CN"/>
        </w:rPr>
        <w:t xml:space="preserve"> in interval </w:t>
      </w:r>
      <w:r w:rsidRPr="00B258EE">
        <w:rPr>
          <w:i/>
          <w:iCs/>
          <w:sz w:val="20"/>
          <w:szCs w:val="20"/>
          <w:lang w:eastAsia="zh-CN"/>
        </w:rPr>
        <w:t>j</w:t>
      </w:r>
      <w:r w:rsidRPr="00B258EE">
        <w:rPr>
          <w:sz w:val="20"/>
          <w:szCs w:val="20"/>
          <w:lang w:eastAsia="zh-CN"/>
        </w:rPr>
        <w:t xml:space="preserve"> and </w:t>
      </w:r>
      <w:proofErr w:type="spellStart"/>
      <w:r w:rsidRPr="00B258EE">
        <w:rPr>
          <w:i/>
          <w:iCs/>
          <w:sz w:val="20"/>
          <w:szCs w:val="20"/>
          <w:lang w:eastAsia="zh-CN"/>
        </w:rPr>
        <w:t>n</w:t>
      </w:r>
      <w:r w:rsidRPr="00B258EE">
        <w:rPr>
          <w:i/>
          <w:iCs/>
          <w:sz w:val="20"/>
          <w:szCs w:val="20"/>
          <w:vertAlign w:val="subscript"/>
          <w:lang w:eastAsia="zh-CN"/>
        </w:rPr>
        <w:t>bj</w:t>
      </w:r>
      <w:proofErr w:type="spellEnd"/>
      <w:r w:rsidR="009C702A" w:rsidRPr="00B258EE">
        <w:rPr>
          <w:sz w:val="20"/>
          <w:szCs w:val="20"/>
          <w:vertAlign w:val="subscript"/>
          <w:lang w:eastAsia="zh-CN"/>
        </w:rPr>
        <w:t xml:space="preserve"> </w:t>
      </w:r>
      <w:r w:rsidRPr="00B258EE">
        <w:rPr>
          <w:sz w:val="20"/>
          <w:szCs w:val="20"/>
          <w:lang w:eastAsia="zh-CN"/>
        </w:rPr>
        <w:t xml:space="preserve">individuals alive and uncensored from group </w:t>
      </w:r>
      <w:r w:rsidRPr="00B258EE">
        <w:rPr>
          <w:i/>
          <w:iCs/>
          <w:sz w:val="20"/>
          <w:szCs w:val="20"/>
          <w:lang w:eastAsia="zh-CN"/>
        </w:rPr>
        <w:t>b</w:t>
      </w:r>
      <w:r w:rsidRPr="00B258EE">
        <w:rPr>
          <w:sz w:val="20"/>
          <w:szCs w:val="20"/>
          <w:lang w:eastAsia="zh-CN"/>
        </w:rPr>
        <w:t xml:space="preserve"> at the start of interval </w:t>
      </w:r>
      <w:r w:rsidRPr="00B258EE">
        <w:rPr>
          <w:i/>
          <w:iCs/>
          <w:sz w:val="20"/>
          <w:szCs w:val="20"/>
          <w:lang w:eastAsia="zh-CN"/>
        </w:rPr>
        <w:t>j.</w:t>
      </w:r>
      <w:r w:rsidRPr="00B258EE">
        <w:rPr>
          <w:sz w:val="20"/>
          <w:szCs w:val="20"/>
          <w:lang w:eastAsia="zh-CN"/>
        </w:rPr>
        <w:t xml:space="preserve"> The log-rank test statistic is defined as</w:t>
      </w:r>
      <w:r w:rsidR="009C702A" w:rsidRPr="00B258EE">
        <w:rPr>
          <w:sz w:val="20"/>
          <w:szCs w:val="20"/>
          <w:lang w:eastAsia="zh-CN"/>
        </w:rPr>
        <w:t>:</w:t>
      </w:r>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8C72FC" w:rsidRPr="00B258EE" w:rsidRDefault="0052651F"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Log-rank test =</w:t>
      </w:r>
      <m:oMath>
        <m:r>
          <w:rPr>
            <w:rFonts w:ascii="Cambria Math"/>
            <w:sz w:val="20"/>
            <w:szCs w:val="20"/>
            <w:lang w:eastAsia="zh-CN"/>
          </w:rPr>
          <m:t xml:space="preserve"> </m:t>
        </m:r>
        <m:nary>
          <m:naryPr>
            <m:chr m:val="∑"/>
            <m:limLoc m:val="undOvr"/>
            <m:ctrlPr>
              <w:rPr>
                <w:rFonts w:ascii="Cambria Math" w:hAnsi="Cambria Math"/>
                <w:i/>
                <w:sz w:val="20"/>
                <w:szCs w:val="20"/>
                <w:lang w:eastAsia="zh-CN"/>
              </w:rPr>
            </m:ctrlPr>
          </m:naryPr>
          <m:sub>
            <m:r>
              <w:rPr>
                <w:rFonts w:ascii="Cambria Math" w:hAnsi="Cambria Math"/>
                <w:sz w:val="20"/>
                <w:szCs w:val="20"/>
                <w:lang w:eastAsia="zh-CN"/>
              </w:rPr>
              <m:t>b</m:t>
            </m:r>
            <m:r>
              <w:rPr>
                <w:rFonts w:ascii="Cambria Math"/>
                <w:sz w:val="20"/>
                <w:szCs w:val="20"/>
                <w:lang w:eastAsia="zh-CN"/>
              </w:rPr>
              <m:t>=1</m:t>
            </m:r>
          </m:sub>
          <m:sup>
            <m:r>
              <w:rPr>
                <w:rFonts w:ascii="Cambria Math" w:hAnsi="Cambria Math"/>
                <w:sz w:val="20"/>
                <w:szCs w:val="20"/>
                <w:lang w:eastAsia="zh-CN"/>
              </w:rPr>
              <m:t>r</m:t>
            </m:r>
          </m:sup>
          <m:e>
            <m:f>
              <m:fPr>
                <m:ctrlPr>
                  <w:rPr>
                    <w:rFonts w:ascii="Cambria Math" w:hAnsi="Cambria Math"/>
                    <w:i/>
                    <w:sz w:val="20"/>
                    <w:szCs w:val="20"/>
                    <w:lang w:eastAsia="zh-CN"/>
                  </w:rPr>
                </m:ctrlPr>
              </m:fPr>
              <m:num>
                <m:sSub>
                  <m:sSubPr>
                    <m:ctrlPr>
                      <w:rPr>
                        <w:rFonts w:ascii="Cambria Math" w:hAnsi="Cambria Math"/>
                        <w:i/>
                        <w:sz w:val="20"/>
                        <w:szCs w:val="20"/>
                        <w:lang w:eastAsia="zh-CN"/>
                      </w:rPr>
                    </m:ctrlPr>
                  </m:sSubPr>
                  <m:e>
                    <m:r>
                      <w:rPr>
                        <w:rFonts w:ascii="Cambria Math"/>
                        <w:sz w:val="20"/>
                        <w:szCs w:val="20"/>
                        <w:lang w:eastAsia="zh-CN"/>
                      </w:rPr>
                      <m:t>(</m:t>
                    </m:r>
                    <m:r>
                      <w:rPr>
                        <w:rFonts w:ascii="Cambria Math" w:hAnsi="Cambria Math"/>
                        <w:sz w:val="20"/>
                        <w:szCs w:val="20"/>
                        <w:lang w:eastAsia="zh-CN"/>
                      </w:rPr>
                      <m:t>O</m:t>
                    </m:r>
                  </m:e>
                  <m:sub>
                    <m:r>
                      <w:rPr>
                        <w:rFonts w:ascii="Cambria Math" w:hAnsi="Cambria Math"/>
                        <w:sz w:val="20"/>
                        <w:szCs w:val="20"/>
                        <w:lang w:eastAsia="zh-CN"/>
                      </w:rPr>
                      <m:t>b</m:t>
                    </m:r>
                  </m:sub>
                </m:sSub>
                <m:r>
                  <w:rPr>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b</m:t>
                    </m:r>
                    <m:r>
                      <w:rPr>
                        <w:rFonts w:ascii="Cambria Math"/>
                        <w:sz w:val="20"/>
                        <w:szCs w:val="20"/>
                        <w:lang w:eastAsia="zh-CN"/>
                      </w:rPr>
                      <m:t xml:space="preserve"> </m:t>
                    </m:r>
                  </m:sub>
                </m:sSub>
                <m:sSup>
                  <m:sSupPr>
                    <m:ctrlPr>
                      <w:rPr>
                        <w:rFonts w:ascii="Cambria Math" w:hAnsi="Cambria Math"/>
                        <w:i/>
                        <w:sz w:val="20"/>
                        <w:szCs w:val="20"/>
                        <w:lang w:eastAsia="zh-CN"/>
                      </w:rPr>
                    </m:ctrlPr>
                  </m:sSupPr>
                  <m:e>
                    <m:r>
                      <w:rPr>
                        <w:rFonts w:ascii="Cambria Math"/>
                        <w:sz w:val="20"/>
                        <w:szCs w:val="20"/>
                        <w:lang w:eastAsia="zh-CN"/>
                      </w:rPr>
                      <m:t>)</m:t>
                    </m:r>
                  </m:e>
                  <m:sup>
                    <m:r>
                      <w:rPr>
                        <w:rFonts w:ascii="Cambria Math"/>
                        <w:sz w:val="20"/>
                        <w:szCs w:val="20"/>
                        <w:lang w:eastAsia="zh-CN"/>
                      </w:rPr>
                      <m:t>2</m:t>
                    </m:r>
                  </m:sup>
                </m:sSup>
              </m:num>
              <m:den>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b</m:t>
                    </m:r>
                  </m:sub>
                </m:sSub>
              </m:den>
            </m:f>
          </m:e>
        </m:nary>
      </m:oMath>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0856E6" w:rsidRPr="00B258EE" w:rsidRDefault="00E00CD4"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where </w:t>
      </w:r>
      <w:r w:rsidRPr="00B258EE">
        <w:rPr>
          <w:i/>
          <w:iCs/>
          <w:sz w:val="20"/>
          <w:szCs w:val="20"/>
          <w:lang w:eastAsia="zh-CN"/>
        </w:rPr>
        <w:t>O</w:t>
      </w:r>
      <w:r w:rsidRPr="00B258EE">
        <w:rPr>
          <w:i/>
          <w:iCs/>
          <w:sz w:val="20"/>
          <w:szCs w:val="20"/>
          <w:vertAlign w:val="subscript"/>
          <w:lang w:eastAsia="zh-CN"/>
        </w:rPr>
        <w:t>b</w:t>
      </w:r>
      <w:r w:rsidRPr="00B258EE">
        <w:rPr>
          <w:sz w:val="20"/>
          <w:szCs w:val="20"/>
          <w:lang w:eastAsia="zh-CN"/>
        </w:rPr>
        <w:t xml:space="preserve"> =</w:t>
      </w:r>
      <m:oMath>
        <m:nary>
          <m:naryPr>
            <m:chr m:val="∑"/>
            <m:limLoc m:val="undOvr"/>
            <m:ctrlPr>
              <w:rPr>
                <w:rFonts w:ascii="Cambria Math" w:hAnsi="Cambria Math"/>
                <w:i/>
                <w:sz w:val="20"/>
                <w:szCs w:val="20"/>
                <w:lang w:eastAsia="zh-CN"/>
              </w:rPr>
            </m:ctrlPr>
          </m:naryPr>
          <m:sub>
            <m:r>
              <w:rPr>
                <w:rFonts w:ascii="Cambria Math" w:hAnsi="Cambria Math"/>
                <w:sz w:val="20"/>
                <w:szCs w:val="20"/>
                <w:lang w:eastAsia="zh-CN"/>
              </w:rPr>
              <m:t>j</m:t>
            </m:r>
            <m:r>
              <w:rPr>
                <w:rFonts w:ascii="Cambria Math"/>
                <w:sz w:val="20"/>
                <w:szCs w:val="20"/>
                <w:lang w:eastAsia="zh-CN"/>
              </w:rPr>
              <m:t>=1</m:t>
            </m:r>
          </m:sub>
          <m:sup>
            <m:r>
              <w:rPr>
                <w:rFonts w:ascii="Cambria Math" w:hAnsi="Cambria Math"/>
                <w:sz w:val="20"/>
                <w:szCs w:val="20"/>
                <w:lang w:eastAsia="zh-CN"/>
              </w:rPr>
              <m:t>m</m:t>
            </m:r>
          </m:sup>
          <m:e>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bj</m:t>
                </m:r>
              </m:sub>
            </m:sSub>
          </m:e>
        </m:nary>
        <m:r>
          <w:rPr>
            <w:rFonts w:ascii="Cambria Math"/>
            <w:sz w:val="20"/>
            <w:szCs w:val="20"/>
            <w:lang w:eastAsia="zh-CN"/>
          </w:rPr>
          <m:t xml:space="preserve"> </m:t>
        </m:r>
      </m:oMath>
      <w:r w:rsidRPr="00B258EE">
        <w:rPr>
          <w:sz w:val="20"/>
          <w:szCs w:val="20"/>
          <w:lang w:eastAsia="zh-CN"/>
        </w:rPr>
        <w:t xml:space="preserve">is the observed number of deaths in group </w:t>
      </w:r>
      <w:r w:rsidRPr="00B258EE">
        <w:rPr>
          <w:i/>
          <w:iCs/>
          <w:sz w:val="20"/>
          <w:szCs w:val="20"/>
          <w:lang w:eastAsia="zh-CN"/>
        </w:rPr>
        <w:t>b</w:t>
      </w:r>
      <w:r w:rsidRPr="00B258EE">
        <w:rPr>
          <w:sz w:val="20"/>
          <w:szCs w:val="20"/>
          <w:lang w:eastAsia="zh-CN"/>
        </w:rPr>
        <w:t xml:space="preserve"> and </w:t>
      </w:r>
      <w:proofErr w:type="spellStart"/>
      <w:r w:rsidRPr="00B258EE">
        <w:rPr>
          <w:i/>
          <w:iCs/>
          <w:sz w:val="20"/>
          <w:szCs w:val="20"/>
          <w:lang w:eastAsia="zh-CN"/>
        </w:rPr>
        <w:t>E</w:t>
      </w:r>
      <w:r w:rsidRPr="00B258EE">
        <w:rPr>
          <w:i/>
          <w:iCs/>
          <w:sz w:val="20"/>
          <w:szCs w:val="20"/>
          <w:vertAlign w:val="subscript"/>
          <w:lang w:eastAsia="zh-CN"/>
        </w:rPr>
        <w:t>b</w:t>
      </w:r>
      <w:proofErr w:type="spellEnd"/>
      <w:r w:rsidRPr="00B258EE">
        <w:rPr>
          <w:sz w:val="20"/>
          <w:szCs w:val="20"/>
          <w:lang w:eastAsia="zh-CN"/>
        </w:rPr>
        <w:t xml:space="preserve"> =</w:t>
      </w:r>
      <m:oMath>
        <m:nary>
          <m:naryPr>
            <m:chr m:val="∑"/>
            <m:limLoc m:val="undOvr"/>
            <m:ctrlPr>
              <w:rPr>
                <w:rFonts w:ascii="Cambria Math" w:hAnsi="Cambria Math"/>
                <w:i/>
                <w:sz w:val="20"/>
                <w:szCs w:val="20"/>
                <w:lang w:eastAsia="zh-CN"/>
              </w:rPr>
            </m:ctrlPr>
          </m:naryPr>
          <m:sub>
            <m:r>
              <w:rPr>
                <w:rFonts w:ascii="Cambria Math" w:hAnsi="Cambria Math"/>
                <w:sz w:val="20"/>
                <w:szCs w:val="20"/>
                <w:lang w:eastAsia="zh-CN"/>
              </w:rPr>
              <m:t>j</m:t>
            </m:r>
            <m:r>
              <w:rPr>
                <w:rFonts w:ascii="Cambria Math"/>
                <w:sz w:val="20"/>
                <w:szCs w:val="20"/>
                <w:lang w:eastAsia="zh-CN"/>
              </w:rPr>
              <m:t>=1</m:t>
            </m:r>
          </m:sub>
          <m:sup>
            <m:r>
              <w:rPr>
                <w:rFonts w:ascii="Cambria Math" w:hAnsi="Cambria Math"/>
                <w:sz w:val="20"/>
                <w:szCs w:val="20"/>
                <w:lang w:eastAsia="zh-CN"/>
              </w:rPr>
              <m:t>m</m:t>
            </m:r>
          </m:sup>
          <m:e>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bj</m:t>
                </m:r>
              </m:sub>
            </m:sSub>
          </m:e>
        </m:nary>
        <m:r>
          <w:rPr>
            <w:rFonts w:ascii="Cambria Math"/>
            <w:sz w:val="20"/>
            <w:szCs w:val="20"/>
            <w:lang w:eastAsia="zh-CN"/>
          </w:rPr>
          <m:t xml:space="preserve"> </m:t>
        </m:r>
      </m:oMath>
      <w:r w:rsidRPr="00B258EE">
        <w:rPr>
          <w:sz w:val="20"/>
          <w:szCs w:val="20"/>
          <w:lang w:eastAsia="zh-CN"/>
        </w:rPr>
        <w:t xml:space="preserve">is the expected number of deaths in group </w:t>
      </w:r>
      <w:r w:rsidRPr="00B258EE">
        <w:rPr>
          <w:i/>
          <w:iCs/>
          <w:sz w:val="20"/>
          <w:szCs w:val="20"/>
          <w:lang w:eastAsia="zh-CN"/>
        </w:rPr>
        <w:t>b</w:t>
      </w:r>
      <w:r w:rsidRPr="00B258EE">
        <w:rPr>
          <w:sz w:val="20"/>
          <w:szCs w:val="20"/>
          <w:lang w:eastAsia="zh-CN"/>
        </w:rPr>
        <w:t>, where</w:t>
      </w:r>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A00AED" w:rsidRPr="00B258EE" w:rsidRDefault="00454A39" w:rsidP="009C702A">
      <w:pPr>
        <w:suppressAutoHyphens w:val="0"/>
        <w:autoSpaceDE w:val="0"/>
        <w:autoSpaceDN w:val="0"/>
        <w:adjustRightInd w:val="0"/>
        <w:snapToGrid w:val="0"/>
        <w:ind w:firstLine="425"/>
        <w:jc w:val="both"/>
        <w:rPr>
          <w:sz w:val="20"/>
          <w:szCs w:val="20"/>
          <w:lang w:eastAsia="zh-CN"/>
        </w:rPr>
      </w:pPr>
      <m:oMathPara>
        <m:oMath>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bj</m:t>
              </m:r>
            </m:sub>
          </m:sSub>
          <m:r>
            <w:rPr>
              <w:rFonts w:ascii="Cambria Math"/>
              <w:sz w:val="20"/>
              <w:szCs w:val="20"/>
              <w:lang w:eastAsia="zh-CN"/>
            </w:rPr>
            <m:t>=</m:t>
          </m:r>
          <m:f>
            <m:fPr>
              <m:ctrlPr>
                <w:rPr>
                  <w:rFonts w:ascii="Cambria Math" w:hAnsi="Cambria Math"/>
                  <w:i/>
                  <w:sz w:val="20"/>
                  <w:szCs w:val="20"/>
                  <w:lang w:eastAsia="zh-CN"/>
                </w:rPr>
              </m:ctrlPr>
            </m:fPr>
            <m:num>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bj</m:t>
                  </m:r>
                  <m:r>
                    <w:rPr>
                      <w:rFonts w:asci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j</m:t>
                      </m:r>
                    </m:sub>
                  </m:sSub>
                </m:sub>
              </m:sSub>
            </m:num>
            <m:den>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j</m:t>
                  </m:r>
                </m:sub>
              </m:sSub>
            </m:den>
          </m:f>
        </m:oMath>
      </m:oMathPara>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0856E6" w:rsidRPr="00B258EE" w:rsidRDefault="00612A9F"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and </w:t>
      </w:r>
      <w:proofErr w:type="spellStart"/>
      <w:r w:rsidRPr="00B258EE">
        <w:rPr>
          <w:i/>
          <w:iCs/>
          <w:sz w:val="20"/>
          <w:szCs w:val="20"/>
          <w:lang w:eastAsia="zh-CN"/>
        </w:rPr>
        <w:t>d</w:t>
      </w:r>
      <w:r w:rsidRPr="00B258EE">
        <w:rPr>
          <w:i/>
          <w:iCs/>
          <w:sz w:val="20"/>
          <w:szCs w:val="20"/>
          <w:vertAlign w:val="subscript"/>
          <w:lang w:eastAsia="zh-CN"/>
        </w:rPr>
        <w:t>j</w:t>
      </w:r>
      <w:proofErr w:type="spellEnd"/>
      <w:r w:rsidR="009C702A" w:rsidRPr="00B258EE">
        <w:rPr>
          <w:i/>
          <w:iCs/>
          <w:sz w:val="20"/>
          <w:szCs w:val="20"/>
          <w:lang w:eastAsia="zh-CN"/>
        </w:rPr>
        <w:t>,</w:t>
      </w:r>
      <w:r w:rsidRPr="00B258EE">
        <w:rPr>
          <w:i/>
          <w:iCs/>
          <w:sz w:val="20"/>
          <w:szCs w:val="20"/>
          <w:lang w:eastAsia="zh-CN"/>
        </w:rPr>
        <w:t xml:space="preserve"> </w:t>
      </w:r>
      <w:proofErr w:type="spellStart"/>
      <w:r w:rsidRPr="00B258EE">
        <w:rPr>
          <w:i/>
          <w:iCs/>
          <w:sz w:val="20"/>
          <w:szCs w:val="20"/>
          <w:lang w:eastAsia="zh-CN"/>
        </w:rPr>
        <w:t>n</w:t>
      </w:r>
      <w:r w:rsidRPr="00B258EE">
        <w:rPr>
          <w:i/>
          <w:iCs/>
          <w:sz w:val="20"/>
          <w:szCs w:val="20"/>
          <w:vertAlign w:val="subscript"/>
          <w:lang w:eastAsia="zh-CN"/>
        </w:rPr>
        <w:t>j</w:t>
      </w:r>
      <w:proofErr w:type="spellEnd"/>
      <w:r w:rsidRPr="00B258EE">
        <w:rPr>
          <w:sz w:val="20"/>
          <w:szCs w:val="20"/>
          <w:lang w:eastAsia="zh-CN"/>
        </w:rPr>
        <w:t xml:space="preserve"> are the total deaths and total number at risk in interval </w:t>
      </w:r>
      <w:r w:rsidRPr="00B258EE">
        <w:rPr>
          <w:i/>
          <w:iCs/>
          <w:sz w:val="20"/>
          <w:szCs w:val="20"/>
          <w:lang w:eastAsia="zh-CN"/>
        </w:rPr>
        <w:t>j</w:t>
      </w:r>
      <w:r w:rsidRPr="00B258EE">
        <w:rPr>
          <w:sz w:val="20"/>
          <w:szCs w:val="20"/>
          <w:lang w:eastAsia="zh-CN"/>
        </w:rPr>
        <w:t xml:space="preserve">, respectively. The test statistic is compared to a χ </w:t>
      </w:r>
      <w:r w:rsidRPr="00B258EE">
        <w:rPr>
          <w:sz w:val="20"/>
          <w:szCs w:val="20"/>
          <w:vertAlign w:val="superscript"/>
          <w:lang w:eastAsia="zh-CN"/>
        </w:rPr>
        <w:t>2</w:t>
      </w:r>
      <w:r w:rsidRPr="00B258EE">
        <w:rPr>
          <w:sz w:val="20"/>
          <w:szCs w:val="20"/>
          <w:lang w:eastAsia="zh-CN"/>
        </w:rPr>
        <w:t xml:space="preserve"> distribution with </w:t>
      </w:r>
      <w:r w:rsidRPr="00B258EE">
        <w:rPr>
          <w:i/>
          <w:iCs/>
          <w:sz w:val="20"/>
          <w:szCs w:val="20"/>
          <w:lang w:eastAsia="zh-CN"/>
        </w:rPr>
        <w:t>r</w:t>
      </w:r>
      <w:r w:rsidRPr="00B258EE">
        <w:rPr>
          <w:sz w:val="20"/>
          <w:szCs w:val="20"/>
          <w:lang w:eastAsia="zh-CN"/>
        </w:rPr>
        <w:t xml:space="preserve"> degrees of freedom.</w:t>
      </w:r>
    </w:p>
    <w:p w:rsidR="00037F25" w:rsidRPr="00B258EE" w:rsidRDefault="00037F25" w:rsidP="009C702A">
      <w:pPr>
        <w:suppressAutoHyphens w:val="0"/>
        <w:autoSpaceDE w:val="0"/>
        <w:autoSpaceDN w:val="0"/>
        <w:adjustRightInd w:val="0"/>
        <w:snapToGrid w:val="0"/>
        <w:jc w:val="both"/>
        <w:rPr>
          <w:b/>
          <w:bCs/>
          <w:sz w:val="20"/>
          <w:szCs w:val="20"/>
          <w:lang w:eastAsia="zh-CN"/>
        </w:rPr>
      </w:pPr>
      <w:r w:rsidRPr="00B258EE">
        <w:rPr>
          <w:b/>
          <w:bCs/>
          <w:sz w:val="20"/>
          <w:szCs w:val="20"/>
          <w:lang w:eastAsia="zh-CN"/>
        </w:rPr>
        <w:t>2.3 Cox proportional hazards model</w:t>
      </w:r>
    </w:p>
    <w:p w:rsidR="000856E6" w:rsidRPr="00B258EE" w:rsidRDefault="00037F25"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In Section 2.1, we discussed using the survival time and the status of censoring in the estimation of the survival function using the Kaplan Meier method. Non-parametric methods do not make specific assumptions about the distribution. We could assume some specific</w:t>
      </w:r>
      <w:r w:rsidR="009C702A" w:rsidRPr="00B258EE">
        <w:rPr>
          <w:rFonts w:hint="eastAsia"/>
          <w:sz w:val="20"/>
          <w:szCs w:val="20"/>
          <w:lang w:eastAsia="zh-CN"/>
        </w:rPr>
        <w:t xml:space="preserve"> </w:t>
      </w:r>
      <w:r w:rsidRPr="00B258EE">
        <w:rPr>
          <w:sz w:val="20"/>
          <w:szCs w:val="20"/>
          <w:lang w:eastAsia="zh-CN"/>
        </w:rPr>
        <w:t xml:space="preserve">functional form for the hazard function and fit it to the data. We intend to consider </w:t>
      </w:r>
      <w:proofErr w:type="spellStart"/>
      <w:r w:rsidR="000C364E" w:rsidRPr="00B258EE">
        <w:rPr>
          <w:sz w:val="20"/>
          <w:szCs w:val="20"/>
          <w:lang w:eastAsia="zh-CN"/>
        </w:rPr>
        <w:t>incorpo</w:t>
      </w:r>
      <w:proofErr w:type="spellEnd"/>
      <w:r w:rsidRPr="00B258EE">
        <w:rPr>
          <w:sz w:val="20"/>
          <w:szCs w:val="20"/>
          <w:lang w:eastAsia="zh-CN"/>
        </w:rPr>
        <w:t>-rating the covariates of the individual into our analysis via the life time distribution. There are basically two ways to incorporate covariates into the analysis. These are the proportional hazard model (which is commonly used) and accelerated life models. A Cox proportional</w:t>
      </w:r>
      <w:r w:rsidR="0004452C" w:rsidRPr="00B258EE">
        <w:rPr>
          <w:sz w:val="20"/>
          <w:szCs w:val="20"/>
          <w:lang w:eastAsia="zh-CN"/>
        </w:rPr>
        <w:t xml:space="preserve"> </w:t>
      </w:r>
      <w:r w:rsidRPr="00B258EE">
        <w:rPr>
          <w:sz w:val="20"/>
          <w:szCs w:val="20"/>
          <w:lang w:eastAsia="zh-CN"/>
        </w:rPr>
        <w:t>hazard model (Cox, 1972) is a statistical technique for exploring the relationship between the survival time and the covariates of a patient. It provides an estimate of the treatment effect on survival.</w:t>
      </w:r>
    </w:p>
    <w:p w:rsidR="00037F25" w:rsidRPr="00B258EE" w:rsidRDefault="00037F25"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Suppose that for individual </w:t>
      </w:r>
      <w:proofErr w:type="spellStart"/>
      <w:r w:rsidRPr="00B258EE">
        <w:rPr>
          <w:i/>
          <w:iCs/>
          <w:sz w:val="20"/>
          <w:szCs w:val="20"/>
          <w:lang w:eastAsia="zh-CN"/>
        </w:rPr>
        <w:t>i</w:t>
      </w:r>
      <w:proofErr w:type="spellEnd"/>
      <w:r w:rsidRPr="00B258EE">
        <w:rPr>
          <w:sz w:val="20"/>
          <w:szCs w:val="20"/>
          <w:lang w:eastAsia="zh-CN"/>
        </w:rPr>
        <w:t>, we have covariates</w:t>
      </w:r>
    </w:p>
    <w:p w:rsidR="00037F25" w:rsidRPr="00B258EE" w:rsidRDefault="00037F25" w:rsidP="009C702A">
      <w:pPr>
        <w:suppressAutoHyphens w:val="0"/>
        <w:autoSpaceDE w:val="0"/>
        <w:autoSpaceDN w:val="0"/>
        <w:adjustRightInd w:val="0"/>
        <w:snapToGrid w:val="0"/>
        <w:ind w:firstLine="425"/>
        <w:jc w:val="both"/>
        <w:rPr>
          <w:sz w:val="20"/>
          <w:szCs w:val="20"/>
          <w:lang w:eastAsia="zh-CN"/>
        </w:rPr>
      </w:pPr>
      <w:r w:rsidRPr="00B258EE">
        <w:rPr>
          <w:i/>
          <w:iCs/>
          <w:sz w:val="20"/>
          <w:szCs w:val="20"/>
          <w:lang w:eastAsia="zh-CN"/>
        </w:rPr>
        <w:t>X</w:t>
      </w:r>
      <w:r w:rsidRPr="00B258EE">
        <w:rPr>
          <w:i/>
          <w:iCs/>
          <w:sz w:val="20"/>
          <w:szCs w:val="20"/>
          <w:vertAlign w:val="subscript"/>
          <w:lang w:eastAsia="zh-CN"/>
        </w:rPr>
        <w:t xml:space="preserve">i </w:t>
      </w:r>
      <w:r w:rsidRPr="00B258EE">
        <w:rPr>
          <w:i/>
          <w:iCs/>
          <w:sz w:val="20"/>
          <w:szCs w:val="20"/>
          <w:lang w:eastAsia="zh-CN"/>
        </w:rPr>
        <w:t>= (x</w:t>
      </w:r>
      <w:r w:rsidRPr="00B258EE">
        <w:rPr>
          <w:i/>
          <w:iCs/>
          <w:sz w:val="20"/>
          <w:szCs w:val="20"/>
          <w:vertAlign w:val="subscript"/>
          <w:lang w:eastAsia="zh-CN"/>
        </w:rPr>
        <w:t>i,1</w:t>
      </w:r>
      <w:r w:rsidRPr="00B258EE">
        <w:rPr>
          <w:i/>
          <w:iCs/>
          <w:sz w:val="20"/>
          <w:szCs w:val="20"/>
          <w:lang w:eastAsia="zh-CN"/>
        </w:rPr>
        <w:t>, x</w:t>
      </w:r>
      <w:r w:rsidRPr="00B258EE">
        <w:rPr>
          <w:i/>
          <w:iCs/>
          <w:sz w:val="20"/>
          <w:szCs w:val="20"/>
          <w:vertAlign w:val="subscript"/>
          <w:lang w:eastAsia="zh-CN"/>
        </w:rPr>
        <w:t>i,2</w:t>
      </w:r>
      <w:r w:rsidRPr="00B258EE">
        <w:rPr>
          <w:i/>
          <w:iCs/>
          <w:sz w:val="20"/>
          <w:szCs w:val="20"/>
          <w:lang w:eastAsia="zh-CN"/>
        </w:rPr>
        <w:t>,</w:t>
      </w:r>
      <w:r w:rsidR="009C702A" w:rsidRPr="00B258EE">
        <w:rPr>
          <w:i/>
          <w:iCs/>
          <w:sz w:val="20"/>
          <w:szCs w:val="20"/>
          <w:lang w:eastAsia="zh-CN"/>
        </w:rPr>
        <w:t>…</w:t>
      </w:r>
      <w:r w:rsidRPr="00B258EE">
        <w:rPr>
          <w:i/>
          <w:iCs/>
          <w:sz w:val="20"/>
          <w:szCs w:val="20"/>
          <w:lang w:eastAsia="zh-CN"/>
        </w:rPr>
        <w:t>,</w:t>
      </w:r>
      <w:proofErr w:type="spellStart"/>
      <w:r w:rsidRPr="00B258EE">
        <w:rPr>
          <w:i/>
          <w:iCs/>
          <w:sz w:val="20"/>
          <w:szCs w:val="20"/>
          <w:lang w:eastAsia="zh-CN"/>
        </w:rPr>
        <w:t>x</w:t>
      </w:r>
      <w:r w:rsidRPr="00B258EE">
        <w:rPr>
          <w:i/>
          <w:iCs/>
          <w:sz w:val="20"/>
          <w:szCs w:val="20"/>
          <w:vertAlign w:val="subscript"/>
          <w:lang w:eastAsia="zh-CN"/>
        </w:rPr>
        <w:t>i</w:t>
      </w:r>
      <w:r w:rsidRPr="00B258EE">
        <w:rPr>
          <w:i/>
          <w:iCs/>
          <w:sz w:val="20"/>
          <w:szCs w:val="20"/>
          <w:lang w:eastAsia="zh-CN"/>
        </w:rPr>
        <w:t>,</w:t>
      </w:r>
      <w:r w:rsidRPr="00B258EE">
        <w:rPr>
          <w:i/>
          <w:iCs/>
          <w:sz w:val="20"/>
          <w:szCs w:val="20"/>
          <w:vertAlign w:val="subscript"/>
          <w:lang w:eastAsia="zh-CN"/>
        </w:rPr>
        <w:t>m</w:t>
      </w:r>
      <w:proofErr w:type="spellEnd"/>
      <w:r w:rsidRPr="00B258EE">
        <w:rPr>
          <w:i/>
          <w:iCs/>
          <w:sz w:val="20"/>
          <w:szCs w:val="20"/>
          <w:lang w:eastAsia="zh-CN"/>
        </w:rPr>
        <w:t>)</w:t>
      </w:r>
      <w:r w:rsidRPr="00B258EE">
        <w:rPr>
          <w:sz w:val="20"/>
          <w:szCs w:val="20"/>
          <w:lang w:eastAsia="zh-CN"/>
        </w:rPr>
        <w:t xml:space="preserve">, where </w:t>
      </w:r>
      <w:proofErr w:type="spellStart"/>
      <w:r w:rsidRPr="00B258EE">
        <w:rPr>
          <w:i/>
          <w:iCs/>
          <w:sz w:val="20"/>
          <w:szCs w:val="20"/>
          <w:lang w:eastAsia="zh-CN"/>
        </w:rPr>
        <w:t>x</w:t>
      </w:r>
      <w:r w:rsidRPr="00B258EE">
        <w:rPr>
          <w:i/>
          <w:iCs/>
          <w:sz w:val="20"/>
          <w:szCs w:val="20"/>
          <w:vertAlign w:val="subscript"/>
          <w:lang w:eastAsia="zh-CN"/>
        </w:rPr>
        <w:t>i</w:t>
      </w:r>
      <w:r w:rsidRPr="00B258EE">
        <w:rPr>
          <w:i/>
          <w:iCs/>
          <w:sz w:val="20"/>
          <w:szCs w:val="20"/>
          <w:lang w:eastAsia="zh-CN"/>
        </w:rPr>
        <w:t>,</w:t>
      </w:r>
      <w:r w:rsidRPr="00B258EE">
        <w:rPr>
          <w:i/>
          <w:iCs/>
          <w:sz w:val="20"/>
          <w:szCs w:val="20"/>
          <w:vertAlign w:val="subscript"/>
          <w:lang w:eastAsia="zh-CN"/>
        </w:rPr>
        <w:t>k</w:t>
      </w:r>
      <w:proofErr w:type="spellEnd"/>
      <w:r w:rsidRPr="00B258EE">
        <w:rPr>
          <w:sz w:val="20"/>
          <w:szCs w:val="20"/>
          <w:lang w:eastAsia="zh-CN"/>
        </w:rPr>
        <w:t xml:space="preserve"> is the </w:t>
      </w:r>
      <w:proofErr w:type="spellStart"/>
      <w:r w:rsidRPr="00B258EE">
        <w:rPr>
          <w:i/>
          <w:iCs/>
          <w:sz w:val="20"/>
          <w:szCs w:val="20"/>
          <w:lang w:eastAsia="zh-CN"/>
        </w:rPr>
        <w:t>k</w:t>
      </w:r>
      <w:r w:rsidRPr="00B258EE">
        <w:rPr>
          <w:i/>
          <w:iCs/>
          <w:sz w:val="20"/>
          <w:szCs w:val="20"/>
          <w:vertAlign w:val="superscript"/>
          <w:lang w:eastAsia="zh-CN"/>
        </w:rPr>
        <w:t>th</w:t>
      </w:r>
      <w:proofErr w:type="spellEnd"/>
      <w:r w:rsidRPr="00B258EE">
        <w:rPr>
          <w:i/>
          <w:iCs/>
          <w:sz w:val="20"/>
          <w:szCs w:val="20"/>
          <w:vertAlign w:val="superscript"/>
          <w:lang w:eastAsia="zh-CN"/>
        </w:rPr>
        <w:t xml:space="preserve"> </w:t>
      </w:r>
      <w:r w:rsidRPr="00B258EE">
        <w:rPr>
          <w:sz w:val="20"/>
          <w:szCs w:val="20"/>
          <w:lang w:eastAsia="zh-CN"/>
        </w:rPr>
        <w:t xml:space="preserve">covariate value for the </w:t>
      </w:r>
      <w:proofErr w:type="spellStart"/>
      <w:r w:rsidRPr="00B258EE">
        <w:rPr>
          <w:i/>
          <w:iCs/>
          <w:sz w:val="20"/>
          <w:szCs w:val="20"/>
          <w:lang w:eastAsia="zh-CN"/>
        </w:rPr>
        <w:t>i</w:t>
      </w:r>
      <w:r w:rsidRPr="00B258EE">
        <w:rPr>
          <w:i/>
          <w:iCs/>
          <w:sz w:val="20"/>
          <w:szCs w:val="20"/>
          <w:vertAlign w:val="superscript"/>
          <w:lang w:eastAsia="zh-CN"/>
        </w:rPr>
        <w:t>th</w:t>
      </w:r>
      <w:proofErr w:type="spellEnd"/>
      <w:r w:rsidRPr="00B258EE">
        <w:rPr>
          <w:sz w:val="20"/>
          <w:szCs w:val="20"/>
          <w:lang w:eastAsia="zh-CN"/>
        </w:rPr>
        <w:t xml:space="preserve"> individual for </w:t>
      </w:r>
      <w:r w:rsidRPr="00B258EE">
        <w:rPr>
          <w:i/>
          <w:iCs/>
          <w:sz w:val="20"/>
          <w:szCs w:val="20"/>
          <w:lang w:eastAsia="zh-CN"/>
        </w:rPr>
        <w:t>k = 1,…,m</w:t>
      </w:r>
      <w:r w:rsidRPr="00B258EE">
        <w:rPr>
          <w:sz w:val="20"/>
          <w:szCs w:val="20"/>
          <w:lang w:eastAsia="zh-CN"/>
        </w:rPr>
        <w:t xml:space="preserve"> and individuals</w:t>
      </w:r>
    </w:p>
    <w:p w:rsidR="00A400D2" w:rsidRPr="00B258EE" w:rsidRDefault="00037F25" w:rsidP="009C702A">
      <w:pPr>
        <w:suppressAutoHyphens w:val="0"/>
        <w:autoSpaceDE w:val="0"/>
        <w:autoSpaceDN w:val="0"/>
        <w:adjustRightInd w:val="0"/>
        <w:snapToGrid w:val="0"/>
        <w:ind w:firstLine="425"/>
        <w:jc w:val="both"/>
        <w:rPr>
          <w:sz w:val="20"/>
          <w:szCs w:val="20"/>
          <w:lang w:eastAsia="zh-CN"/>
        </w:rPr>
      </w:pPr>
      <w:proofErr w:type="spellStart"/>
      <w:r w:rsidRPr="00B258EE">
        <w:rPr>
          <w:i/>
          <w:iCs/>
          <w:sz w:val="20"/>
          <w:szCs w:val="20"/>
          <w:lang w:eastAsia="zh-CN"/>
        </w:rPr>
        <w:t>i</w:t>
      </w:r>
      <w:proofErr w:type="spellEnd"/>
      <w:r w:rsidRPr="00B258EE">
        <w:rPr>
          <w:i/>
          <w:iCs/>
          <w:sz w:val="20"/>
          <w:szCs w:val="20"/>
          <w:lang w:eastAsia="zh-CN"/>
        </w:rPr>
        <w:t xml:space="preserve"> =1</w:t>
      </w:r>
      <w:r w:rsidR="009C702A" w:rsidRPr="00B258EE">
        <w:rPr>
          <w:i/>
          <w:iCs/>
          <w:sz w:val="20"/>
          <w:szCs w:val="20"/>
          <w:lang w:eastAsia="zh-CN"/>
        </w:rPr>
        <w:t>,</w:t>
      </w:r>
      <w:r w:rsidRPr="00B258EE">
        <w:rPr>
          <w:i/>
          <w:iCs/>
          <w:sz w:val="20"/>
          <w:szCs w:val="20"/>
          <w:lang w:eastAsia="zh-CN"/>
        </w:rPr>
        <w:t>.,n</w:t>
      </w:r>
      <w:r w:rsidRPr="00B258EE">
        <w:rPr>
          <w:sz w:val="20"/>
          <w:szCs w:val="20"/>
          <w:lang w:eastAsia="zh-CN"/>
        </w:rPr>
        <w:t>. These covariates could be continuous or even indicator variables (equal to 1 if present and 0 if</w:t>
      </w:r>
      <w:r w:rsidR="0004452C" w:rsidRPr="00B258EE">
        <w:rPr>
          <w:sz w:val="20"/>
          <w:szCs w:val="20"/>
          <w:lang w:eastAsia="zh-CN"/>
        </w:rPr>
        <w:t xml:space="preserve"> </w:t>
      </w:r>
      <w:r w:rsidRPr="00B258EE">
        <w:rPr>
          <w:sz w:val="20"/>
          <w:szCs w:val="20"/>
          <w:lang w:eastAsia="zh-CN"/>
        </w:rPr>
        <w:t xml:space="preserve">absent). We denote the hazard function of an individual </w:t>
      </w:r>
      <w:proofErr w:type="spellStart"/>
      <w:r w:rsidRPr="00B258EE">
        <w:rPr>
          <w:i/>
          <w:iCs/>
          <w:sz w:val="20"/>
          <w:szCs w:val="20"/>
          <w:lang w:eastAsia="zh-CN"/>
        </w:rPr>
        <w:t>i</w:t>
      </w:r>
      <w:proofErr w:type="spellEnd"/>
      <w:r w:rsidRPr="00B258EE">
        <w:rPr>
          <w:sz w:val="20"/>
          <w:szCs w:val="20"/>
          <w:lang w:eastAsia="zh-CN"/>
        </w:rPr>
        <w:t xml:space="preserve"> as </w:t>
      </w:r>
      <w:proofErr w:type="spellStart"/>
      <w:r w:rsidR="0004452C" w:rsidRPr="00B258EE">
        <w:rPr>
          <w:i/>
          <w:iCs/>
          <w:sz w:val="20"/>
          <w:szCs w:val="20"/>
          <w:lang w:eastAsia="zh-CN"/>
        </w:rPr>
        <w:t>α</w:t>
      </w:r>
      <w:r w:rsidR="00743C30" w:rsidRPr="00B258EE">
        <w:rPr>
          <w:i/>
          <w:iCs/>
          <w:sz w:val="20"/>
          <w:szCs w:val="20"/>
          <w:vertAlign w:val="subscript"/>
          <w:lang w:eastAsia="zh-CN"/>
        </w:rPr>
        <w:t>i</w:t>
      </w:r>
      <w:proofErr w:type="spellEnd"/>
      <w:r w:rsidR="00743C30" w:rsidRPr="00B258EE">
        <w:rPr>
          <w:i/>
          <w:iCs/>
          <w:sz w:val="20"/>
          <w:szCs w:val="20"/>
          <w:vertAlign w:val="subscript"/>
          <w:lang w:eastAsia="zh-CN"/>
        </w:rPr>
        <w:t xml:space="preserve"> </w:t>
      </w:r>
      <w:r w:rsidR="00743C30" w:rsidRPr="00B258EE">
        <w:rPr>
          <w:i/>
          <w:iCs/>
          <w:sz w:val="20"/>
          <w:szCs w:val="20"/>
          <w:lang w:eastAsia="zh-CN"/>
        </w:rPr>
        <w:t>(</w:t>
      </w:r>
      <w:r w:rsidR="0004452C" w:rsidRPr="00B258EE">
        <w:rPr>
          <w:i/>
          <w:iCs/>
          <w:sz w:val="20"/>
          <w:szCs w:val="20"/>
          <w:lang w:eastAsia="zh-CN"/>
        </w:rPr>
        <w:t>t).</w:t>
      </w:r>
      <w:r w:rsidR="009C702A" w:rsidRPr="00B258EE">
        <w:rPr>
          <w:sz w:val="20"/>
          <w:szCs w:val="20"/>
          <w:lang w:eastAsia="zh-CN"/>
        </w:rPr>
        <w:t xml:space="preserve"> </w:t>
      </w:r>
      <w:r w:rsidRPr="00B258EE">
        <w:rPr>
          <w:sz w:val="20"/>
          <w:szCs w:val="20"/>
          <w:lang w:eastAsia="zh-CN"/>
        </w:rPr>
        <w:t>In a proportional hazard</w:t>
      </w:r>
      <w:r w:rsidR="0004452C" w:rsidRPr="00B258EE">
        <w:rPr>
          <w:sz w:val="20"/>
          <w:szCs w:val="20"/>
          <w:lang w:eastAsia="zh-CN"/>
        </w:rPr>
        <w:t xml:space="preserve"> </w:t>
      </w:r>
      <w:r w:rsidRPr="00B258EE">
        <w:rPr>
          <w:sz w:val="20"/>
          <w:szCs w:val="20"/>
          <w:lang w:eastAsia="zh-CN"/>
        </w:rPr>
        <w:t xml:space="preserve">model, we assume that for any two individuals </w:t>
      </w:r>
      <w:proofErr w:type="spellStart"/>
      <w:r w:rsidRPr="00B258EE">
        <w:rPr>
          <w:i/>
          <w:iCs/>
          <w:sz w:val="20"/>
          <w:szCs w:val="20"/>
          <w:lang w:eastAsia="zh-CN"/>
        </w:rPr>
        <w:t>i</w:t>
      </w:r>
      <w:proofErr w:type="spellEnd"/>
      <w:r w:rsidRPr="00B258EE">
        <w:rPr>
          <w:sz w:val="20"/>
          <w:szCs w:val="20"/>
          <w:lang w:eastAsia="zh-CN"/>
        </w:rPr>
        <w:t xml:space="preserve"> and </w:t>
      </w:r>
      <w:r w:rsidRPr="00B258EE">
        <w:rPr>
          <w:i/>
          <w:iCs/>
          <w:sz w:val="20"/>
          <w:szCs w:val="20"/>
          <w:lang w:eastAsia="zh-CN"/>
        </w:rPr>
        <w:t>j</w:t>
      </w:r>
      <w:r w:rsidRPr="00B258EE">
        <w:rPr>
          <w:sz w:val="20"/>
          <w:szCs w:val="20"/>
          <w:lang w:eastAsia="zh-CN"/>
        </w:rPr>
        <w:t>, the hazards are related by</w:t>
      </w:r>
    </w:p>
    <w:p w:rsidR="00A400D2" w:rsidRPr="00B258EE" w:rsidRDefault="00A400D2" w:rsidP="009C702A">
      <w:pPr>
        <w:suppressAutoHyphens w:val="0"/>
        <w:snapToGrid w:val="0"/>
        <w:ind w:firstLine="425"/>
        <w:jc w:val="both"/>
        <w:rPr>
          <w:sz w:val="20"/>
          <w:szCs w:val="20"/>
          <w:lang w:eastAsia="zh-CN"/>
        </w:rPr>
      </w:pPr>
    </w:p>
    <w:p w:rsidR="00281877" w:rsidRPr="00B258EE" w:rsidRDefault="00454A39" w:rsidP="009C702A">
      <w:pPr>
        <w:suppressAutoHyphens w:val="0"/>
        <w:snapToGrid w:val="0"/>
        <w:ind w:firstLine="425"/>
        <w:jc w:val="both"/>
        <w:rPr>
          <w:sz w:val="20"/>
          <w:szCs w:val="20"/>
          <w:lang w:eastAsia="zh-CN"/>
        </w:rPr>
      </w:pPr>
      <m:oMathPara>
        <m:oMath>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hAnsi="Cambria Math"/>
                  <w:sz w:val="20"/>
                  <w:szCs w:val="20"/>
                  <w:lang w:eastAsia="zh-CN"/>
                </w:rPr>
                <m:t>i</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ω</m:t>
              </m:r>
            </m:e>
            <m:sub>
              <m:r>
                <w:rPr>
                  <w:rFonts w:ascii="Cambria Math" w:hAnsi="Cambria Math"/>
                  <w:sz w:val="20"/>
                  <w:szCs w:val="20"/>
                  <w:lang w:eastAsia="zh-CN"/>
                </w:rPr>
                <m:t>i</m:t>
              </m:r>
              <m:r>
                <w:rPr>
                  <w:rFonts w:ascii="Cambria Math"/>
                  <w:sz w:val="20"/>
                  <w:szCs w:val="20"/>
                  <w:lang w:eastAsia="zh-CN"/>
                </w:rPr>
                <m:t>,</m:t>
              </m:r>
              <m:r>
                <w:rPr>
                  <w:rFonts w:ascii="Cambria Math" w:hAnsi="Cambria Math"/>
                  <w:sz w:val="20"/>
                  <w:szCs w:val="20"/>
                  <w:lang w:eastAsia="zh-CN"/>
                </w:rPr>
                <m:t>j</m:t>
              </m:r>
              <m:r>
                <w:rPr>
                  <w:rFonts w:ascii="Cambria Math"/>
                  <w:sz w:val="20"/>
                  <w:szCs w:val="20"/>
                  <w:lang w:eastAsia="zh-CN"/>
                </w:rPr>
                <m:t xml:space="preserve"> </m:t>
              </m:r>
            </m:sub>
          </m:sSub>
          <m:r>
            <w:rPr>
              <w:rFonts w:asci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hAnsi="Cambria Math"/>
                  <w:sz w:val="20"/>
                  <w:szCs w:val="20"/>
                  <w:lang w:eastAsia="zh-CN"/>
                </w:rPr>
                <m:t>j</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sz w:val="20"/>
              <w:szCs w:val="20"/>
              <w:lang w:eastAsia="zh-CN"/>
            </w:rPr>
            <m:t xml:space="preserve"> (2)</m:t>
          </m:r>
        </m:oMath>
      </m:oMathPara>
    </w:p>
    <w:p w:rsidR="00C701BF" w:rsidRPr="00B258EE" w:rsidRDefault="00C701BF" w:rsidP="009C702A">
      <w:pPr>
        <w:suppressAutoHyphens w:val="0"/>
        <w:snapToGrid w:val="0"/>
        <w:ind w:firstLine="425"/>
        <w:jc w:val="both"/>
        <w:rPr>
          <w:sz w:val="20"/>
          <w:szCs w:val="20"/>
          <w:lang w:eastAsia="zh-CN"/>
        </w:rPr>
      </w:pPr>
    </w:p>
    <w:p w:rsidR="00A400D2" w:rsidRPr="00B258EE" w:rsidRDefault="00281877" w:rsidP="009C702A">
      <w:pPr>
        <w:suppressAutoHyphens w:val="0"/>
        <w:snapToGrid w:val="0"/>
        <w:ind w:firstLine="425"/>
        <w:jc w:val="both"/>
        <w:rPr>
          <w:sz w:val="20"/>
          <w:szCs w:val="20"/>
          <w:lang w:eastAsia="zh-CN"/>
        </w:rPr>
      </w:pPr>
      <w:r w:rsidRPr="00B258EE">
        <w:rPr>
          <w:sz w:val="20"/>
          <w:szCs w:val="20"/>
          <w:lang w:eastAsia="zh-CN"/>
        </w:rPr>
        <w:t xml:space="preserve">where </w:t>
      </w:r>
      <m:oMath>
        <m:sSub>
          <m:sSubPr>
            <m:ctrlPr>
              <w:rPr>
                <w:rFonts w:ascii="Cambria Math" w:hAnsi="Cambria Math"/>
                <w:i/>
                <w:sz w:val="20"/>
                <w:szCs w:val="20"/>
                <w:lang w:eastAsia="zh-CN"/>
              </w:rPr>
            </m:ctrlPr>
          </m:sSubPr>
          <m:e>
            <m:r>
              <w:rPr>
                <w:rFonts w:ascii="Cambria Math" w:hAnsi="Cambria Math"/>
                <w:sz w:val="20"/>
                <w:szCs w:val="20"/>
                <w:lang w:eastAsia="zh-CN"/>
              </w:rPr>
              <m:t>ω</m:t>
            </m:r>
          </m:e>
          <m:sub>
            <m:r>
              <w:rPr>
                <w:rFonts w:ascii="Cambria Math" w:hAnsi="Cambria Math"/>
                <w:sz w:val="20"/>
                <w:szCs w:val="20"/>
                <w:lang w:eastAsia="zh-CN"/>
              </w:rPr>
              <m:t>i</m:t>
            </m:r>
            <m:r>
              <w:rPr>
                <w:rFonts w:ascii="Cambria Math"/>
                <w:sz w:val="20"/>
                <w:szCs w:val="20"/>
                <w:lang w:eastAsia="zh-CN"/>
              </w:rPr>
              <m:t>,</m:t>
            </m:r>
            <m:r>
              <w:rPr>
                <w:rFonts w:ascii="Cambria Math" w:hAnsi="Cambria Math"/>
                <w:sz w:val="20"/>
                <w:szCs w:val="20"/>
                <w:lang w:eastAsia="zh-CN"/>
              </w:rPr>
              <m:t>j</m:t>
            </m:r>
            <m:r>
              <w:rPr>
                <w:rFonts w:ascii="Cambria Math"/>
                <w:sz w:val="20"/>
                <w:szCs w:val="20"/>
                <w:lang w:eastAsia="zh-CN"/>
              </w:rPr>
              <m:t xml:space="preserve"> </m:t>
            </m:r>
          </m:sub>
        </m:sSub>
      </m:oMath>
      <w:r w:rsidRPr="00B258EE">
        <w:rPr>
          <w:sz w:val="20"/>
          <w:szCs w:val="20"/>
          <w:lang w:eastAsia="zh-CN"/>
        </w:rPr>
        <w:t xml:space="preserve"> is a constant that does not depend on </w:t>
      </w:r>
      <w:r w:rsidRPr="00B258EE">
        <w:rPr>
          <w:i/>
          <w:iCs/>
          <w:sz w:val="20"/>
          <w:szCs w:val="20"/>
          <w:lang w:eastAsia="zh-CN"/>
        </w:rPr>
        <w:t>t</w:t>
      </w:r>
      <w:r w:rsidRPr="00B258EE">
        <w:rPr>
          <w:sz w:val="20"/>
          <w:szCs w:val="20"/>
          <w:lang w:eastAsia="zh-CN"/>
        </w:rPr>
        <w:t>. We can rewrite Equation 2 as</w:t>
      </w:r>
    </w:p>
    <w:p w:rsidR="009C702A" w:rsidRPr="00B258EE" w:rsidRDefault="009C702A" w:rsidP="009C702A">
      <w:pPr>
        <w:suppressAutoHyphens w:val="0"/>
        <w:snapToGrid w:val="0"/>
        <w:ind w:firstLine="425"/>
        <w:jc w:val="both"/>
        <w:rPr>
          <w:sz w:val="20"/>
          <w:szCs w:val="20"/>
        </w:rPr>
      </w:pPr>
    </w:p>
    <w:p w:rsidR="00A46BE9" w:rsidRPr="00B258EE" w:rsidRDefault="00454A39" w:rsidP="009C702A">
      <w:pPr>
        <w:suppressAutoHyphens w:val="0"/>
        <w:snapToGrid w:val="0"/>
        <w:ind w:firstLine="425"/>
        <w:jc w:val="both"/>
        <w:rPr>
          <w:sz w:val="20"/>
          <w:szCs w:val="20"/>
          <w:lang w:eastAsia="zh-CN"/>
        </w:rPr>
      </w:pPr>
      <m:oMathPara>
        <m:oMath>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hAnsi="Cambria Math"/>
                  <w:sz w:val="20"/>
                  <w:szCs w:val="20"/>
                  <w:lang w:eastAsia="zh-CN"/>
                </w:rPr>
                <m:t>i</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sz w:val="20"/>
              <w:szCs w:val="20"/>
              <w:lang w:eastAsia="zh-CN"/>
            </w:rPr>
            <m:t>=</m:t>
          </m:r>
          <m:sSub>
            <m:sSubPr>
              <m:ctrlPr>
                <w:rPr>
                  <w:rFonts w:ascii="Cambria Math" w:hAnsi="Cambria Math"/>
                  <w:i/>
                  <w:sz w:val="20"/>
                  <w:szCs w:val="20"/>
                  <w:lang w:eastAsia="zh-CN"/>
                </w:rPr>
              </m:ctrlPr>
            </m:sSubPr>
            <m:e>
              <m:r>
                <w:rPr>
                  <w:rFonts w:hAnsi="Cambria Math"/>
                  <w:sz w:val="20"/>
                  <w:szCs w:val="20"/>
                  <w:lang w:eastAsia="zh-CN"/>
                </w:rPr>
                <m:t>∅</m:t>
              </m:r>
            </m:e>
            <m:sub>
              <m:r>
                <w:rPr>
                  <w:rFonts w:ascii="Cambria Math" w:hAnsi="Cambria Math"/>
                  <w:sz w:val="20"/>
                  <w:szCs w:val="20"/>
                  <w:lang w:eastAsia="zh-CN"/>
                </w:rPr>
                <m:t>i</m:t>
              </m:r>
              <m:r>
                <w:rPr>
                  <w:rFonts w:ascii="Cambria Math"/>
                  <w:sz w:val="20"/>
                  <w:szCs w:val="20"/>
                  <w:lang w:eastAsia="zh-CN"/>
                </w:rPr>
                <m:t xml:space="preserve"> </m:t>
              </m:r>
            </m:sub>
          </m:sSub>
          <m:r>
            <w:rPr>
              <w:rFonts w:asci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sz w:val="20"/>
                  <w:szCs w:val="20"/>
                  <w:lang w:eastAsia="zh-CN"/>
                </w:rPr>
                <m:t>0</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sz w:val="20"/>
              <w:szCs w:val="20"/>
              <w:lang w:eastAsia="zh-CN"/>
            </w:rPr>
            <m:t xml:space="preserve"> (3)</m:t>
          </m:r>
        </m:oMath>
      </m:oMathPara>
    </w:p>
    <w:p w:rsidR="00281877" w:rsidRPr="00B258EE" w:rsidRDefault="00281877" w:rsidP="009C702A">
      <w:pPr>
        <w:suppressAutoHyphens w:val="0"/>
        <w:snapToGrid w:val="0"/>
        <w:ind w:firstLine="425"/>
        <w:jc w:val="both"/>
        <w:rPr>
          <w:sz w:val="20"/>
          <w:szCs w:val="20"/>
        </w:rPr>
      </w:pPr>
    </w:p>
    <w:p w:rsidR="00281877" w:rsidRPr="00B258EE" w:rsidRDefault="00A46BE9"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where </w:t>
      </w:r>
      <m:oMath>
        <m:sSub>
          <m:sSubPr>
            <m:ctrlPr>
              <w:rPr>
                <w:rFonts w:ascii="Cambria Math" w:hAnsi="Cambria Math"/>
                <w:i/>
                <w:sz w:val="20"/>
                <w:szCs w:val="20"/>
                <w:lang w:eastAsia="zh-CN"/>
              </w:rPr>
            </m:ctrlPr>
          </m:sSubPr>
          <m:e>
            <m:r>
              <w:rPr>
                <w:rFonts w:hAnsi="Cambria Math"/>
                <w:sz w:val="20"/>
                <w:szCs w:val="20"/>
                <w:lang w:eastAsia="zh-CN"/>
              </w:rPr>
              <m:t>∅</m:t>
            </m:r>
          </m:e>
          <m:sub>
            <m:r>
              <w:rPr>
                <w:rFonts w:ascii="Cambria Math" w:hAnsi="Cambria Math"/>
                <w:sz w:val="20"/>
                <w:szCs w:val="20"/>
                <w:lang w:eastAsia="zh-CN"/>
              </w:rPr>
              <m:t>i</m:t>
            </m:r>
            <m:r>
              <w:rPr>
                <w:rFonts w:ascii="Cambria Math"/>
                <w:sz w:val="20"/>
                <w:szCs w:val="20"/>
                <w:lang w:eastAsia="zh-CN"/>
              </w:rPr>
              <m:t xml:space="preserve"> </m:t>
            </m:r>
          </m:sub>
        </m:sSub>
      </m:oMath>
      <w:r w:rsidRPr="00B258EE">
        <w:rPr>
          <w:sz w:val="20"/>
          <w:szCs w:val="20"/>
          <w:lang w:eastAsia="zh-CN"/>
        </w:rPr>
        <w:t xml:space="preserve"> is a constant which depends on the covariates of the individual</w:t>
      </w:r>
      <w:r w:rsidRPr="00B258EE">
        <w:rPr>
          <w:i/>
          <w:iCs/>
          <w:sz w:val="20"/>
          <w:szCs w:val="20"/>
          <w:lang w:eastAsia="zh-CN"/>
        </w:rPr>
        <w:t xml:space="preserve"> </w:t>
      </w:r>
      <w:proofErr w:type="spellStart"/>
      <w:r w:rsidRPr="00B258EE">
        <w:rPr>
          <w:i/>
          <w:iCs/>
          <w:sz w:val="20"/>
          <w:szCs w:val="20"/>
          <w:lang w:eastAsia="zh-CN"/>
        </w:rPr>
        <w:t>i</w:t>
      </w:r>
      <w:proofErr w:type="spellEnd"/>
      <w:r w:rsidRPr="00B258EE">
        <w:rPr>
          <w:sz w:val="20"/>
          <w:szCs w:val="20"/>
          <w:lang w:eastAsia="zh-CN"/>
        </w:rPr>
        <w:t xml:space="preserve"> and </w:t>
      </w:r>
      <m:oMath>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sz w:val="20"/>
                <w:szCs w:val="20"/>
                <w:lang w:eastAsia="zh-CN"/>
              </w:rPr>
              <m:t>0</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sz w:val="20"/>
            <w:szCs w:val="20"/>
            <w:lang w:eastAsia="zh-CN"/>
          </w:rPr>
          <m:t xml:space="preserve"> </m:t>
        </m:r>
      </m:oMath>
      <w:r w:rsidRPr="00B258EE">
        <w:rPr>
          <w:sz w:val="20"/>
          <w:szCs w:val="20"/>
          <w:lang w:eastAsia="zh-CN"/>
        </w:rPr>
        <w:t>is the</w:t>
      </w:r>
      <w:r w:rsidR="00742790" w:rsidRPr="00B258EE">
        <w:rPr>
          <w:sz w:val="20"/>
          <w:szCs w:val="20"/>
          <w:lang w:eastAsia="zh-CN"/>
        </w:rPr>
        <w:t xml:space="preserve"> </w:t>
      </w:r>
      <w:r w:rsidRPr="00B258EE">
        <w:rPr>
          <w:sz w:val="20"/>
          <w:szCs w:val="20"/>
          <w:lang w:eastAsia="zh-CN"/>
        </w:rPr>
        <w:t>baseline hazard function.</w:t>
      </w:r>
      <w:r w:rsidR="00742790" w:rsidRPr="00B258EE">
        <w:rPr>
          <w:sz w:val="20"/>
          <w:szCs w:val="20"/>
          <w:lang w:eastAsia="zh-CN"/>
        </w:rPr>
        <w:t xml:space="preserve"> The assumption is that the hazard </w:t>
      </w:r>
      <m:oMath>
        <m:r>
          <w:rPr>
            <w:rFonts w:ascii="Cambria Math" w:hAnsi="Cambria Math"/>
            <w:sz w:val="20"/>
            <w:szCs w:val="20"/>
            <w:lang w:eastAsia="zh-CN"/>
          </w:rPr>
          <m:t>α</m:t>
        </m:r>
        <m:d>
          <m:dPr>
            <m:ctrlPr>
              <w:rPr>
                <w:rFonts w:ascii="Cambria Math" w:hAnsi="Cambria Math"/>
                <w:i/>
                <w:sz w:val="20"/>
                <w:szCs w:val="20"/>
                <w:lang w:eastAsia="zh-CN"/>
              </w:rPr>
            </m:ctrlPr>
          </m:dPr>
          <m:e>
            <m:r>
              <w:rPr>
                <w:rFonts w:ascii="Cambria Math" w:hAnsi="Cambria Math"/>
                <w:sz w:val="20"/>
                <w:szCs w:val="20"/>
                <w:lang w:eastAsia="zh-CN"/>
              </w:rPr>
              <m:t>t</m:t>
            </m:r>
          </m:e>
          <m:e>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e>
        </m:d>
      </m:oMath>
      <w:r w:rsidR="00742790" w:rsidRPr="00B258EE">
        <w:rPr>
          <w:sz w:val="20"/>
          <w:szCs w:val="20"/>
          <w:lang w:eastAsia="zh-CN"/>
        </w:rPr>
        <w:t xml:space="preserve">for an individual </w:t>
      </w:r>
      <w:proofErr w:type="spellStart"/>
      <w:r w:rsidR="00742790" w:rsidRPr="00B258EE">
        <w:rPr>
          <w:i/>
          <w:iCs/>
          <w:sz w:val="20"/>
          <w:szCs w:val="20"/>
          <w:lang w:eastAsia="zh-CN"/>
        </w:rPr>
        <w:t>i</w:t>
      </w:r>
      <w:proofErr w:type="spellEnd"/>
      <w:r w:rsidR="00742790" w:rsidRPr="00B258EE">
        <w:rPr>
          <w:sz w:val="20"/>
          <w:szCs w:val="20"/>
          <w:lang w:eastAsia="zh-CN"/>
        </w:rPr>
        <w:t xml:space="preserve"> with covariates </w:t>
      </w:r>
      <w:r w:rsidR="00742790" w:rsidRPr="00B258EE">
        <w:rPr>
          <w:i/>
          <w:iCs/>
          <w:sz w:val="20"/>
          <w:szCs w:val="20"/>
          <w:lang w:eastAsia="zh-CN"/>
        </w:rPr>
        <w:t>X</w:t>
      </w:r>
      <w:r w:rsidR="00742790" w:rsidRPr="00B258EE">
        <w:rPr>
          <w:i/>
          <w:iCs/>
          <w:sz w:val="20"/>
          <w:szCs w:val="20"/>
          <w:vertAlign w:val="subscript"/>
          <w:lang w:eastAsia="zh-CN"/>
        </w:rPr>
        <w:t>i</w:t>
      </w:r>
      <w:r w:rsidR="00742790" w:rsidRPr="00B258EE">
        <w:rPr>
          <w:sz w:val="20"/>
          <w:szCs w:val="20"/>
          <w:lang w:eastAsia="zh-CN"/>
        </w:rPr>
        <w:t xml:space="preserve"> is</w:t>
      </w:r>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281877" w:rsidRPr="00B258EE" w:rsidRDefault="00C701BF" w:rsidP="009C702A">
      <w:pPr>
        <w:suppressAutoHyphens w:val="0"/>
        <w:snapToGrid w:val="0"/>
        <w:ind w:firstLine="425"/>
        <w:jc w:val="both"/>
        <w:rPr>
          <w:sz w:val="20"/>
          <w:szCs w:val="20"/>
          <w:lang w:eastAsia="zh-CN"/>
        </w:rPr>
      </w:pPr>
      <m:oMathPara>
        <m:oMath>
          <m:r>
            <w:rPr>
              <w:rFonts w:ascii="Cambria Math" w:hAnsi="Cambria Math"/>
              <w:sz w:val="20"/>
              <w:szCs w:val="20"/>
              <w:lang w:eastAsia="zh-CN"/>
            </w:rPr>
            <m:t>α</m:t>
          </m:r>
          <m:d>
            <m:dPr>
              <m:ctrlPr>
                <w:rPr>
                  <w:rFonts w:ascii="Cambria Math" w:hAnsi="Cambria Math"/>
                  <w:i/>
                  <w:sz w:val="20"/>
                  <w:szCs w:val="20"/>
                  <w:lang w:eastAsia="zh-CN"/>
                </w:rPr>
              </m:ctrlPr>
            </m:dPr>
            <m:e>
              <m:r>
                <w:rPr>
                  <w:rFonts w:ascii="Cambria Math" w:hAnsi="Cambria Math"/>
                  <w:sz w:val="20"/>
                  <w:szCs w:val="20"/>
                  <w:lang w:eastAsia="zh-CN"/>
                </w:rPr>
                <m:t>t</m:t>
              </m:r>
            </m:e>
            <m:e>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e>
          </m:d>
          <m:r>
            <w:rPr>
              <w:rFonts w:asci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α</m:t>
              </m:r>
            </m:e>
            <m:sub>
              <m:r>
                <w:rPr>
                  <w:rFonts w:ascii="Cambria Math"/>
                  <w:sz w:val="20"/>
                  <w:szCs w:val="20"/>
                  <w:lang w:eastAsia="zh-CN"/>
                </w:rPr>
                <m:t>0</m:t>
              </m:r>
            </m:sub>
          </m:sSub>
          <m:sSup>
            <m:sSupPr>
              <m:ctrlPr>
                <w:rPr>
                  <w:rFonts w:ascii="Cambria Math" w:hAnsi="Cambria Math"/>
                  <w:i/>
                  <w:sz w:val="20"/>
                  <w:szCs w:val="20"/>
                  <w:lang w:eastAsia="zh-CN"/>
                </w:rPr>
              </m:ctrlPr>
            </m:sSupPr>
            <m:e>
              <m:r>
                <w:rPr>
                  <w:rFonts w:ascii="Cambria Math" w:hAnsi="Cambria Math"/>
                  <w:sz w:val="20"/>
                  <w:szCs w:val="20"/>
                  <w:lang w:eastAsia="zh-CN"/>
                </w:rPr>
                <m:t>e</m:t>
              </m:r>
            </m:e>
            <m:sup>
              <m:r>
                <w:rPr>
                  <w:rFonts w:ascii="Cambria Math" w:hAnsi="Cambria Math"/>
                  <w:sz w:val="20"/>
                  <w:szCs w:val="20"/>
                  <w:lang w:eastAsia="zh-CN"/>
                </w:rPr>
                <m:t>β</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sup>
          </m:sSup>
        </m:oMath>
      </m:oMathPara>
    </w:p>
    <w:p w:rsidR="00C54592" w:rsidRPr="00B258EE" w:rsidRDefault="00C54592" w:rsidP="009C702A">
      <w:pPr>
        <w:suppressAutoHyphens w:val="0"/>
        <w:snapToGrid w:val="0"/>
        <w:ind w:firstLine="425"/>
        <w:jc w:val="both"/>
        <w:rPr>
          <w:sz w:val="20"/>
          <w:szCs w:val="20"/>
        </w:rPr>
      </w:pPr>
    </w:p>
    <w:p w:rsidR="00C54592" w:rsidRPr="00B258EE" w:rsidRDefault="00C54592"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for some constants </w:t>
      </w:r>
      <m:oMath>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sz w:val="20"/>
                <w:szCs w:val="20"/>
                <w:lang w:eastAsia="zh-CN"/>
              </w:rPr>
              <m:t>1,</m:t>
            </m:r>
          </m:sub>
        </m:sSub>
        <m:r>
          <w:rPr>
            <w:rFonts w:ascii="Cambria Math"/>
            <w:sz w:val="20"/>
            <w:szCs w:val="20"/>
            <w:lang w:eastAsia="zh-CN"/>
          </w:rPr>
          <m:t>……</m:t>
        </m:r>
        <m:r>
          <w:rPr>
            <w:rFonts w:asci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m</m:t>
            </m:r>
          </m:sub>
        </m:sSub>
      </m:oMath>
      <w:r w:rsidRPr="00B258EE">
        <w:rPr>
          <w:sz w:val="20"/>
          <w:szCs w:val="20"/>
          <w:lang w:eastAsia="zh-CN"/>
        </w:rPr>
        <w:t>. The prognosis index or risk score is given as</w:t>
      </w:r>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281877" w:rsidRPr="00B258EE" w:rsidRDefault="00C54592" w:rsidP="009C702A">
      <w:pPr>
        <w:suppressAutoHyphens w:val="0"/>
        <w:snapToGrid w:val="0"/>
        <w:ind w:firstLine="425"/>
        <w:jc w:val="both"/>
        <w:rPr>
          <w:sz w:val="20"/>
          <w:szCs w:val="20"/>
          <w:lang w:eastAsia="zh-CN"/>
        </w:rPr>
      </w:pPr>
      <m:oMathPara>
        <m:oMath>
          <m:r>
            <w:rPr>
              <w:rFonts w:ascii="Cambria Math" w:hAnsi="Cambria Math"/>
              <w:sz w:val="20"/>
              <w:szCs w:val="20"/>
              <w:lang w:eastAsia="zh-CN"/>
            </w:rPr>
            <m:t>β</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r>
            <w:rPr>
              <w:rFonts w:asci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sz w:val="20"/>
                  <w:szCs w:val="20"/>
                  <w:lang w:eastAsia="zh-CN"/>
                </w:rPr>
                <m:t>1</m:t>
              </m:r>
            </m:sub>
          </m:sSub>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r>
                <w:rPr>
                  <w:rFonts w:ascii="Cambria Math"/>
                  <w:sz w:val="20"/>
                  <w:szCs w:val="20"/>
                  <w:lang w:eastAsia="zh-CN"/>
                </w:rPr>
                <m:t>,1</m:t>
              </m:r>
            </m:sub>
          </m:sSub>
          <m:r>
            <w:rPr>
              <w:rFonts w:asci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sz w:val="20"/>
                  <w:szCs w:val="20"/>
                  <w:lang w:eastAsia="zh-CN"/>
                </w:rPr>
                <m:t>2</m:t>
              </m:r>
            </m:sub>
          </m:sSub>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r>
                <w:rPr>
                  <w:rFonts w:ascii="Cambria Math"/>
                  <w:sz w:val="20"/>
                  <w:szCs w:val="20"/>
                  <w:lang w:eastAsia="zh-CN"/>
                </w:rPr>
                <m:t>,2</m:t>
              </m:r>
            </m:sub>
          </m:sSub>
          <m:r>
            <w:rPr>
              <w:rFonts w:ascii="Cambria Math"/>
              <w:sz w:val="20"/>
              <w:szCs w:val="20"/>
              <w:lang w:eastAsia="zh-CN"/>
            </w:rPr>
            <m:t>+</m:t>
          </m:r>
          <m:r>
            <w:rPr>
              <w:rFonts w:ascii="Cambria Math"/>
              <w:sz w:val="20"/>
              <w:szCs w:val="20"/>
              <w:lang w:eastAsia="zh-CN"/>
            </w:rPr>
            <m:t>…</m:t>
          </m:r>
          <m:r>
            <w:rPr>
              <w:rFonts w:asci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m</m:t>
              </m:r>
            </m:sub>
          </m:sSub>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r>
                <w:rPr>
                  <w:rFonts w:ascii="Cambria Math"/>
                  <w:sz w:val="20"/>
                  <w:szCs w:val="20"/>
                  <w:lang w:eastAsia="zh-CN"/>
                </w:rPr>
                <m:t>,</m:t>
              </m:r>
              <m:r>
                <w:rPr>
                  <w:rFonts w:ascii="Cambria Math" w:hAnsi="Cambria Math"/>
                  <w:sz w:val="20"/>
                  <w:szCs w:val="20"/>
                  <w:lang w:eastAsia="zh-CN"/>
                </w:rPr>
                <m:t>m</m:t>
              </m:r>
            </m:sub>
          </m:sSub>
        </m:oMath>
      </m:oMathPara>
    </w:p>
    <w:p w:rsidR="00BE5D4B" w:rsidRPr="00B258EE" w:rsidRDefault="00BE5D4B" w:rsidP="009C702A">
      <w:pPr>
        <w:suppressAutoHyphens w:val="0"/>
        <w:snapToGrid w:val="0"/>
        <w:ind w:firstLine="425"/>
        <w:jc w:val="both"/>
        <w:rPr>
          <w:sz w:val="20"/>
          <w:szCs w:val="20"/>
          <w:lang w:eastAsia="zh-CN"/>
        </w:rPr>
      </w:pPr>
    </w:p>
    <w:p w:rsidR="00CD5A17" w:rsidRPr="00B258EE" w:rsidRDefault="00CD5A17" w:rsidP="009C702A">
      <w:pPr>
        <w:suppressAutoHyphens w:val="0"/>
        <w:autoSpaceDE w:val="0"/>
        <w:autoSpaceDN w:val="0"/>
        <w:adjustRightInd w:val="0"/>
        <w:snapToGrid w:val="0"/>
        <w:jc w:val="both"/>
        <w:rPr>
          <w:b/>
          <w:bCs/>
          <w:sz w:val="20"/>
          <w:szCs w:val="20"/>
          <w:lang w:eastAsia="zh-CN"/>
        </w:rPr>
      </w:pPr>
      <w:r w:rsidRPr="00B258EE">
        <w:rPr>
          <w:b/>
          <w:bCs/>
          <w:sz w:val="20"/>
          <w:szCs w:val="20"/>
          <w:lang w:eastAsia="zh-CN"/>
        </w:rPr>
        <w:t>3 Application</w:t>
      </w:r>
    </w:p>
    <w:p w:rsidR="00BE5D4B" w:rsidRPr="00B258EE" w:rsidRDefault="00CD5A17"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The data set originally included 8312 patients with 8172 females and 140 males (1.68%) patients with advanced breast cancer with ten covariates collected for 9-years (2004 to 2013) with the survival time, censoring indicator and cause of death. The covariates include age, marital status, gender, nationality, </w:t>
      </w:r>
      <w:proofErr w:type="spellStart"/>
      <w:r w:rsidRPr="00B258EE">
        <w:rPr>
          <w:sz w:val="20"/>
          <w:szCs w:val="20"/>
          <w:lang w:eastAsia="zh-CN"/>
        </w:rPr>
        <w:t>addresscode</w:t>
      </w:r>
      <w:proofErr w:type="spellEnd"/>
      <w:r w:rsidRPr="00B258EE">
        <w:rPr>
          <w:sz w:val="20"/>
          <w:szCs w:val="20"/>
          <w:lang w:eastAsia="zh-CN"/>
        </w:rPr>
        <w:t xml:space="preserve">, topography, </w:t>
      </w:r>
      <w:proofErr w:type="spellStart"/>
      <w:r w:rsidRPr="00B258EE">
        <w:rPr>
          <w:sz w:val="20"/>
          <w:szCs w:val="20"/>
          <w:lang w:eastAsia="zh-CN"/>
        </w:rPr>
        <w:t>behaviour</w:t>
      </w:r>
      <w:proofErr w:type="spellEnd"/>
      <w:r w:rsidRPr="00B258EE">
        <w:rPr>
          <w:sz w:val="20"/>
          <w:szCs w:val="20"/>
          <w:lang w:eastAsia="zh-CN"/>
        </w:rPr>
        <w:t xml:space="preserve">, grade, extent and laterality. All covariates were categorized except age which was continuous. There are 6 covariates which were completely observed for each patient: gender, age, laterality, nationality, topography and </w:t>
      </w:r>
      <w:proofErr w:type="spellStart"/>
      <w:r w:rsidRPr="00B258EE">
        <w:rPr>
          <w:sz w:val="20"/>
          <w:szCs w:val="20"/>
          <w:lang w:eastAsia="zh-CN"/>
        </w:rPr>
        <w:t>behaviour</w:t>
      </w:r>
      <w:proofErr w:type="spellEnd"/>
      <w:r w:rsidRPr="00B258EE">
        <w:rPr>
          <w:sz w:val="20"/>
          <w:szCs w:val="20"/>
          <w:lang w:eastAsia="zh-CN"/>
        </w:rPr>
        <w:t>. The complete cases where all values for the covariates were recorded included 5432 patients. The rest of the unknown values will be regarded as missing values. The other covariates have at least one missing case. For the purpose of this research, analysis will be based on the complete cases.</w:t>
      </w:r>
      <w:r w:rsidR="009C702A" w:rsidRPr="00B258EE">
        <w:rPr>
          <w:sz w:val="20"/>
          <w:szCs w:val="20"/>
          <w:lang w:eastAsia="zh-CN"/>
        </w:rPr>
        <w:t xml:space="preserve"> </w:t>
      </w:r>
      <w:r w:rsidRPr="00B258EE">
        <w:rPr>
          <w:sz w:val="20"/>
          <w:szCs w:val="20"/>
          <w:lang w:eastAsia="zh-CN"/>
        </w:rPr>
        <w:t>The mean age at diagnosis of the patients was 48.5 years with standard deviation of 12.57 and a range from 13 to 96. The number of males diagnosed of breast cancer in the complete data set was 68(1.25%) and females was 5364(98.75%)</w:t>
      </w:r>
      <w:r w:rsidR="009C702A" w:rsidRPr="00B258EE">
        <w:rPr>
          <w:sz w:val="20"/>
          <w:szCs w:val="20"/>
          <w:lang w:eastAsia="zh-CN"/>
        </w:rPr>
        <w:t>. T</w:t>
      </w:r>
      <w:r w:rsidRPr="00B258EE">
        <w:rPr>
          <w:sz w:val="20"/>
          <w:szCs w:val="20"/>
          <w:lang w:eastAsia="zh-CN"/>
        </w:rPr>
        <w:t>he ages of male in the data set have a range from 23 to 91 while female had a range from 13 to 96.</w:t>
      </w:r>
    </w:p>
    <w:p w:rsidR="009C702A" w:rsidRPr="00B258EE" w:rsidRDefault="009C702A"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Kaplan Meier estimate allows us to estimate the survival function without assuming any particular model and hence it is non-parametric. The survival times amongst the different outcomes of a variable were compared using Kaplan Meier curves. Figure 1 shows the Kaplan.</w:t>
      </w:r>
    </w:p>
    <w:p w:rsidR="009C702A" w:rsidRPr="00B258EE" w:rsidRDefault="009C702A" w:rsidP="009C702A">
      <w:pPr>
        <w:suppressAutoHyphens w:val="0"/>
        <w:autoSpaceDE w:val="0"/>
        <w:autoSpaceDN w:val="0"/>
        <w:adjustRightInd w:val="0"/>
        <w:snapToGrid w:val="0"/>
        <w:ind w:firstLine="425"/>
        <w:jc w:val="both"/>
        <w:rPr>
          <w:sz w:val="20"/>
          <w:szCs w:val="20"/>
        </w:rPr>
      </w:pPr>
      <w:r w:rsidRPr="00B258EE">
        <w:rPr>
          <w:sz w:val="20"/>
          <w:szCs w:val="20"/>
          <w:lang w:eastAsia="zh-CN"/>
        </w:rPr>
        <w:t xml:space="preserve">Meier plot of data which can be used to estimate the survival probability at any time. The median time which gives the largest time for the survival estimate is 0.5 or higher is 4.96 years or approximately 5 years. </w:t>
      </w:r>
      <w:r w:rsidRPr="00B258EE">
        <w:rPr>
          <w:sz w:val="20"/>
          <w:szCs w:val="20"/>
          <w:lang w:eastAsia="zh-CN"/>
        </w:rPr>
        <w:lastRenderedPageBreak/>
        <w:t>We can compare Kaplan Meier estimate of the survival distribution with that of the parametric fits.</w:t>
      </w:r>
    </w:p>
    <w:p w:rsidR="009C702A" w:rsidRPr="00B258EE" w:rsidRDefault="009C702A" w:rsidP="009C702A">
      <w:pPr>
        <w:suppressAutoHyphens w:val="0"/>
        <w:autoSpaceDE w:val="0"/>
        <w:autoSpaceDN w:val="0"/>
        <w:adjustRightInd w:val="0"/>
        <w:snapToGrid w:val="0"/>
        <w:ind w:firstLine="425"/>
        <w:jc w:val="both"/>
        <w:rPr>
          <w:sz w:val="20"/>
          <w:szCs w:val="20"/>
        </w:rPr>
      </w:pPr>
    </w:p>
    <w:p w:rsidR="00C54592" w:rsidRPr="00B258EE" w:rsidRDefault="006E2515" w:rsidP="009C702A">
      <w:pPr>
        <w:suppressAutoHyphens w:val="0"/>
        <w:snapToGrid w:val="0"/>
        <w:jc w:val="center"/>
        <w:rPr>
          <w:sz w:val="20"/>
          <w:szCs w:val="20"/>
        </w:rPr>
      </w:pPr>
      <w:r w:rsidRPr="00B258EE">
        <w:rPr>
          <w:noProof/>
          <w:sz w:val="20"/>
          <w:szCs w:val="20"/>
          <w:lang w:eastAsia="zh-CN"/>
        </w:rPr>
        <w:drawing>
          <wp:inline distT="0" distB="0" distL="0" distR="0">
            <wp:extent cx="2676442" cy="230535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732"/>
                    <a:stretch>
                      <a:fillRect/>
                    </a:stretch>
                  </pic:blipFill>
                  <pic:spPr bwMode="auto">
                    <a:xfrm>
                      <a:off x="0" y="0"/>
                      <a:ext cx="2676767" cy="2305639"/>
                    </a:xfrm>
                    <a:prstGeom prst="rect">
                      <a:avLst/>
                    </a:prstGeom>
                    <a:noFill/>
                    <a:ln>
                      <a:noFill/>
                    </a:ln>
                  </pic:spPr>
                </pic:pic>
              </a:graphicData>
            </a:graphic>
          </wp:inline>
        </w:drawing>
      </w:r>
    </w:p>
    <w:p w:rsidR="00CD5A17" w:rsidRPr="00B258EE" w:rsidRDefault="00CD5A17" w:rsidP="009C702A">
      <w:pPr>
        <w:suppressAutoHyphens w:val="0"/>
        <w:snapToGrid w:val="0"/>
        <w:ind w:firstLine="425"/>
        <w:jc w:val="both"/>
        <w:rPr>
          <w:sz w:val="20"/>
          <w:szCs w:val="20"/>
        </w:rPr>
      </w:pPr>
    </w:p>
    <w:p w:rsidR="00CD5A17" w:rsidRPr="00B258EE" w:rsidRDefault="006E2515" w:rsidP="009C702A">
      <w:pPr>
        <w:suppressAutoHyphens w:val="0"/>
        <w:autoSpaceDE w:val="0"/>
        <w:autoSpaceDN w:val="0"/>
        <w:adjustRightInd w:val="0"/>
        <w:snapToGrid w:val="0"/>
        <w:jc w:val="both"/>
        <w:rPr>
          <w:sz w:val="20"/>
          <w:szCs w:val="20"/>
          <w:lang w:eastAsia="zh-CN"/>
        </w:rPr>
      </w:pPr>
      <w:r w:rsidRPr="00B258EE">
        <w:rPr>
          <w:sz w:val="20"/>
          <w:szCs w:val="20"/>
          <w:lang w:eastAsia="zh-CN"/>
        </w:rPr>
        <w:t>Figure 1: Kaplan-Meier survival curve for BC data, the dotted lines indicate the lower/upper bounds of the associated 95 confidence interval</w:t>
      </w:r>
      <w:r w:rsidR="006F2ABE" w:rsidRPr="00B258EE">
        <w:rPr>
          <w:sz w:val="20"/>
          <w:szCs w:val="20"/>
          <w:lang w:eastAsia="zh-CN"/>
        </w:rPr>
        <w:t>.</w:t>
      </w:r>
    </w:p>
    <w:p w:rsidR="006F2ABE" w:rsidRPr="00B258EE" w:rsidRDefault="006F2ABE" w:rsidP="009C702A">
      <w:pPr>
        <w:suppressAutoHyphens w:val="0"/>
        <w:autoSpaceDE w:val="0"/>
        <w:autoSpaceDN w:val="0"/>
        <w:adjustRightInd w:val="0"/>
        <w:snapToGrid w:val="0"/>
        <w:ind w:firstLine="425"/>
        <w:jc w:val="both"/>
        <w:rPr>
          <w:sz w:val="20"/>
          <w:szCs w:val="20"/>
          <w:lang w:eastAsia="zh-CN"/>
        </w:rPr>
      </w:pPr>
    </w:p>
    <w:p w:rsidR="00E04D5B" w:rsidRPr="00B258EE" w:rsidRDefault="00E04D5B"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 xml:space="preserve">In our case, we use the exponential distribution where the survival function </w:t>
      </w:r>
      <w:r w:rsidR="00743C30" w:rsidRPr="00B258EE">
        <w:rPr>
          <w:i/>
          <w:iCs/>
          <w:sz w:val="20"/>
          <w:szCs w:val="20"/>
          <w:lang w:eastAsia="zh-CN"/>
        </w:rPr>
        <w:t>S (</w:t>
      </w:r>
      <w:r w:rsidRPr="00B258EE">
        <w:rPr>
          <w:i/>
          <w:iCs/>
          <w:sz w:val="20"/>
          <w:szCs w:val="20"/>
          <w:lang w:eastAsia="zh-CN"/>
        </w:rPr>
        <w:t>t) = exp (-</w:t>
      </w:r>
      <w:proofErr w:type="spellStart"/>
      <w:r w:rsidRPr="00B258EE">
        <w:rPr>
          <w:i/>
          <w:iCs/>
          <w:sz w:val="20"/>
          <w:szCs w:val="20"/>
          <w:lang w:eastAsia="zh-CN"/>
        </w:rPr>
        <w:t>λt</w:t>
      </w:r>
      <w:proofErr w:type="spellEnd"/>
      <w:r w:rsidRPr="00B258EE">
        <w:rPr>
          <w:i/>
          <w:iCs/>
          <w:sz w:val="20"/>
          <w:szCs w:val="20"/>
          <w:lang w:eastAsia="zh-CN"/>
        </w:rPr>
        <w:t>)</w:t>
      </w:r>
      <w:r w:rsidRPr="00B258EE">
        <w:rPr>
          <w:sz w:val="20"/>
          <w:szCs w:val="20"/>
          <w:lang w:eastAsia="zh-CN"/>
        </w:rPr>
        <w:t xml:space="preserve">. We get a standard error of 0.0368 and the intercept parameter, </w:t>
      </w:r>
      <w:r w:rsidRPr="00B258EE">
        <w:rPr>
          <w:i/>
          <w:iCs/>
          <w:sz w:val="20"/>
          <w:szCs w:val="20"/>
          <w:lang w:eastAsia="zh-CN"/>
        </w:rPr>
        <w:t>β</w:t>
      </w:r>
      <w:r w:rsidRPr="00B258EE">
        <w:rPr>
          <w:sz w:val="20"/>
          <w:szCs w:val="20"/>
          <w:lang w:eastAsia="zh-CN"/>
        </w:rPr>
        <w:t xml:space="preserve"> as 2.53. An approximate 95% confidence interval for </w:t>
      </w:r>
      <w:r w:rsidRPr="00B258EE">
        <w:rPr>
          <w:i/>
          <w:iCs/>
          <w:sz w:val="20"/>
          <w:szCs w:val="20"/>
          <w:lang w:eastAsia="zh-CN"/>
        </w:rPr>
        <w:t>λ</w:t>
      </w:r>
      <w:r w:rsidRPr="00B258EE">
        <w:rPr>
          <w:sz w:val="20"/>
          <w:szCs w:val="20"/>
          <w:lang w:eastAsia="zh-CN"/>
        </w:rPr>
        <w:t xml:space="preserve"> is </w:t>
      </w:r>
      <w:r w:rsidR="009C702A" w:rsidRPr="00B258EE">
        <w:rPr>
          <w:rFonts w:hint="eastAsia"/>
          <w:sz w:val="20"/>
          <w:szCs w:val="20"/>
          <w:lang w:eastAsia="zh-CN"/>
        </w:rPr>
        <w:tab/>
      </w:r>
      <w:r w:rsidR="009C702A" w:rsidRPr="00B258EE">
        <w:rPr>
          <w:sz w:val="20"/>
          <w:szCs w:val="20"/>
          <w:lang w:eastAsia="zh-CN"/>
        </w:rPr>
        <w:t xml:space="preserve"> </w:t>
      </w:r>
      <w:r w:rsidRPr="00B258EE">
        <w:rPr>
          <w:sz w:val="20"/>
          <w:szCs w:val="20"/>
          <w:lang w:eastAsia="zh-CN"/>
        </w:rPr>
        <w:t>(e</w:t>
      </w:r>
      <w:r w:rsidR="00DA0379" w:rsidRPr="00B258EE">
        <w:rPr>
          <w:sz w:val="20"/>
          <w:szCs w:val="20"/>
          <w:vertAlign w:val="superscript"/>
          <w:lang w:eastAsia="zh-CN"/>
        </w:rPr>
        <w:t>-</w:t>
      </w:r>
      <w:r w:rsidRPr="00B258EE">
        <w:rPr>
          <w:sz w:val="20"/>
          <w:szCs w:val="20"/>
          <w:vertAlign w:val="superscript"/>
          <w:lang w:eastAsia="zh-CN"/>
        </w:rPr>
        <w:t>2</w:t>
      </w:r>
      <w:r w:rsidR="00DA0379" w:rsidRPr="00B258EE">
        <w:rPr>
          <w:sz w:val="20"/>
          <w:szCs w:val="20"/>
          <w:vertAlign w:val="superscript"/>
          <w:lang w:eastAsia="zh-CN"/>
        </w:rPr>
        <w:t>.</w:t>
      </w:r>
      <w:r w:rsidRPr="00B258EE">
        <w:rPr>
          <w:sz w:val="20"/>
          <w:szCs w:val="20"/>
          <w:vertAlign w:val="superscript"/>
          <w:lang w:eastAsia="zh-CN"/>
        </w:rPr>
        <w:t>45</w:t>
      </w:r>
      <w:r w:rsidR="00DA0379" w:rsidRPr="00B258EE">
        <w:rPr>
          <w:sz w:val="20"/>
          <w:szCs w:val="20"/>
          <w:lang w:eastAsia="zh-CN"/>
        </w:rPr>
        <w:t>,</w:t>
      </w:r>
      <w:r w:rsidRPr="00B258EE">
        <w:rPr>
          <w:sz w:val="20"/>
          <w:szCs w:val="20"/>
          <w:lang w:eastAsia="zh-CN"/>
        </w:rPr>
        <w:t xml:space="preserve"> e</w:t>
      </w:r>
      <w:r w:rsidR="00DA0379" w:rsidRPr="00B258EE">
        <w:rPr>
          <w:sz w:val="20"/>
          <w:szCs w:val="20"/>
          <w:vertAlign w:val="superscript"/>
          <w:lang w:eastAsia="zh-CN"/>
        </w:rPr>
        <w:t>-</w:t>
      </w:r>
      <w:r w:rsidRPr="00B258EE">
        <w:rPr>
          <w:sz w:val="20"/>
          <w:szCs w:val="20"/>
          <w:vertAlign w:val="superscript"/>
          <w:lang w:eastAsia="zh-CN"/>
        </w:rPr>
        <w:t>2</w:t>
      </w:r>
      <w:r w:rsidR="00DA0379" w:rsidRPr="00B258EE">
        <w:rPr>
          <w:sz w:val="20"/>
          <w:szCs w:val="20"/>
          <w:vertAlign w:val="superscript"/>
          <w:lang w:eastAsia="zh-CN"/>
        </w:rPr>
        <w:t>.</w:t>
      </w:r>
      <w:r w:rsidRPr="00B258EE">
        <w:rPr>
          <w:sz w:val="20"/>
          <w:szCs w:val="20"/>
          <w:vertAlign w:val="superscript"/>
          <w:lang w:eastAsia="zh-CN"/>
        </w:rPr>
        <w:t>60</w:t>
      </w:r>
      <w:r w:rsidRPr="00B258EE">
        <w:rPr>
          <w:sz w:val="20"/>
          <w:szCs w:val="20"/>
          <w:lang w:eastAsia="zh-CN"/>
        </w:rPr>
        <w:t>) =</w:t>
      </w:r>
      <w:r w:rsidR="00DA0379" w:rsidRPr="00B258EE">
        <w:rPr>
          <w:sz w:val="20"/>
          <w:szCs w:val="20"/>
          <w:lang w:eastAsia="zh-CN"/>
        </w:rPr>
        <w:t xml:space="preserve"> </w:t>
      </w:r>
      <w:r w:rsidRPr="00B258EE">
        <w:rPr>
          <w:sz w:val="20"/>
          <w:szCs w:val="20"/>
          <w:lang w:eastAsia="zh-CN"/>
        </w:rPr>
        <w:t>(0</w:t>
      </w:r>
      <w:r w:rsidR="00DA0379" w:rsidRPr="00B258EE">
        <w:rPr>
          <w:sz w:val="20"/>
          <w:szCs w:val="20"/>
          <w:lang w:eastAsia="zh-CN"/>
        </w:rPr>
        <w:t>.</w:t>
      </w:r>
      <w:r w:rsidRPr="00B258EE">
        <w:rPr>
          <w:sz w:val="20"/>
          <w:szCs w:val="20"/>
          <w:lang w:eastAsia="zh-CN"/>
        </w:rPr>
        <w:t>074</w:t>
      </w:r>
      <w:r w:rsidR="00DA0379" w:rsidRPr="00B258EE">
        <w:rPr>
          <w:sz w:val="20"/>
          <w:szCs w:val="20"/>
          <w:lang w:eastAsia="zh-CN"/>
        </w:rPr>
        <w:t>,</w:t>
      </w:r>
      <w:r w:rsidRPr="00B258EE">
        <w:rPr>
          <w:sz w:val="20"/>
          <w:szCs w:val="20"/>
          <w:lang w:eastAsia="zh-CN"/>
        </w:rPr>
        <w:t xml:space="preserve"> 0</w:t>
      </w:r>
      <w:r w:rsidR="00DA0379" w:rsidRPr="00B258EE">
        <w:rPr>
          <w:sz w:val="20"/>
          <w:szCs w:val="20"/>
          <w:lang w:eastAsia="zh-CN"/>
        </w:rPr>
        <w:t>.</w:t>
      </w:r>
      <w:r w:rsidRPr="00B258EE">
        <w:rPr>
          <w:sz w:val="20"/>
          <w:szCs w:val="20"/>
          <w:lang w:eastAsia="zh-CN"/>
        </w:rPr>
        <w:t>086). We can get estimates for 5 year survival probability, with limits as (0</w:t>
      </w:r>
      <w:r w:rsidR="00DA0379" w:rsidRPr="00B258EE">
        <w:rPr>
          <w:sz w:val="20"/>
          <w:szCs w:val="20"/>
          <w:lang w:eastAsia="zh-CN"/>
        </w:rPr>
        <w:t>.</w:t>
      </w:r>
      <w:r w:rsidRPr="00B258EE">
        <w:rPr>
          <w:sz w:val="20"/>
          <w:szCs w:val="20"/>
          <w:lang w:eastAsia="zh-CN"/>
        </w:rPr>
        <w:t>65</w:t>
      </w:r>
      <w:r w:rsidR="00DA0379" w:rsidRPr="00B258EE">
        <w:rPr>
          <w:sz w:val="20"/>
          <w:szCs w:val="20"/>
          <w:lang w:eastAsia="zh-CN"/>
        </w:rPr>
        <w:t>,</w:t>
      </w:r>
      <w:r w:rsidRPr="00B258EE">
        <w:rPr>
          <w:sz w:val="20"/>
          <w:szCs w:val="20"/>
          <w:lang w:eastAsia="zh-CN"/>
        </w:rPr>
        <w:t xml:space="preserve"> 0</w:t>
      </w:r>
      <w:r w:rsidR="00DA0379" w:rsidRPr="00B258EE">
        <w:rPr>
          <w:sz w:val="20"/>
          <w:szCs w:val="20"/>
          <w:lang w:eastAsia="zh-CN"/>
        </w:rPr>
        <w:t>.</w:t>
      </w:r>
      <w:r w:rsidRPr="00B258EE">
        <w:rPr>
          <w:sz w:val="20"/>
          <w:szCs w:val="20"/>
          <w:lang w:eastAsia="zh-CN"/>
        </w:rPr>
        <w:t>69).</w:t>
      </w:r>
    </w:p>
    <w:p w:rsidR="00CD5A17" w:rsidRPr="00B258EE" w:rsidRDefault="00E04D5B" w:rsidP="009C702A">
      <w:pPr>
        <w:suppressAutoHyphens w:val="0"/>
        <w:autoSpaceDE w:val="0"/>
        <w:autoSpaceDN w:val="0"/>
        <w:adjustRightInd w:val="0"/>
        <w:snapToGrid w:val="0"/>
        <w:ind w:firstLine="425"/>
        <w:jc w:val="both"/>
        <w:rPr>
          <w:sz w:val="20"/>
          <w:szCs w:val="20"/>
        </w:rPr>
      </w:pPr>
      <w:r w:rsidRPr="00B258EE">
        <w:rPr>
          <w:sz w:val="20"/>
          <w:szCs w:val="20"/>
          <w:lang w:eastAsia="zh-CN"/>
        </w:rPr>
        <w:t xml:space="preserve">We checked for </w:t>
      </w:r>
      <w:r w:rsidR="00DA0379" w:rsidRPr="00B258EE">
        <w:rPr>
          <w:sz w:val="20"/>
          <w:szCs w:val="20"/>
          <w:lang w:eastAsia="zh-CN"/>
        </w:rPr>
        <w:t>significant</w:t>
      </w:r>
      <w:r w:rsidRPr="00B258EE">
        <w:rPr>
          <w:sz w:val="20"/>
          <w:szCs w:val="20"/>
          <w:lang w:eastAsia="zh-CN"/>
        </w:rPr>
        <w:t xml:space="preserve"> </w:t>
      </w:r>
      <w:r w:rsidR="00DA0379" w:rsidRPr="00B258EE">
        <w:rPr>
          <w:sz w:val="20"/>
          <w:szCs w:val="20"/>
          <w:lang w:eastAsia="zh-CN"/>
        </w:rPr>
        <w:t>differences</w:t>
      </w:r>
      <w:r w:rsidRPr="00B258EE">
        <w:rPr>
          <w:sz w:val="20"/>
          <w:szCs w:val="20"/>
          <w:lang w:eastAsia="zh-CN"/>
        </w:rPr>
        <w:t xml:space="preserve"> between groups using log-rank test. We </w:t>
      </w:r>
      <w:r w:rsidR="00DA0379" w:rsidRPr="00B258EE">
        <w:rPr>
          <w:sz w:val="20"/>
          <w:szCs w:val="20"/>
          <w:lang w:eastAsia="zh-CN"/>
        </w:rPr>
        <w:t>identified</w:t>
      </w:r>
      <w:r w:rsidRPr="00B258EE">
        <w:rPr>
          <w:sz w:val="20"/>
          <w:szCs w:val="20"/>
          <w:lang w:eastAsia="zh-CN"/>
        </w:rPr>
        <w:t xml:space="preserve"> the</w:t>
      </w:r>
      <w:r w:rsidR="00DA0379" w:rsidRPr="00B258EE">
        <w:rPr>
          <w:sz w:val="20"/>
          <w:szCs w:val="20"/>
          <w:lang w:eastAsia="zh-CN"/>
        </w:rPr>
        <w:t xml:space="preserve"> </w:t>
      </w:r>
      <w:r w:rsidRPr="00B258EE">
        <w:rPr>
          <w:sz w:val="20"/>
          <w:szCs w:val="20"/>
          <w:lang w:eastAsia="zh-CN"/>
        </w:rPr>
        <w:t xml:space="preserve">factors that are </w:t>
      </w:r>
      <w:r w:rsidR="00DA0379" w:rsidRPr="00B258EE">
        <w:rPr>
          <w:sz w:val="20"/>
          <w:szCs w:val="20"/>
          <w:lang w:eastAsia="zh-CN"/>
        </w:rPr>
        <w:t>significant</w:t>
      </w:r>
      <w:r w:rsidRPr="00B258EE">
        <w:rPr>
          <w:sz w:val="20"/>
          <w:szCs w:val="20"/>
          <w:lang w:eastAsia="zh-CN"/>
        </w:rPr>
        <w:t xml:space="preserve"> in predicting a patients survival using the proportional hazard</w:t>
      </w:r>
      <w:r w:rsidR="00DA0379" w:rsidRPr="00B258EE">
        <w:rPr>
          <w:sz w:val="20"/>
          <w:szCs w:val="20"/>
          <w:lang w:eastAsia="zh-CN"/>
        </w:rPr>
        <w:t xml:space="preserve"> </w:t>
      </w:r>
      <w:r w:rsidRPr="00B258EE">
        <w:rPr>
          <w:sz w:val="20"/>
          <w:szCs w:val="20"/>
          <w:lang w:eastAsia="zh-CN"/>
        </w:rPr>
        <w:t>models. Figure 2 shows the Kaplan Meier estimates of the breast cancer survival by gender.</w:t>
      </w:r>
    </w:p>
    <w:p w:rsidR="00C54592" w:rsidRPr="00B258EE" w:rsidRDefault="00C54592" w:rsidP="009C702A">
      <w:pPr>
        <w:suppressAutoHyphens w:val="0"/>
        <w:snapToGrid w:val="0"/>
        <w:ind w:firstLine="425"/>
        <w:jc w:val="both"/>
        <w:rPr>
          <w:sz w:val="20"/>
          <w:szCs w:val="20"/>
        </w:rPr>
      </w:pPr>
    </w:p>
    <w:p w:rsidR="006F2ABE" w:rsidRPr="00B258EE" w:rsidRDefault="006C3CBB" w:rsidP="009C702A">
      <w:pPr>
        <w:suppressAutoHyphens w:val="0"/>
        <w:snapToGrid w:val="0"/>
        <w:jc w:val="center"/>
        <w:rPr>
          <w:sz w:val="20"/>
          <w:szCs w:val="20"/>
        </w:rPr>
      </w:pPr>
      <w:r w:rsidRPr="00B258EE">
        <w:rPr>
          <w:noProof/>
          <w:sz w:val="20"/>
          <w:szCs w:val="20"/>
          <w:lang w:eastAsia="zh-CN"/>
        </w:rPr>
        <w:drawing>
          <wp:inline distT="0" distB="0" distL="0" distR="0">
            <wp:extent cx="2631881" cy="21918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1990" cy="2191941"/>
                    </a:xfrm>
                    <a:prstGeom prst="rect">
                      <a:avLst/>
                    </a:prstGeom>
                    <a:noFill/>
                    <a:ln>
                      <a:noFill/>
                    </a:ln>
                  </pic:spPr>
                </pic:pic>
              </a:graphicData>
            </a:graphic>
          </wp:inline>
        </w:drawing>
      </w:r>
    </w:p>
    <w:p w:rsidR="006F2ABE" w:rsidRPr="00B258EE" w:rsidRDefault="006C3CBB" w:rsidP="009C702A">
      <w:pPr>
        <w:suppressAutoHyphens w:val="0"/>
        <w:snapToGrid w:val="0"/>
        <w:ind w:firstLine="425"/>
        <w:jc w:val="both"/>
        <w:rPr>
          <w:rFonts w:hint="eastAsia"/>
          <w:sz w:val="20"/>
          <w:szCs w:val="20"/>
          <w:lang w:eastAsia="zh-CN"/>
        </w:rPr>
      </w:pPr>
      <w:r w:rsidRPr="00B258EE">
        <w:rPr>
          <w:sz w:val="20"/>
          <w:szCs w:val="20"/>
          <w:lang w:eastAsia="zh-CN"/>
        </w:rPr>
        <w:t>Figure 2: Kaplan-Meier estimates by gender</w:t>
      </w:r>
    </w:p>
    <w:p w:rsidR="00B258EE" w:rsidRPr="00B258EE" w:rsidRDefault="00B258EE" w:rsidP="009C702A">
      <w:pPr>
        <w:suppressAutoHyphens w:val="0"/>
        <w:snapToGrid w:val="0"/>
        <w:ind w:firstLine="425"/>
        <w:jc w:val="both"/>
        <w:rPr>
          <w:sz w:val="20"/>
          <w:szCs w:val="20"/>
        </w:rPr>
      </w:pPr>
    </w:p>
    <w:p w:rsidR="006F2ABE" w:rsidRPr="00B258EE" w:rsidRDefault="00206841" w:rsidP="009C702A">
      <w:pPr>
        <w:suppressAutoHyphens w:val="0"/>
        <w:snapToGrid w:val="0"/>
        <w:jc w:val="center"/>
        <w:rPr>
          <w:sz w:val="20"/>
          <w:szCs w:val="20"/>
        </w:rPr>
      </w:pPr>
      <w:r w:rsidRPr="00B258EE">
        <w:rPr>
          <w:noProof/>
          <w:sz w:val="20"/>
          <w:szCs w:val="20"/>
          <w:lang w:eastAsia="zh-CN"/>
        </w:rPr>
        <w:lastRenderedPageBreak/>
        <w:drawing>
          <wp:inline distT="0" distB="0" distL="0" distR="0">
            <wp:extent cx="2716530" cy="2488758"/>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45" t="5438" r="4015"/>
                    <a:stretch>
                      <a:fillRect/>
                    </a:stretch>
                  </pic:blipFill>
                  <pic:spPr bwMode="auto">
                    <a:xfrm>
                      <a:off x="0" y="0"/>
                      <a:ext cx="2716530" cy="2488758"/>
                    </a:xfrm>
                    <a:prstGeom prst="rect">
                      <a:avLst/>
                    </a:prstGeom>
                    <a:noFill/>
                    <a:ln>
                      <a:noFill/>
                    </a:ln>
                  </pic:spPr>
                </pic:pic>
              </a:graphicData>
            </a:graphic>
          </wp:inline>
        </w:drawing>
      </w:r>
    </w:p>
    <w:p w:rsidR="006F2ABE" w:rsidRPr="00B258EE" w:rsidRDefault="00206841" w:rsidP="009C702A">
      <w:pPr>
        <w:suppressAutoHyphens w:val="0"/>
        <w:autoSpaceDE w:val="0"/>
        <w:autoSpaceDN w:val="0"/>
        <w:adjustRightInd w:val="0"/>
        <w:snapToGrid w:val="0"/>
        <w:jc w:val="both"/>
        <w:rPr>
          <w:sz w:val="20"/>
          <w:szCs w:val="20"/>
        </w:rPr>
      </w:pPr>
      <w:r w:rsidRPr="00B258EE">
        <w:rPr>
          <w:sz w:val="20"/>
          <w:szCs w:val="20"/>
          <w:lang w:eastAsia="zh-CN"/>
        </w:rPr>
        <w:t xml:space="preserve">Figure 3: Kaplan-Meier estimates by age, </w:t>
      </w:r>
      <w:proofErr w:type="spellStart"/>
      <w:r w:rsidRPr="00B258EE">
        <w:rPr>
          <w:sz w:val="20"/>
          <w:szCs w:val="20"/>
          <w:lang w:eastAsia="zh-CN"/>
        </w:rPr>
        <w:t>categorised</w:t>
      </w:r>
      <w:proofErr w:type="spellEnd"/>
      <w:r w:rsidRPr="00B258EE">
        <w:rPr>
          <w:sz w:val="20"/>
          <w:szCs w:val="20"/>
          <w:lang w:eastAsia="zh-CN"/>
        </w:rPr>
        <w:t xml:space="preserve"> into high (≥50), medium (40 - 49), low (&lt; 40)</w:t>
      </w:r>
    </w:p>
    <w:p w:rsidR="006F2ABE" w:rsidRPr="00B258EE" w:rsidRDefault="006F2ABE" w:rsidP="009C702A">
      <w:pPr>
        <w:suppressAutoHyphens w:val="0"/>
        <w:snapToGrid w:val="0"/>
        <w:ind w:firstLine="425"/>
        <w:jc w:val="both"/>
        <w:rPr>
          <w:sz w:val="20"/>
          <w:szCs w:val="20"/>
          <w:lang w:eastAsia="zh-CN"/>
        </w:rPr>
      </w:pPr>
    </w:p>
    <w:p w:rsidR="009C702A" w:rsidRPr="00B258EE" w:rsidRDefault="009C702A" w:rsidP="009C702A">
      <w:pPr>
        <w:suppressAutoHyphens w:val="0"/>
        <w:snapToGrid w:val="0"/>
        <w:ind w:firstLine="425"/>
        <w:jc w:val="both"/>
        <w:rPr>
          <w:sz w:val="20"/>
          <w:szCs w:val="20"/>
          <w:lang w:eastAsia="zh-CN"/>
        </w:rPr>
      </w:pPr>
    </w:p>
    <w:p w:rsidR="009C702A" w:rsidRPr="00B258EE" w:rsidRDefault="009C702A" w:rsidP="009C702A">
      <w:pPr>
        <w:suppressAutoHyphens w:val="0"/>
        <w:snapToGrid w:val="0"/>
        <w:ind w:firstLine="425"/>
        <w:jc w:val="both"/>
        <w:rPr>
          <w:sz w:val="20"/>
          <w:szCs w:val="20"/>
          <w:lang w:eastAsia="zh-CN"/>
        </w:rPr>
      </w:pPr>
    </w:p>
    <w:p w:rsidR="006F2ABE" w:rsidRPr="00B258EE" w:rsidRDefault="00011AE6" w:rsidP="009C702A">
      <w:pPr>
        <w:suppressAutoHyphens w:val="0"/>
        <w:autoSpaceDE w:val="0"/>
        <w:autoSpaceDN w:val="0"/>
        <w:adjustRightInd w:val="0"/>
        <w:snapToGrid w:val="0"/>
        <w:ind w:firstLine="425"/>
        <w:jc w:val="both"/>
        <w:rPr>
          <w:sz w:val="20"/>
          <w:szCs w:val="20"/>
        </w:rPr>
      </w:pPr>
      <w:r w:rsidRPr="00B258EE">
        <w:rPr>
          <w:sz w:val="20"/>
          <w:szCs w:val="20"/>
          <w:lang w:eastAsia="zh-CN"/>
        </w:rPr>
        <w:t xml:space="preserve">We might want to investigate how time to event is influenced by covariates. In our models, we assume that covariates affect survival through a linear function </w:t>
      </w:r>
      <m:oMath>
        <m:r>
          <w:rPr>
            <w:rFonts w:ascii="Cambria Math" w:hAnsi="Cambria Math"/>
            <w:sz w:val="20"/>
            <w:szCs w:val="20"/>
            <w:lang w:eastAsia="zh-CN"/>
          </w:rPr>
          <m:t>β</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oMath>
      <w:r w:rsidRPr="00B258EE">
        <w:rPr>
          <w:sz w:val="20"/>
          <w:szCs w:val="20"/>
          <w:lang w:eastAsia="zh-CN"/>
        </w:rPr>
        <w:t xml:space="preserve"> (</w:t>
      </w:r>
      <m:oMath>
        <m:r>
          <w:rPr>
            <w:rFonts w:ascii="Cambria Math" w:hAnsi="Cambria Math"/>
            <w:sz w:val="20"/>
            <w:szCs w:val="20"/>
            <w:lang w:eastAsia="zh-CN"/>
          </w:rPr>
          <m:t>β</m:t>
        </m:r>
      </m:oMath>
      <w:r w:rsidRPr="00B258EE">
        <w:rPr>
          <w:sz w:val="20"/>
          <w:szCs w:val="20"/>
          <w:lang w:eastAsia="zh-CN"/>
        </w:rPr>
        <w:t xml:space="preserve"> is a vector of covariate effects and the prognostic index; </w:t>
      </w:r>
      <w:r w:rsidRPr="00B258EE">
        <w:rPr>
          <w:i/>
          <w:iCs/>
          <w:sz w:val="20"/>
          <w:szCs w:val="20"/>
          <w:lang w:eastAsia="zh-CN"/>
        </w:rPr>
        <w:t>X</w:t>
      </w:r>
      <w:r w:rsidRPr="00B258EE">
        <w:rPr>
          <w:i/>
          <w:iCs/>
          <w:sz w:val="20"/>
          <w:szCs w:val="20"/>
          <w:vertAlign w:val="subscript"/>
          <w:lang w:eastAsia="zh-CN"/>
        </w:rPr>
        <w:t>i</w:t>
      </w:r>
      <w:r w:rsidRPr="00B258EE">
        <w:rPr>
          <w:sz w:val="20"/>
          <w:szCs w:val="20"/>
          <w:lang w:eastAsia="zh-CN"/>
        </w:rPr>
        <w:t xml:space="preserve"> is the covariate vector of individual</w:t>
      </w:r>
      <w:r w:rsidRPr="00B258EE">
        <w:rPr>
          <w:i/>
          <w:iCs/>
          <w:sz w:val="20"/>
          <w:szCs w:val="20"/>
          <w:lang w:eastAsia="zh-CN"/>
        </w:rPr>
        <w:t xml:space="preserve"> </w:t>
      </w:r>
      <w:proofErr w:type="spellStart"/>
      <w:r w:rsidRPr="00B258EE">
        <w:rPr>
          <w:i/>
          <w:iCs/>
          <w:sz w:val="20"/>
          <w:szCs w:val="20"/>
          <w:lang w:eastAsia="zh-CN"/>
        </w:rPr>
        <w:t>i</w:t>
      </w:r>
      <w:proofErr w:type="spellEnd"/>
      <w:r w:rsidRPr="00B258EE">
        <w:rPr>
          <w:sz w:val="20"/>
          <w:szCs w:val="20"/>
          <w:lang w:eastAsia="zh-CN"/>
        </w:rPr>
        <w:t>). We</w:t>
      </w:r>
      <w:r w:rsidR="009C702A" w:rsidRPr="00B258EE">
        <w:rPr>
          <w:rFonts w:hint="eastAsia"/>
          <w:sz w:val="20"/>
          <w:szCs w:val="20"/>
          <w:lang w:eastAsia="zh-CN"/>
        </w:rPr>
        <w:t xml:space="preserve"> </w:t>
      </w:r>
      <w:r w:rsidRPr="00B258EE">
        <w:rPr>
          <w:sz w:val="20"/>
          <w:szCs w:val="20"/>
          <w:lang w:eastAsia="zh-CN"/>
        </w:rPr>
        <w:t>assume a lognormal model and investigate the effects of the covariates on survival times in</w:t>
      </w:r>
      <w:r w:rsidR="00B03AD2" w:rsidRPr="00B258EE">
        <w:rPr>
          <w:sz w:val="20"/>
          <w:szCs w:val="20"/>
          <w:lang w:eastAsia="zh-CN"/>
        </w:rPr>
        <w:t xml:space="preserve"> </w:t>
      </w:r>
      <w:r w:rsidRPr="00B258EE">
        <w:rPr>
          <w:sz w:val="20"/>
          <w:szCs w:val="20"/>
          <w:lang w:eastAsia="zh-CN"/>
        </w:rPr>
        <w:t>the BC data.</w:t>
      </w:r>
      <w:r w:rsidR="009C702A" w:rsidRPr="00B258EE">
        <w:rPr>
          <w:sz w:val="20"/>
          <w:szCs w:val="20"/>
          <w:lang w:eastAsia="zh-CN"/>
        </w:rPr>
        <w:t xml:space="preserve"> </w:t>
      </w:r>
      <w:r w:rsidRPr="00B258EE">
        <w:rPr>
          <w:sz w:val="20"/>
          <w:szCs w:val="20"/>
          <w:lang w:eastAsia="zh-CN"/>
        </w:rPr>
        <w:t>The covariate effects are given in Table 1. The fitted survival model is given as</w:t>
      </w:r>
    </w:p>
    <w:p w:rsidR="006F2ABE" w:rsidRPr="00B258EE" w:rsidRDefault="00011AE6" w:rsidP="009C702A">
      <w:pPr>
        <w:suppressAutoHyphens w:val="0"/>
        <w:snapToGrid w:val="0"/>
        <w:ind w:firstLine="425"/>
        <w:jc w:val="both"/>
        <w:rPr>
          <w:sz w:val="20"/>
          <w:szCs w:val="20"/>
        </w:rPr>
      </w:pPr>
      <m:oMathPara>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t</m:t>
              </m:r>
            </m:e>
          </m:d>
          <m:r>
            <w:rPr>
              <w:rFonts w:ascii="Cambria Math"/>
              <w:sz w:val="20"/>
              <w:szCs w:val="20"/>
            </w:rPr>
            <m:t>=1</m:t>
          </m:r>
          <m:r>
            <w:rPr>
              <w:rFonts w:ascii="Cambria Math"/>
              <w:sz w:val="20"/>
              <w:szCs w:val="20"/>
            </w:rPr>
            <m:t>-</m:t>
          </m:r>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logt</m:t>
                  </m:r>
                  <m:r>
                    <w:rPr>
                      <w:sz w:val="20"/>
                      <w:szCs w:val="20"/>
                    </w:rPr>
                    <m:t>-</m:t>
                  </m:r>
                  <m:r>
                    <w:rPr>
                      <w:rFonts w:ascii="Cambria Math" w:hAnsi="Cambria Math"/>
                      <w:sz w:val="20"/>
                      <w:szCs w:val="20"/>
                    </w:rPr>
                    <m:t>β</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num>
                <m:den>
                  <m:r>
                    <w:rPr>
                      <w:rFonts w:ascii="Cambria Math" w:hAnsi="Cambria Math"/>
                      <w:sz w:val="20"/>
                      <w:szCs w:val="20"/>
                    </w:rPr>
                    <m:t>v</m:t>
                  </m:r>
                </m:den>
              </m:f>
            </m:e>
          </m:d>
        </m:oMath>
      </m:oMathPara>
    </w:p>
    <w:p w:rsidR="006F2ABE" w:rsidRPr="00B258EE" w:rsidRDefault="00F57F83" w:rsidP="009C702A">
      <w:pPr>
        <w:suppressAutoHyphens w:val="0"/>
        <w:autoSpaceDE w:val="0"/>
        <w:autoSpaceDN w:val="0"/>
        <w:adjustRightInd w:val="0"/>
        <w:snapToGrid w:val="0"/>
        <w:ind w:firstLine="425"/>
        <w:jc w:val="both"/>
        <w:rPr>
          <w:rFonts w:hint="eastAsia"/>
          <w:sz w:val="20"/>
          <w:szCs w:val="20"/>
          <w:lang w:eastAsia="zh-CN"/>
        </w:rPr>
      </w:pPr>
      <w:r w:rsidRPr="00B258EE">
        <w:rPr>
          <w:sz w:val="20"/>
          <w:szCs w:val="20"/>
          <w:lang w:eastAsia="zh-CN"/>
        </w:rPr>
        <w:t xml:space="preserve">where </w:t>
      </w:r>
      <w:r w:rsidRPr="00B258EE">
        <w:rPr>
          <w:i/>
          <w:iCs/>
          <w:sz w:val="20"/>
          <w:szCs w:val="20"/>
          <w:lang w:eastAsia="zh-CN"/>
        </w:rPr>
        <w:t>v</w:t>
      </w:r>
      <w:r w:rsidRPr="00B258EE">
        <w:rPr>
          <w:sz w:val="20"/>
          <w:szCs w:val="20"/>
          <w:lang w:eastAsia="zh-CN"/>
        </w:rPr>
        <w:t xml:space="preserve"> is the scale and it is 1.43. We get the survival probabilities of the individual depending on the covariates vector.</w:t>
      </w:r>
      <w:r w:rsidR="00DA2933" w:rsidRPr="00B258EE">
        <w:rPr>
          <w:sz w:val="20"/>
          <w:szCs w:val="20"/>
          <w:lang w:eastAsia="zh-CN"/>
        </w:rPr>
        <w:t xml:space="preserve"> We use the χ </w:t>
      </w:r>
      <w:r w:rsidR="00DA2933" w:rsidRPr="00B258EE">
        <w:rPr>
          <w:sz w:val="20"/>
          <w:szCs w:val="20"/>
          <w:vertAlign w:val="superscript"/>
          <w:lang w:eastAsia="zh-CN"/>
        </w:rPr>
        <w:t>2</w:t>
      </w:r>
      <w:r w:rsidR="00DA2933" w:rsidRPr="00B258EE">
        <w:rPr>
          <w:sz w:val="20"/>
          <w:szCs w:val="20"/>
          <w:lang w:eastAsia="zh-CN"/>
        </w:rPr>
        <w:t xml:space="preserve"> test with null hypothesis that none of the covariates has any effect on</w:t>
      </w:r>
      <w:r w:rsidR="009C702A" w:rsidRPr="00B258EE">
        <w:rPr>
          <w:rFonts w:hint="eastAsia"/>
          <w:sz w:val="20"/>
          <w:szCs w:val="20"/>
          <w:lang w:eastAsia="zh-CN"/>
        </w:rPr>
        <w:t xml:space="preserve"> </w:t>
      </w:r>
      <w:r w:rsidR="00DA2933" w:rsidRPr="00B258EE">
        <w:rPr>
          <w:sz w:val="20"/>
          <w:szCs w:val="20"/>
          <w:lang w:eastAsia="zh-CN"/>
        </w:rPr>
        <w:t xml:space="preserve">survival. Since the </w:t>
      </w:r>
      <w:r w:rsidR="00DA2933" w:rsidRPr="00B258EE">
        <w:rPr>
          <w:i/>
          <w:iCs/>
          <w:sz w:val="20"/>
          <w:szCs w:val="20"/>
          <w:lang w:eastAsia="zh-CN"/>
        </w:rPr>
        <w:t>p-value = 0</w:t>
      </w:r>
      <w:r w:rsidR="00DA2933" w:rsidRPr="00B258EE">
        <w:rPr>
          <w:sz w:val="20"/>
          <w:szCs w:val="20"/>
          <w:lang w:eastAsia="zh-CN"/>
        </w:rPr>
        <w:t xml:space="preserve"> which is small, we reject the null hypothesis and conclude that at least the covariates are important. We see that age, grade, marital status, address</w:t>
      </w:r>
      <w:r w:rsidR="008E6947" w:rsidRPr="00B258EE">
        <w:rPr>
          <w:sz w:val="20"/>
          <w:szCs w:val="20"/>
          <w:lang w:eastAsia="zh-CN"/>
        </w:rPr>
        <w:t xml:space="preserve"> code, extent and topography are important and have effect on the survival but gender and laterality may not have. The positive coefficient for sex means that increasing the variable from 0 to 1 or changing sex from male to female leads to a decrease in hazard and so females do better than males, though not by statistically significant amount. We fit a Cox proportional hazard model using the covariates and the covariate effects are given in Table 2.</w:t>
      </w:r>
    </w:p>
    <w:p w:rsidR="00B258EE" w:rsidRPr="00B258EE" w:rsidRDefault="00B258EE"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Table 2 shows that there are highly significant effects of at least some covariates. By inspection, laterality is not significant and important. Age is slightly significant. Increasing age leads to increased risk at a rate of 1% a year. Grade, address code, Extent and topography</w:t>
      </w:r>
      <w:r w:rsidRPr="00B258EE">
        <w:rPr>
          <w:rFonts w:hint="eastAsia"/>
          <w:sz w:val="20"/>
          <w:szCs w:val="20"/>
          <w:lang w:eastAsia="zh-CN"/>
        </w:rPr>
        <w:t xml:space="preserve"> </w:t>
      </w:r>
      <w:r w:rsidRPr="00B258EE">
        <w:rPr>
          <w:sz w:val="20"/>
          <w:szCs w:val="20"/>
          <w:lang w:eastAsia="zh-CN"/>
        </w:rPr>
        <w:t xml:space="preserve">are highly significant. High grade, extent and topography counts as a risk factor. Moving </w:t>
      </w:r>
      <w:r w:rsidRPr="00B258EE">
        <w:rPr>
          <w:sz w:val="20"/>
          <w:szCs w:val="20"/>
          <w:lang w:eastAsia="zh-CN"/>
        </w:rPr>
        <w:lastRenderedPageBreak/>
        <w:t>a grade, extent or topography increases the risk by 49%, 62% and 7% respectively. Females do better with a hazard only about 0.44 the male value. So, females have a lower hazard</w:t>
      </w:r>
      <w:r w:rsidRPr="00B258EE">
        <w:rPr>
          <w:rFonts w:hint="eastAsia"/>
          <w:sz w:val="20"/>
          <w:szCs w:val="20"/>
          <w:lang w:eastAsia="zh-CN"/>
        </w:rPr>
        <w:t xml:space="preserve"> </w:t>
      </w:r>
      <w:r w:rsidRPr="00B258EE">
        <w:rPr>
          <w:sz w:val="20"/>
          <w:szCs w:val="20"/>
          <w:lang w:eastAsia="zh-CN"/>
        </w:rPr>
        <w:t>than males. The address code is an important factor: patients in one address code compared to the next address code do better with hazard only about 0.95 of the former address code. Single, widowed or divorced people have worse prognosis than married people. Knowing the extent or stage of your breast cancer helps plan your treatment. The extent of breast cancer is the most important factor for prognosis. In general, the earlier the stage, the better the prognosis will be. In order to check whether a categorical covariate has a proportional effects on the hazards, we can re-fit a stratified model.</w:t>
      </w:r>
    </w:p>
    <w:p w:rsidR="00646891" w:rsidRPr="00B258EE" w:rsidRDefault="00646891" w:rsidP="009C702A">
      <w:pPr>
        <w:suppressAutoHyphens w:val="0"/>
        <w:autoSpaceDE w:val="0"/>
        <w:autoSpaceDN w:val="0"/>
        <w:adjustRightInd w:val="0"/>
        <w:snapToGrid w:val="0"/>
        <w:jc w:val="center"/>
        <w:rPr>
          <w:sz w:val="20"/>
          <w:szCs w:val="20"/>
        </w:rPr>
      </w:pPr>
      <w:r w:rsidRPr="00B258EE">
        <w:rPr>
          <w:noProof/>
          <w:sz w:val="20"/>
          <w:szCs w:val="20"/>
          <w:lang w:eastAsia="zh-CN"/>
        </w:rPr>
        <w:drawing>
          <wp:inline distT="0" distB="0" distL="0" distR="0">
            <wp:extent cx="2770128" cy="248875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924"/>
                    <a:stretch>
                      <a:fillRect/>
                    </a:stretch>
                  </pic:blipFill>
                  <pic:spPr bwMode="auto">
                    <a:xfrm>
                      <a:off x="0" y="0"/>
                      <a:ext cx="2770128" cy="2488758"/>
                    </a:xfrm>
                    <a:prstGeom prst="rect">
                      <a:avLst/>
                    </a:prstGeom>
                    <a:noFill/>
                    <a:ln>
                      <a:noFill/>
                    </a:ln>
                  </pic:spPr>
                </pic:pic>
              </a:graphicData>
            </a:graphic>
          </wp:inline>
        </w:drawing>
      </w:r>
    </w:p>
    <w:p w:rsidR="00646891" w:rsidRPr="00B258EE" w:rsidRDefault="00646891"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Figure 4: Kaplan-Meier estimates by Grade.</w:t>
      </w:r>
    </w:p>
    <w:p w:rsidR="00646891" w:rsidRPr="00B258EE" w:rsidRDefault="00BD2125" w:rsidP="009C702A">
      <w:pPr>
        <w:suppressAutoHyphens w:val="0"/>
        <w:autoSpaceDE w:val="0"/>
        <w:autoSpaceDN w:val="0"/>
        <w:adjustRightInd w:val="0"/>
        <w:snapToGrid w:val="0"/>
        <w:jc w:val="center"/>
        <w:rPr>
          <w:sz w:val="20"/>
          <w:szCs w:val="20"/>
        </w:rPr>
      </w:pPr>
      <w:r w:rsidRPr="00B258EE">
        <w:rPr>
          <w:noProof/>
          <w:sz w:val="20"/>
          <w:szCs w:val="20"/>
          <w:lang w:eastAsia="zh-CN"/>
        </w:rPr>
        <w:drawing>
          <wp:inline distT="0" distB="0" distL="0" distR="0">
            <wp:extent cx="2915920" cy="2545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5920" cy="2545080"/>
                    </a:xfrm>
                    <a:prstGeom prst="rect">
                      <a:avLst/>
                    </a:prstGeom>
                    <a:noFill/>
                    <a:ln>
                      <a:noFill/>
                    </a:ln>
                  </pic:spPr>
                </pic:pic>
              </a:graphicData>
            </a:graphic>
          </wp:inline>
        </w:drawing>
      </w:r>
    </w:p>
    <w:p w:rsidR="00BD2125" w:rsidRPr="00B258EE" w:rsidRDefault="00BD2125" w:rsidP="009C702A">
      <w:pPr>
        <w:suppressAutoHyphens w:val="0"/>
        <w:autoSpaceDE w:val="0"/>
        <w:autoSpaceDN w:val="0"/>
        <w:adjustRightInd w:val="0"/>
        <w:snapToGrid w:val="0"/>
        <w:ind w:firstLine="425"/>
        <w:jc w:val="both"/>
        <w:rPr>
          <w:rFonts w:hint="eastAsia"/>
          <w:sz w:val="20"/>
          <w:szCs w:val="20"/>
          <w:lang w:eastAsia="zh-CN"/>
        </w:rPr>
      </w:pPr>
      <w:r w:rsidRPr="00B258EE">
        <w:rPr>
          <w:sz w:val="20"/>
          <w:szCs w:val="20"/>
          <w:lang w:eastAsia="zh-CN"/>
        </w:rPr>
        <w:t>Figure 5: Kaplan-Meier estimates by Laterality.</w:t>
      </w:r>
    </w:p>
    <w:p w:rsidR="00B258EE" w:rsidRPr="00B258EE" w:rsidRDefault="00B258EE" w:rsidP="009C702A">
      <w:pPr>
        <w:suppressAutoHyphens w:val="0"/>
        <w:autoSpaceDE w:val="0"/>
        <w:autoSpaceDN w:val="0"/>
        <w:adjustRightInd w:val="0"/>
        <w:snapToGrid w:val="0"/>
        <w:ind w:firstLine="425"/>
        <w:jc w:val="both"/>
        <w:rPr>
          <w:sz w:val="20"/>
          <w:szCs w:val="20"/>
          <w:lang w:eastAsia="zh-CN"/>
        </w:rPr>
      </w:pPr>
    </w:p>
    <w:p w:rsidR="00BD2125" w:rsidRPr="00B258EE" w:rsidRDefault="00BD2125" w:rsidP="009C702A">
      <w:pPr>
        <w:suppressAutoHyphens w:val="0"/>
        <w:autoSpaceDE w:val="0"/>
        <w:autoSpaceDN w:val="0"/>
        <w:adjustRightInd w:val="0"/>
        <w:snapToGrid w:val="0"/>
        <w:jc w:val="center"/>
        <w:rPr>
          <w:sz w:val="20"/>
          <w:szCs w:val="20"/>
        </w:rPr>
      </w:pPr>
      <w:r w:rsidRPr="00B258EE">
        <w:rPr>
          <w:noProof/>
          <w:sz w:val="20"/>
          <w:szCs w:val="20"/>
          <w:lang w:eastAsia="zh-CN"/>
        </w:rPr>
        <w:lastRenderedPageBreak/>
        <w:drawing>
          <wp:inline distT="0" distB="0" distL="0" distR="0">
            <wp:extent cx="2907030" cy="251904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7030" cy="2519045"/>
                    </a:xfrm>
                    <a:prstGeom prst="rect">
                      <a:avLst/>
                    </a:prstGeom>
                    <a:noFill/>
                    <a:ln>
                      <a:noFill/>
                    </a:ln>
                  </pic:spPr>
                </pic:pic>
              </a:graphicData>
            </a:graphic>
          </wp:inline>
        </w:drawing>
      </w:r>
    </w:p>
    <w:p w:rsidR="001714B1" w:rsidRPr="00B258EE" w:rsidRDefault="001714B1" w:rsidP="009C702A">
      <w:pPr>
        <w:suppressAutoHyphens w:val="0"/>
        <w:autoSpaceDE w:val="0"/>
        <w:autoSpaceDN w:val="0"/>
        <w:adjustRightInd w:val="0"/>
        <w:snapToGrid w:val="0"/>
        <w:jc w:val="both"/>
        <w:rPr>
          <w:sz w:val="20"/>
          <w:szCs w:val="20"/>
          <w:lang w:eastAsia="zh-CN"/>
        </w:rPr>
      </w:pPr>
      <w:r w:rsidRPr="00B258EE">
        <w:rPr>
          <w:sz w:val="20"/>
          <w:szCs w:val="20"/>
          <w:lang w:eastAsia="zh-CN"/>
        </w:rPr>
        <w:t>Figure 6: Kaplan-Meier estimates by Extent</w:t>
      </w:r>
      <w:r w:rsidR="009C702A" w:rsidRPr="00B258EE">
        <w:rPr>
          <w:sz w:val="20"/>
          <w:szCs w:val="20"/>
          <w:lang w:eastAsia="zh-CN"/>
        </w:rPr>
        <w:t>, E</w:t>
      </w:r>
      <w:r w:rsidRPr="00B258EE">
        <w:rPr>
          <w:sz w:val="20"/>
          <w:szCs w:val="20"/>
          <w:lang w:eastAsia="zh-CN"/>
        </w:rPr>
        <w:t xml:space="preserve">xtent=0 indicate In situ, Extent=1 indicate </w:t>
      </w:r>
      <w:proofErr w:type="spellStart"/>
      <w:r w:rsidRPr="00B258EE">
        <w:rPr>
          <w:sz w:val="20"/>
          <w:szCs w:val="20"/>
          <w:lang w:eastAsia="zh-CN"/>
        </w:rPr>
        <w:t>Localised</w:t>
      </w:r>
      <w:proofErr w:type="spellEnd"/>
      <w:r w:rsidRPr="00B258EE">
        <w:rPr>
          <w:sz w:val="20"/>
          <w:szCs w:val="20"/>
          <w:lang w:eastAsia="zh-CN"/>
        </w:rPr>
        <w:t>, Extent=2 indicate Regional NOS, Extent=2 indicate Regional: Dir Ext and Lymph node, Extent=2 indicate Regional: Direct Ext, Extent=2 indicate Regional: Lymph Node</w:t>
      </w:r>
      <w:r w:rsidR="009C702A" w:rsidRPr="00B258EE">
        <w:rPr>
          <w:sz w:val="20"/>
          <w:szCs w:val="20"/>
          <w:lang w:eastAsia="zh-CN"/>
        </w:rPr>
        <w:t>, E</w:t>
      </w:r>
      <w:r w:rsidRPr="00B258EE">
        <w:rPr>
          <w:sz w:val="20"/>
          <w:szCs w:val="20"/>
          <w:lang w:eastAsia="zh-CN"/>
        </w:rPr>
        <w:t>xtent=3 indicate Distant Metastasis,</w:t>
      </w:r>
    </w:p>
    <w:p w:rsidR="009C702A" w:rsidRPr="00B258EE" w:rsidRDefault="009C702A" w:rsidP="009C702A">
      <w:pPr>
        <w:suppressAutoHyphens w:val="0"/>
        <w:autoSpaceDE w:val="0"/>
        <w:autoSpaceDN w:val="0"/>
        <w:adjustRightInd w:val="0"/>
        <w:snapToGrid w:val="0"/>
        <w:ind w:firstLine="425"/>
        <w:jc w:val="both"/>
        <w:rPr>
          <w:sz w:val="20"/>
          <w:szCs w:val="20"/>
          <w:lang w:eastAsia="zh-CN"/>
        </w:rPr>
      </w:pPr>
    </w:p>
    <w:p w:rsidR="00566622" w:rsidRPr="00B258EE" w:rsidRDefault="00566622" w:rsidP="009C702A">
      <w:pPr>
        <w:suppressAutoHyphens w:val="0"/>
        <w:autoSpaceDE w:val="0"/>
        <w:autoSpaceDN w:val="0"/>
        <w:adjustRightInd w:val="0"/>
        <w:snapToGrid w:val="0"/>
        <w:jc w:val="center"/>
        <w:rPr>
          <w:sz w:val="20"/>
          <w:szCs w:val="20"/>
        </w:rPr>
      </w:pPr>
      <w:r w:rsidRPr="00B258EE">
        <w:rPr>
          <w:noProof/>
          <w:sz w:val="20"/>
          <w:szCs w:val="20"/>
          <w:lang w:eastAsia="zh-CN"/>
        </w:rPr>
        <w:drawing>
          <wp:inline distT="0" distB="0" distL="0" distR="0">
            <wp:extent cx="2915920" cy="24930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5920" cy="2493010"/>
                    </a:xfrm>
                    <a:prstGeom prst="rect">
                      <a:avLst/>
                    </a:prstGeom>
                    <a:noFill/>
                    <a:ln>
                      <a:noFill/>
                    </a:ln>
                  </pic:spPr>
                </pic:pic>
              </a:graphicData>
            </a:graphic>
          </wp:inline>
        </w:drawing>
      </w:r>
    </w:p>
    <w:p w:rsidR="00723026" w:rsidRPr="00B258EE" w:rsidRDefault="00566622" w:rsidP="00B258EE">
      <w:pPr>
        <w:suppressAutoHyphens w:val="0"/>
        <w:autoSpaceDE w:val="0"/>
        <w:autoSpaceDN w:val="0"/>
        <w:adjustRightInd w:val="0"/>
        <w:snapToGrid w:val="0"/>
        <w:jc w:val="both"/>
        <w:rPr>
          <w:sz w:val="20"/>
          <w:szCs w:val="20"/>
          <w:lang w:eastAsia="zh-CN"/>
        </w:rPr>
      </w:pPr>
      <w:r w:rsidRPr="00B258EE">
        <w:rPr>
          <w:sz w:val="20"/>
          <w:szCs w:val="20"/>
          <w:lang w:eastAsia="zh-CN"/>
        </w:rPr>
        <w:t>Figure 7:</w:t>
      </w:r>
      <w:r w:rsidR="009C702A" w:rsidRPr="00B258EE">
        <w:rPr>
          <w:sz w:val="20"/>
          <w:szCs w:val="20"/>
          <w:lang w:eastAsia="zh-CN"/>
        </w:rPr>
        <w:t xml:space="preserve"> </w:t>
      </w:r>
      <w:r w:rsidRPr="00B258EE">
        <w:rPr>
          <w:sz w:val="20"/>
          <w:szCs w:val="20"/>
          <w:lang w:eastAsia="zh-CN"/>
        </w:rPr>
        <w:t>Kaplan-Meier estimates by Topography. Topography = 1, indicate</w:t>
      </w:r>
      <w:r w:rsidR="009C702A" w:rsidRPr="00B258EE">
        <w:rPr>
          <w:sz w:val="20"/>
          <w:szCs w:val="20"/>
          <w:lang w:eastAsia="zh-CN"/>
        </w:rPr>
        <w:t xml:space="preserve"> </w:t>
      </w:r>
      <w:r w:rsidRPr="00B258EE">
        <w:rPr>
          <w:sz w:val="20"/>
          <w:szCs w:val="20"/>
          <w:lang w:eastAsia="zh-CN"/>
        </w:rPr>
        <w:t>C50.0</w:t>
      </w:r>
      <w:r w:rsidR="009C702A" w:rsidRPr="00B258EE">
        <w:rPr>
          <w:sz w:val="20"/>
          <w:szCs w:val="20"/>
          <w:lang w:eastAsia="zh-CN"/>
        </w:rPr>
        <w:t xml:space="preserve"> </w:t>
      </w:r>
      <w:r w:rsidRPr="00B258EE">
        <w:rPr>
          <w:sz w:val="20"/>
          <w:szCs w:val="20"/>
          <w:lang w:eastAsia="zh-CN"/>
        </w:rPr>
        <w:t>Nipple, Topography = 2, indicate C50.1 Central portion of breast</w:t>
      </w:r>
      <w:r w:rsidR="009C702A" w:rsidRPr="00B258EE">
        <w:rPr>
          <w:sz w:val="20"/>
          <w:szCs w:val="20"/>
          <w:lang w:eastAsia="zh-CN"/>
        </w:rPr>
        <w:t>, T</w:t>
      </w:r>
      <w:r w:rsidRPr="00B258EE">
        <w:rPr>
          <w:sz w:val="20"/>
          <w:szCs w:val="20"/>
          <w:lang w:eastAsia="zh-CN"/>
        </w:rPr>
        <w:t>opography = 3, indicate C50.2 Upper-inner quadrant of breast, Topography = 4 indicate C50.3 Lower-inner quadrant of breast</w:t>
      </w:r>
      <w:r w:rsidR="009C702A" w:rsidRPr="00B258EE">
        <w:rPr>
          <w:sz w:val="20"/>
          <w:szCs w:val="20"/>
          <w:lang w:eastAsia="zh-CN"/>
        </w:rPr>
        <w:t>,</w:t>
      </w:r>
      <w:r w:rsidRPr="00B258EE">
        <w:rPr>
          <w:sz w:val="20"/>
          <w:szCs w:val="20"/>
          <w:lang w:eastAsia="zh-CN"/>
        </w:rPr>
        <w:t xml:space="preserve"> Topography = 5 C50.4 Upper-outer quadrant of breast, Topography = 6 indicate C50.5 Lower-outer quadrant of breast, Topography = 7 indicate C50.6 </w:t>
      </w:r>
      <w:proofErr w:type="spellStart"/>
      <w:r w:rsidRPr="00B258EE">
        <w:rPr>
          <w:sz w:val="20"/>
          <w:szCs w:val="20"/>
          <w:lang w:eastAsia="zh-CN"/>
        </w:rPr>
        <w:t>Axillary</w:t>
      </w:r>
      <w:proofErr w:type="spellEnd"/>
      <w:r w:rsidRPr="00B258EE">
        <w:rPr>
          <w:sz w:val="20"/>
          <w:szCs w:val="20"/>
          <w:lang w:eastAsia="zh-CN"/>
        </w:rPr>
        <w:t xml:space="preserve"> tail of breast, Topography = 8</w:t>
      </w:r>
      <w:r w:rsidR="009C702A" w:rsidRPr="00B258EE">
        <w:rPr>
          <w:rFonts w:hint="eastAsia"/>
          <w:sz w:val="20"/>
          <w:szCs w:val="20"/>
          <w:lang w:eastAsia="zh-CN"/>
        </w:rPr>
        <w:t xml:space="preserve"> </w:t>
      </w:r>
      <w:r w:rsidRPr="00B258EE">
        <w:rPr>
          <w:sz w:val="20"/>
          <w:szCs w:val="20"/>
          <w:lang w:eastAsia="zh-CN"/>
        </w:rPr>
        <w:t xml:space="preserve">indicate C50.8 </w:t>
      </w:r>
      <w:proofErr w:type="spellStart"/>
      <w:r w:rsidRPr="00B258EE">
        <w:rPr>
          <w:sz w:val="20"/>
          <w:szCs w:val="20"/>
          <w:lang w:eastAsia="zh-CN"/>
        </w:rPr>
        <w:t>Overl</w:t>
      </w:r>
      <w:proofErr w:type="spellEnd"/>
      <w:r w:rsidRPr="00B258EE">
        <w:rPr>
          <w:sz w:val="20"/>
          <w:szCs w:val="20"/>
          <w:lang w:eastAsia="zh-CN"/>
        </w:rPr>
        <w:t>. lesion of breast, Topography = 9 indicate C50.9 Breast, NOS.</w:t>
      </w:r>
    </w:p>
    <w:p w:rsidR="009C702A" w:rsidRPr="00B258EE" w:rsidRDefault="009C702A" w:rsidP="009C702A">
      <w:pPr>
        <w:suppressAutoHyphens w:val="0"/>
        <w:autoSpaceDE w:val="0"/>
        <w:autoSpaceDN w:val="0"/>
        <w:adjustRightInd w:val="0"/>
        <w:snapToGrid w:val="0"/>
        <w:jc w:val="both"/>
        <w:rPr>
          <w:sz w:val="20"/>
          <w:szCs w:val="20"/>
          <w:lang w:eastAsia="zh-CN"/>
        </w:rPr>
        <w:sectPr w:rsidR="009C702A" w:rsidRPr="00B258EE" w:rsidSect="00743C30">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576"/>
          <w:docGrid w:linePitch="360"/>
        </w:sectPr>
      </w:pPr>
    </w:p>
    <w:p w:rsidR="00B258EE" w:rsidRPr="00B258EE" w:rsidRDefault="00B258EE" w:rsidP="009C702A">
      <w:pPr>
        <w:suppressAutoHyphens w:val="0"/>
        <w:autoSpaceDE w:val="0"/>
        <w:autoSpaceDN w:val="0"/>
        <w:adjustRightInd w:val="0"/>
        <w:snapToGrid w:val="0"/>
        <w:jc w:val="center"/>
        <w:rPr>
          <w:rFonts w:hint="eastAsia"/>
          <w:sz w:val="20"/>
          <w:szCs w:val="20"/>
          <w:lang w:eastAsia="zh-CN"/>
        </w:rPr>
      </w:pPr>
    </w:p>
    <w:p w:rsidR="00B258EE" w:rsidRPr="00B258EE" w:rsidRDefault="00B258EE" w:rsidP="009C702A">
      <w:pPr>
        <w:suppressAutoHyphens w:val="0"/>
        <w:autoSpaceDE w:val="0"/>
        <w:autoSpaceDN w:val="0"/>
        <w:adjustRightInd w:val="0"/>
        <w:snapToGrid w:val="0"/>
        <w:jc w:val="center"/>
        <w:rPr>
          <w:rFonts w:hint="eastAsia"/>
          <w:sz w:val="20"/>
          <w:szCs w:val="20"/>
          <w:lang w:eastAsia="zh-CN"/>
        </w:rPr>
      </w:pPr>
    </w:p>
    <w:p w:rsidR="00B258EE" w:rsidRPr="00B258EE" w:rsidRDefault="00B258EE" w:rsidP="009C702A">
      <w:pPr>
        <w:suppressAutoHyphens w:val="0"/>
        <w:autoSpaceDE w:val="0"/>
        <w:autoSpaceDN w:val="0"/>
        <w:adjustRightInd w:val="0"/>
        <w:snapToGrid w:val="0"/>
        <w:jc w:val="center"/>
        <w:rPr>
          <w:rFonts w:hint="eastAsia"/>
          <w:sz w:val="20"/>
          <w:szCs w:val="20"/>
          <w:lang w:eastAsia="zh-CN"/>
        </w:rPr>
      </w:pPr>
    </w:p>
    <w:p w:rsidR="00B258EE" w:rsidRPr="00B258EE" w:rsidRDefault="00B258EE" w:rsidP="009C702A">
      <w:pPr>
        <w:suppressAutoHyphens w:val="0"/>
        <w:autoSpaceDE w:val="0"/>
        <w:autoSpaceDN w:val="0"/>
        <w:adjustRightInd w:val="0"/>
        <w:snapToGrid w:val="0"/>
        <w:jc w:val="center"/>
        <w:rPr>
          <w:rFonts w:hint="eastAsia"/>
          <w:sz w:val="20"/>
          <w:szCs w:val="20"/>
          <w:lang w:eastAsia="zh-CN"/>
        </w:rPr>
      </w:pPr>
    </w:p>
    <w:p w:rsidR="00E549C6" w:rsidRPr="00B258EE" w:rsidRDefault="00E549C6" w:rsidP="009C702A">
      <w:pPr>
        <w:suppressAutoHyphens w:val="0"/>
        <w:autoSpaceDE w:val="0"/>
        <w:autoSpaceDN w:val="0"/>
        <w:adjustRightInd w:val="0"/>
        <w:snapToGrid w:val="0"/>
        <w:jc w:val="center"/>
        <w:rPr>
          <w:sz w:val="20"/>
          <w:szCs w:val="20"/>
          <w:lang w:eastAsia="zh-CN"/>
        </w:rPr>
      </w:pPr>
      <w:r w:rsidRPr="00B258EE">
        <w:rPr>
          <w:sz w:val="20"/>
          <w:szCs w:val="20"/>
          <w:lang w:eastAsia="zh-CN"/>
        </w:rPr>
        <w:t>Table 1. Table showing the covariate effects using a lognormal model</w:t>
      </w:r>
    </w:p>
    <w:p w:rsidR="009A3D1A" w:rsidRPr="00B258EE" w:rsidRDefault="00E549C6" w:rsidP="009C702A">
      <w:pPr>
        <w:suppressAutoHyphens w:val="0"/>
        <w:autoSpaceDE w:val="0"/>
        <w:autoSpaceDN w:val="0"/>
        <w:adjustRightInd w:val="0"/>
        <w:snapToGrid w:val="0"/>
        <w:jc w:val="center"/>
        <w:rPr>
          <w:sz w:val="20"/>
          <w:szCs w:val="20"/>
          <w:lang w:eastAsia="zh-CN"/>
        </w:rPr>
      </w:pPr>
      <w:r w:rsidRPr="00B258EE">
        <w:rPr>
          <w:noProof/>
          <w:sz w:val="20"/>
          <w:szCs w:val="20"/>
          <w:lang w:eastAsia="zh-CN"/>
        </w:rPr>
        <w:drawing>
          <wp:inline distT="0" distB="0" distL="0" distR="0">
            <wp:extent cx="5356660" cy="20955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48"/>
                    <a:stretch>
                      <a:fillRect/>
                    </a:stretch>
                  </pic:blipFill>
                  <pic:spPr bwMode="auto">
                    <a:xfrm>
                      <a:off x="0" y="0"/>
                      <a:ext cx="5370351" cy="2100856"/>
                    </a:xfrm>
                    <a:prstGeom prst="rect">
                      <a:avLst/>
                    </a:prstGeom>
                    <a:noFill/>
                    <a:ln>
                      <a:noFill/>
                    </a:ln>
                  </pic:spPr>
                </pic:pic>
              </a:graphicData>
            </a:graphic>
          </wp:inline>
        </w:drawing>
      </w:r>
    </w:p>
    <w:p w:rsidR="00B258EE" w:rsidRDefault="00B258EE" w:rsidP="009C702A">
      <w:pPr>
        <w:suppressAutoHyphens w:val="0"/>
        <w:autoSpaceDE w:val="0"/>
        <w:autoSpaceDN w:val="0"/>
        <w:adjustRightInd w:val="0"/>
        <w:snapToGrid w:val="0"/>
        <w:jc w:val="center"/>
        <w:rPr>
          <w:rFonts w:hint="eastAsia"/>
          <w:sz w:val="20"/>
          <w:szCs w:val="20"/>
          <w:lang w:eastAsia="zh-CN"/>
        </w:rPr>
      </w:pPr>
    </w:p>
    <w:p w:rsidR="00A0637B" w:rsidRPr="00B258EE" w:rsidRDefault="00A0637B" w:rsidP="009C702A">
      <w:pPr>
        <w:suppressAutoHyphens w:val="0"/>
        <w:autoSpaceDE w:val="0"/>
        <w:autoSpaceDN w:val="0"/>
        <w:adjustRightInd w:val="0"/>
        <w:snapToGrid w:val="0"/>
        <w:jc w:val="center"/>
        <w:rPr>
          <w:sz w:val="20"/>
          <w:szCs w:val="20"/>
          <w:lang w:eastAsia="zh-CN"/>
        </w:rPr>
      </w:pPr>
      <w:r w:rsidRPr="00B258EE">
        <w:rPr>
          <w:sz w:val="20"/>
          <w:szCs w:val="20"/>
          <w:lang w:eastAsia="zh-CN"/>
        </w:rPr>
        <w:t>Table 2. Table showing the covariates using the Cox proportional hazard model</w:t>
      </w:r>
    </w:p>
    <w:tbl>
      <w:tblPr>
        <w:tblStyle w:val="TableGrid"/>
        <w:tblW w:w="5000" w:type="pct"/>
        <w:jc w:val="center"/>
        <w:tblCellMar>
          <w:left w:w="57" w:type="dxa"/>
          <w:right w:w="57" w:type="dxa"/>
        </w:tblCellMar>
        <w:tblLook w:val="04A0"/>
      </w:tblPr>
      <w:tblGrid>
        <w:gridCol w:w="2036"/>
        <w:gridCol w:w="1296"/>
        <w:gridCol w:w="1650"/>
        <w:gridCol w:w="1432"/>
        <w:gridCol w:w="1177"/>
        <w:gridCol w:w="1883"/>
      </w:tblGrid>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Parameters</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proofErr w:type="spellStart"/>
            <w:r w:rsidRPr="00B258EE">
              <w:rPr>
                <w:sz w:val="20"/>
                <w:szCs w:val="20"/>
                <w:lang w:eastAsia="zh-CN"/>
              </w:rPr>
              <w:t>coef</w:t>
            </w:r>
            <w:proofErr w:type="spellEnd"/>
          </w:p>
        </w:tc>
        <w:tc>
          <w:tcPr>
            <w:tcW w:w="871"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ex</w:t>
            </w:r>
            <w:r w:rsidR="00743C30" w:rsidRPr="00B258EE">
              <w:rPr>
                <w:sz w:val="20"/>
                <w:szCs w:val="20"/>
                <w:lang w:eastAsia="zh-CN"/>
              </w:rPr>
              <w:t>p (</w:t>
            </w:r>
            <w:proofErr w:type="spellStart"/>
            <w:r w:rsidRPr="00B258EE">
              <w:rPr>
                <w:sz w:val="20"/>
                <w:szCs w:val="20"/>
                <w:lang w:eastAsia="zh-CN"/>
              </w:rPr>
              <w:t>coef</w:t>
            </w:r>
            <w:proofErr w:type="spellEnd"/>
            <w:r w:rsidRPr="00B258EE">
              <w:rPr>
                <w:sz w:val="20"/>
                <w:szCs w:val="20"/>
                <w:lang w:eastAsia="zh-CN"/>
              </w:rPr>
              <w:t>)</w:t>
            </w:r>
          </w:p>
        </w:tc>
        <w:tc>
          <w:tcPr>
            <w:tcW w:w="756"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s</w:t>
            </w:r>
            <w:r w:rsidR="00743C30" w:rsidRPr="00B258EE">
              <w:rPr>
                <w:sz w:val="20"/>
                <w:szCs w:val="20"/>
                <w:lang w:eastAsia="zh-CN"/>
              </w:rPr>
              <w:t>e (</w:t>
            </w:r>
            <w:proofErr w:type="spellStart"/>
            <w:r w:rsidR="00694EBE" w:rsidRPr="00B258EE">
              <w:rPr>
                <w:sz w:val="20"/>
                <w:szCs w:val="20"/>
                <w:lang w:eastAsia="zh-CN"/>
              </w:rPr>
              <w:t>coef</w:t>
            </w:r>
            <w:proofErr w:type="spellEnd"/>
            <w:r w:rsidR="00694EBE" w:rsidRPr="00B258EE">
              <w:rPr>
                <w:sz w:val="20"/>
                <w:szCs w:val="20"/>
                <w:lang w:eastAsia="zh-CN"/>
              </w:rPr>
              <w:t>)</w:t>
            </w:r>
          </w:p>
        </w:tc>
        <w:tc>
          <w:tcPr>
            <w:tcW w:w="621"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Z</w:t>
            </w:r>
          </w:p>
        </w:tc>
        <w:tc>
          <w:tcPr>
            <w:tcW w:w="995" w:type="pct"/>
            <w:vAlign w:val="center"/>
          </w:tcPr>
          <w:p w:rsidR="00694EBE" w:rsidRPr="00B258EE" w:rsidRDefault="00743C30" w:rsidP="009C702A">
            <w:pPr>
              <w:suppressAutoHyphens w:val="0"/>
              <w:autoSpaceDE w:val="0"/>
              <w:autoSpaceDN w:val="0"/>
              <w:adjustRightInd w:val="0"/>
              <w:snapToGrid w:val="0"/>
              <w:jc w:val="both"/>
              <w:rPr>
                <w:sz w:val="20"/>
                <w:szCs w:val="20"/>
                <w:lang w:eastAsia="zh-CN"/>
              </w:rPr>
            </w:pPr>
            <w:r w:rsidRPr="00B258EE">
              <w:rPr>
                <w:sz w:val="20"/>
                <w:szCs w:val="20"/>
                <w:lang w:eastAsia="zh-CN"/>
              </w:rPr>
              <w:t>P (</w:t>
            </w:r>
            <w:r w:rsidR="00694EBE" w:rsidRPr="00B258EE">
              <w:rPr>
                <w:sz w:val="20"/>
                <w:szCs w:val="20"/>
                <w:lang w:eastAsia="zh-CN"/>
              </w:rPr>
              <w:t>˃|Z|)</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gender</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-0.810</w:t>
            </w:r>
            <w:r w:rsidR="00467F13" w:rsidRPr="00B258EE">
              <w:rPr>
                <w:sz w:val="20"/>
                <w:szCs w:val="20"/>
                <w:lang w:eastAsia="zh-CN"/>
              </w:rPr>
              <w:t>8</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0.444</w:t>
            </w:r>
            <w:r w:rsidR="00467F13" w:rsidRPr="00B258EE">
              <w:rPr>
                <w:sz w:val="20"/>
                <w:szCs w:val="20"/>
                <w:lang w:eastAsia="zh-CN"/>
              </w:rPr>
              <w:t>1</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0.29456</w:t>
            </w:r>
          </w:p>
        </w:tc>
        <w:tc>
          <w:tcPr>
            <w:tcW w:w="621"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-2.753</w:t>
            </w:r>
          </w:p>
        </w:tc>
        <w:tc>
          <w:tcPr>
            <w:tcW w:w="995"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0.006**</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age</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0.0071</w:t>
            </w:r>
          </w:p>
        </w:tc>
        <w:tc>
          <w:tcPr>
            <w:tcW w:w="871"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1.0072</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0.0030</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2.364</w:t>
            </w:r>
          </w:p>
        </w:tc>
        <w:tc>
          <w:tcPr>
            <w:tcW w:w="995" w:type="pct"/>
            <w:vAlign w:val="center"/>
          </w:tcPr>
          <w:p w:rsidR="00694EBE" w:rsidRPr="00B258EE" w:rsidRDefault="00771EF7" w:rsidP="009C702A">
            <w:pPr>
              <w:suppressAutoHyphens w:val="0"/>
              <w:autoSpaceDE w:val="0"/>
              <w:autoSpaceDN w:val="0"/>
              <w:adjustRightInd w:val="0"/>
              <w:snapToGrid w:val="0"/>
              <w:jc w:val="both"/>
              <w:rPr>
                <w:sz w:val="20"/>
                <w:szCs w:val="20"/>
                <w:lang w:eastAsia="zh-CN"/>
              </w:rPr>
            </w:pPr>
            <w:r w:rsidRPr="00B258EE">
              <w:rPr>
                <w:sz w:val="20"/>
                <w:szCs w:val="20"/>
                <w:lang w:eastAsia="zh-CN"/>
              </w:rPr>
              <w:t>0.018</w:t>
            </w:r>
            <w:r w:rsidR="00D012D5" w:rsidRPr="00B258EE">
              <w:rPr>
                <w:sz w:val="20"/>
                <w:szCs w:val="20"/>
                <w:lang w:eastAsia="zh-CN"/>
              </w:rPr>
              <w:t xml:space="preserve"> *</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Grade</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0.401</w:t>
            </w:r>
            <w:r w:rsidR="00467F13" w:rsidRPr="00B258EE">
              <w:rPr>
                <w:sz w:val="20"/>
                <w:szCs w:val="20"/>
                <w:lang w:eastAsia="zh-CN"/>
              </w:rPr>
              <w:t>8</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1.494</w:t>
            </w:r>
            <w:r w:rsidR="00467F13" w:rsidRPr="00B258EE">
              <w:rPr>
                <w:sz w:val="20"/>
                <w:szCs w:val="20"/>
                <w:lang w:eastAsia="zh-CN"/>
              </w:rPr>
              <w:t>5</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0.0586</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6.853</w:t>
            </w:r>
          </w:p>
        </w:tc>
        <w:tc>
          <w:tcPr>
            <w:tcW w:w="995" w:type="pct"/>
            <w:vAlign w:val="center"/>
          </w:tcPr>
          <w:p w:rsidR="00694EBE" w:rsidRPr="00B258EE" w:rsidRDefault="00655F8D" w:rsidP="009C702A">
            <w:pPr>
              <w:suppressAutoHyphens w:val="0"/>
              <w:autoSpaceDE w:val="0"/>
              <w:autoSpaceDN w:val="0"/>
              <w:adjustRightInd w:val="0"/>
              <w:snapToGrid w:val="0"/>
              <w:jc w:val="both"/>
              <w:rPr>
                <w:sz w:val="20"/>
                <w:szCs w:val="20"/>
                <w:lang w:eastAsia="zh-CN"/>
              </w:rPr>
            </w:pPr>
            <w:r w:rsidRPr="00B258EE">
              <w:rPr>
                <w:sz w:val="20"/>
                <w:szCs w:val="20"/>
                <w:lang w:eastAsia="zh-CN"/>
              </w:rPr>
              <w:t>0.00***</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Laterality</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0.079</w:t>
            </w:r>
            <w:r w:rsidR="00467F13" w:rsidRPr="00B258EE">
              <w:rPr>
                <w:sz w:val="20"/>
                <w:szCs w:val="20"/>
                <w:lang w:eastAsia="zh-CN"/>
              </w:rPr>
              <w:t>9</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1.0831</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0.0626</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1.277</w:t>
            </w:r>
          </w:p>
        </w:tc>
        <w:tc>
          <w:tcPr>
            <w:tcW w:w="995" w:type="pct"/>
            <w:vAlign w:val="center"/>
          </w:tcPr>
          <w:p w:rsidR="00694EBE" w:rsidRPr="00B258EE" w:rsidRDefault="00655F8D" w:rsidP="009C702A">
            <w:pPr>
              <w:suppressAutoHyphens w:val="0"/>
              <w:autoSpaceDE w:val="0"/>
              <w:autoSpaceDN w:val="0"/>
              <w:adjustRightInd w:val="0"/>
              <w:snapToGrid w:val="0"/>
              <w:jc w:val="both"/>
              <w:rPr>
                <w:sz w:val="20"/>
                <w:szCs w:val="20"/>
                <w:lang w:eastAsia="zh-CN"/>
              </w:rPr>
            </w:pPr>
            <w:r w:rsidRPr="00B258EE">
              <w:rPr>
                <w:sz w:val="20"/>
                <w:szCs w:val="20"/>
                <w:lang w:eastAsia="zh-CN"/>
              </w:rPr>
              <w:t>0.2018</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proofErr w:type="spellStart"/>
            <w:r w:rsidRPr="00B258EE">
              <w:rPr>
                <w:sz w:val="20"/>
                <w:szCs w:val="20"/>
                <w:lang w:eastAsia="zh-CN"/>
              </w:rPr>
              <w:t>Addresscode</w:t>
            </w:r>
            <w:proofErr w:type="spellEnd"/>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-0.0480</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0.9531</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0.0128</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-3.768</w:t>
            </w:r>
          </w:p>
        </w:tc>
        <w:tc>
          <w:tcPr>
            <w:tcW w:w="995" w:type="pct"/>
            <w:vAlign w:val="center"/>
          </w:tcPr>
          <w:p w:rsidR="00694EBE" w:rsidRPr="00B258EE" w:rsidRDefault="00655F8D" w:rsidP="009C702A">
            <w:pPr>
              <w:suppressAutoHyphens w:val="0"/>
              <w:autoSpaceDE w:val="0"/>
              <w:autoSpaceDN w:val="0"/>
              <w:adjustRightInd w:val="0"/>
              <w:snapToGrid w:val="0"/>
              <w:jc w:val="both"/>
              <w:rPr>
                <w:sz w:val="20"/>
                <w:szCs w:val="20"/>
                <w:lang w:eastAsia="zh-CN"/>
              </w:rPr>
            </w:pPr>
            <w:r w:rsidRPr="00B258EE">
              <w:rPr>
                <w:sz w:val="20"/>
                <w:szCs w:val="20"/>
                <w:lang w:eastAsia="zh-CN"/>
              </w:rPr>
              <w:t>0.0002***</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marital</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0.145</w:t>
            </w:r>
            <w:r w:rsidR="00467F13" w:rsidRPr="00B258EE">
              <w:rPr>
                <w:sz w:val="20"/>
                <w:szCs w:val="20"/>
                <w:lang w:eastAsia="zh-CN"/>
              </w:rPr>
              <w:t>7</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1.156</w:t>
            </w:r>
            <w:r w:rsidR="00467F13" w:rsidRPr="00B258EE">
              <w:rPr>
                <w:sz w:val="20"/>
                <w:szCs w:val="20"/>
                <w:lang w:eastAsia="zh-CN"/>
              </w:rPr>
              <w:t>8</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0.0492</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2.963</w:t>
            </w:r>
          </w:p>
        </w:tc>
        <w:tc>
          <w:tcPr>
            <w:tcW w:w="995" w:type="pct"/>
            <w:vAlign w:val="center"/>
          </w:tcPr>
          <w:p w:rsidR="00694EBE" w:rsidRPr="00B258EE" w:rsidRDefault="00655F8D" w:rsidP="009C702A">
            <w:pPr>
              <w:suppressAutoHyphens w:val="0"/>
              <w:autoSpaceDE w:val="0"/>
              <w:autoSpaceDN w:val="0"/>
              <w:adjustRightInd w:val="0"/>
              <w:snapToGrid w:val="0"/>
              <w:jc w:val="both"/>
              <w:rPr>
                <w:sz w:val="20"/>
                <w:szCs w:val="20"/>
                <w:lang w:eastAsia="zh-CN"/>
              </w:rPr>
            </w:pPr>
            <w:r w:rsidRPr="00B258EE">
              <w:rPr>
                <w:sz w:val="20"/>
                <w:szCs w:val="20"/>
                <w:lang w:eastAsia="zh-CN"/>
              </w:rPr>
              <w:t>0.0031**</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extent</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0.4852</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1.6245</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0.0437</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11.127</w:t>
            </w:r>
          </w:p>
        </w:tc>
        <w:tc>
          <w:tcPr>
            <w:tcW w:w="995" w:type="pct"/>
            <w:vAlign w:val="center"/>
          </w:tcPr>
          <w:p w:rsidR="00694EBE" w:rsidRPr="00B258EE" w:rsidRDefault="00655F8D" w:rsidP="009C702A">
            <w:pPr>
              <w:suppressAutoHyphens w:val="0"/>
              <w:autoSpaceDE w:val="0"/>
              <w:autoSpaceDN w:val="0"/>
              <w:adjustRightInd w:val="0"/>
              <w:snapToGrid w:val="0"/>
              <w:jc w:val="both"/>
              <w:rPr>
                <w:sz w:val="20"/>
                <w:szCs w:val="20"/>
                <w:lang w:eastAsia="zh-CN"/>
              </w:rPr>
            </w:pPr>
            <w:r w:rsidRPr="00B258EE">
              <w:rPr>
                <w:sz w:val="20"/>
                <w:szCs w:val="20"/>
                <w:lang w:eastAsia="zh-CN"/>
              </w:rPr>
              <w:t>0.000***</w:t>
            </w:r>
          </w:p>
        </w:tc>
      </w:tr>
      <w:tr w:rsidR="009C702A" w:rsidRPr="00B258EE" w:rsidTr="009C702A">
        <w:trPr>
          <w:jc w:val="center"/>
        </w:trPr>
        <w:tc>
          <w:tcPr>
            <w:tcW w:w="107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Topography</w:t>
            </w:r>
          </w:p>
        </w:tc>
        <w:tc>
          <w:tcPr>
            <w:tcW w:w="684" w:type="pct"/>
            <w:vAlign w:val="center"/>
          </w:tcPr>
          <w:p w:rsidR="00694EBE" w:rsidRPr="00B258EE" w:rsidRDefault="00694EBE" w:rsidP="009C702A">
            <w:pPr>
              <w:suppressAutoHyphens w:val="0"/>
              <w:autoSpaceDE w:val="0"/>
              <w:autoSpaceDN w:val="0"/>
              <w:adjustRightInd w:val="0"/>
              <w:snapToGrid w:val="0"/>
              <w:jc w:val="both"/>
              <w:rPr>
                <w:sz w:val="20"/>
                <w:szCs w:val="20"/>
                <w:lang w:eastAsia="zh-CN"/>
              </w:rPr>
            </w:pPr>
            <w:r w:rsidRPr="00B258EE">
              <w:rPr>
                <w:sz w:val="20"/>
                <w:szCs w:val="20"/>
                <w:lang w:eastAsia="zh-CN"/>
              </w:rPr>
              <w:t>0.0712</w:t>
            </w:r>
          </w:p>
        </w:tc>
        <w:tc>
          <w:tcPr>
            <w:tcW w:w="871" w:type="pct"/>
            <w:vAlign w:val="center"/>
          </w:tcPr>
          <w:p w:rsidR="00694EBE" w:rsidRPr="00B258EE" w:rsidRDefault="008F201D" w:rsidP="009C702A">
            <w:pPr>
              <w:suppressAutoHyphens w:val="0"/>
              <w:autoSpaceDE w:val="0"/>
              <w:autoSpaceDN w:val="0"/>
              <w:adjustRightInd w:val="0"/>
              <w:snapToGrid w:val="0"/>
              <w:jc w:val="both"/>
              <w:rPr>
                <w:sz w:val="20"/>
                <w:szCs w:val="20"/>
                <w:lang w:eastAsia="zh-CN"/>
              </w:rPr>
            </w:pPr>
            <w:r w:rsidRPr="00B258EE">
              <w:rPr>
                <w:sz w:val="20"/>
                <w:szCs w:val="20"/>
                <w:lang w:eastAsia="zh-CN"/>
              </w:rPr>
              <w:t>1.0738</w:t>
            </w:r>
          </w:p>
        </w:tc>
        <w:tc>
          <w:tcPr>
            <w:tcW w:w="756" w:type="pct"/>
            <w:vAlign w:val="center"/>
          </w:tcPr>
          <w:p w:rsidR="00694EBE" w:rsidRPr="00B258EE" w:rsidRDefault="00467F13" w:rsidP="009C702A">
            <w:pPr>
              <w:suppressAutoHyphens w:val="0"/>
              <w:autoSpaceDE w:val="0"/>
              <w:autoSpaceDN w:val="0"/>
              <w:adjustRightInd w:val="0"/>
              <w:snapToGrid w:val="0"/>
              <w:jc w:val="both"/>
              <w:rPr>
                <w:sz w:val="20"/>
                <w:szCs w:val="20"/>
                <w:lang w:eastAsia="zh-CN"/>
              </w:rPr>
            </w:pPr>
            <w:r w:rsidRPr="00B258EE">
              <w:rPr>
                <w:sz w:val="20"/>
                <w:szCs w:val="20"/>
                <w:lang w:eastAsia="zh-CN"/>
              </w:rPr>
              <w:t>0.0163</w:t>
            </w:r>
          </w:p>
        </w:tc>
        <w:tc>
          <w:tcPr>
            <w:tcW w:w="621" w:type="pct"/>
            <w:vAlign w:val="center"/>
          </w:tcPr>
          <w:p w:rsidR="00694EBE" w:rsidRPr="00B258EE" w:rsidRDefault="00D012D5" w:rsidP="009C702A">
            <w:pPr>
              <w:suppressAutoHyphens w:val="0"/>
              <w:autoSpaceDE w:val="0"/>
              <w:autoSpaceDN w:val="0"/>
              <w:adjustRightInd w:val="0"/>
              <w:snapToGrid w:val="0"/>
              <w:jc w:val="both"/>
              <w:rPr>
                <w:sz w:val="20"/>
                <w:szCs w:val="20"/>
                <w:lang w:eastAsia="zh-CN"/>
              </w:rPr>
            </w:pPr>
            <w:r w:rsidRPr="00B258EE">
              <w:rPr>
                <w:sz w:val="20"/>
                <w:szCs w:val="20"/>
                <w:lang w:eastAsia="zh-CN"/>
              </w:rPr>
              <w:t>4.362</w:t>
            </w:r>
          </w:p>
        </w:tc>
        <w:tc>
          <w:tcPr>
            <w:tcW w:w="995" w:type="pct"/>
            <w:vAlign w:val="center"/>
          </w:tcPr>
          <w:p w:rsidR="00694EBE" w:rsidRPr="00B258EE" w:rsidRDefault="00655F8D" w:rsidP="009C702A">
            <w:pPr>
              <w:suppressAutoHyphens w:val="0"/>
              <w:autoSpaceDE w:val="0"/>
              <w:autoSpaceDN w:val="0"/>
              <w:adjustRightInd w:val="0"/>
              <w:snapToGrid w:val="0"/>
              <w:jc w:val="both"/>
              <w:rPr>
                <w:sz w:val="20"/>
                <w:szCs w:val="20"/>
                <w:lang w:eastAsia="zh-CN"/>
              </w:rPr>
            </w:pPr>
            <w:r w:rsidRPr="00B258EE">
              <w:rPr>
                <w:sz w:val="20"/>
                <w:szCs w:val="20"/>
                <w:lang w:eastAsia="zh-CN"/>
              </w:rPr>
              <w:t>0.00001***</w:t>
            </w:r>
          </w:p>
        </w:tc>
      </w:tr>
    </w:tbl>
    <w:p w:rsidR="00694EBE" w:rsidRDefault="00694EBE" w:rsidP="009C702A">
      <w:pPr>
        <w:suppressAutoHyphens w:val="0"/>
        <w:autoSpaceDE w:val="0"/>
        <w:autoSpaceDN w:val="0"/>
        <w:adjustRightInd w:val="0"/>
        <w:snapToGrid w:val="0"/>
        <w:ind w:firstLine="425"/>
        <w:jc w:val="both"/>
        <w:rPr>
          <w:rFonts w:hint="eastAsia"/>
          <w:sz w:val="20"/>
          <w:szCs w:val="20"/>
          <w:lang w:eastAsia="zh-CN"/>
        </w:rPr>
      </w:pPr>
    </w:p>
    <w:p w:rsidR="00B258EE" w:rsidRPr="00B258EE" w:rsidRDefault="00B258EE" w:rsidP="009C702A">
      <w:pPr>
        <w:suppressAutoHyphens w:val="0"/>
        <w:autoSpaceDE w:val="0"/>
        <w:autoSpaceDN w:val="0"/>
        <w:adjustRightInd w:val="0"/>
        <w:snapToGrid w:val="0"/>
        <w:ind w:firstLine="425"/>
        <w:jc w:val="both"/>
        <w:rPr>
          <w:sz w:val="20"/>
          <w:szCs w:val="20"/>
          <w:lang w:eastAsia="zh-CN"/>
        </w:rPr>
      </w:pPr>
    </w:p>
    <w:p w:rsidR="009C702A" w:rsidRPr="00B258EE" w:rsidRDefault="009C702A" w:rsidP="009C702A">
      <w:pPr>
        <w:suppressAutoHyphens w:val="0"/>
        <w:autoSpaceDE w:val="0"/>
        <w:autoSpaceDN w:val="0"/>
        <w:adjustRightInd w:val="0"/>
        <w:snapToGrid w:val="0"/>
        <w:jc w:val="both"/>
        <w:rPr>
          <w:b/>
          <w:bCs/>
          <w:sz w:val="20"/>
          <w:szCs w:val="20"/>
          <w:lang w:eastAsia="zh-CN"/>
        </w:rPr>
        <w:sectPr w:rsidR="009C702A" w:rsidRPr="00B258EE" w:rsidSect="009C702A">
          <w:footnotePr>
            <w:pos w:val="beneathText"/>
          </w:footnotePr>
          <w:type w:val="continuous"/>
          <w:pgSz w:w="12240" w:h="15840" w:code="1"/>
          <w:pgMar w:top="1440" w:right="1440" w:bottom="1440" w:left="1440" w:header="720" w:footer="720" w:gutter="0"/>
          <w:cols w:space="576"/>
          <w:docGrid w:linePitch="360"/>
        </w:sectPr>
      </w:pPr>
    </w:p>
    <w:p w:rsidR="009A3D1A" w:rsidRPr="00B258EE" w:rsidRDefault="009A3D1A" w:rsidP="009C702A">
      <w:pPr>
        <w:suppressAutoHyphens w:val="0"/>
        <w:autoSpaceDE w:val="0"/>
        <w:autoSpaceDN w:val="0"/>
        <w:adjustRightInd w:val="0"/>
        <w:snapToGrid w:val="0"/>
        <w:jc w:val="both"/>
        <w:rPr>
          <w:b/>
          <w:bCs/>
          <w:sz w:val="20"/>
          <w:szCs w:val="20"/>
          <w:lang w:eastAsia="zh-CN"/>
        </w:rPr>
      </w:pPr>
      <w:r w:rsidRPr="00B258EE">
        <w:rPr>
          <w:b/>
          <w:bCs/>
          <w:sz w:val="20"/>
          <w:szCs w:val="20"/>
          <w:lang w:eastAsia="zh-CN"/>
        </w:rPr>
        <w:lastRenderedPageBreak/>
        <w:t>4 Conclusion</w:t>
      </w:r>
    </w:p>
    <w:p w:rsidR="009A3D1A" w:rsidRPr="00B258EE" w:rsidRDefault="009A3D1A" w:rsidP="009C702A">
      <w:pPr>
        <w:suppressAutoHyphens w:val="0"/>
        <w:autoSpaceDE w:val="0"/>
        <w:autoSpaceDN w:val="0"/>
        <w:adjustRightInd w:val="0"/>
        <w:snapToGrid w:val="0"/>
        <w:ind w:firstLine="425"/>
        <w:jc w:val="both"/>
        <w:rPr>
          <w:sz w:val="20"/>
          <w:szCs w:val="20"/>
          <w:lang w:eastAsia="zh-CN"/>
        </w:rPr>
      </w:pPr>
      <w:r w:rsidRPr="00B258EE">
        <w:rPr>
          <w:sz w:val="20"/>
          <w:szCs w:val="20"/>
          <w:lang w:eastAsia="zh-CN"/>
        </w:rPr>
        <w:t>Survival analysis is used to analyses data corresponding to survival time. Survival time is the time taken when an end event occurs in the data set. Additional, survival analysis provides special techniques that are required to compare the risks for death (or some other event)</w:t>
      </w:r>
      <w:r w:rsidR="009C702A" w:rsidRPr="00B258EE">
        <w:rPr>
          <w:rFonts w:hint="eastAsia"/>
          <w:sz w:val="20"/>
          <w:szCs w:val="20"/>
          <w:lang w:eastAsia="zh-CN"/>
        </w:rPr>
        <w:t xml:space="preserve"> </w:t>
      </w:r>
      <w:r w:rsidRPr="00B258EE">
        <w:rPr>
          <w:sz w:val="20"/>
          <w:szCs w:val="20"/>
          <w:lang w:eastAsia="zh-CN"/>
        </w:rPr>
        <w:t>associated with different treatments or groups, where the risk changes over time. The most commonly used techniques are introduced in this work. Kaplan-Meier provides methods a statistical comparison of two groups, and Cox proportional hazard model. The work considered in this project was centered on survival analysis with application on Breast Cancer data.</w:t>
      </w:r>
    </w:p>
    <w:p w:rsidR="004C7899" w:rsidRPr="00B258EE" w:rsidRDefault="004C7899" w:rsidP="009C702A">
      <w:pPr>
        <w:suppressAutoHyphens w:val="0"/>
        <w:autoSpaceDE w:val="0"/>
        <w:autoSpaceDN w:val="0"/>
        <w:adjustRightInd w:val="0"/>
        <w:snapToGrid w:val="0"/>
        <w:ind w:firstLine="425"/>
        <w:jc w:val="both"/>
        <w:rPr>
          <w:sz w:val="20"/>
          <w:szCs w:val="20"/>
          <w:lang w:eastAsia="zh-CN"/>
        </w:rPr>
      </w:pPr>
    </w:p>
    <w:p w:rsidR="004C7899" w:rsidRPr="00B258EE" w:rsidRDefault="004C7899" w:rsidP="009C702A">
      <w:pPr>
        <w:suppressAutoHyphens w:val="0"/>
        <w:autoSpaceDE w:val="0"/>
        <w:autoSpaceDN w:val="0"/>
        <w:adjustRightInd w:val="0"/>
        <w:snapToGrid w:val="0"/>
        <w:jc w:val="both"/>
        <w:rPr>
          <w:b/>
          <w:bCs/>
          <w:sz w:val="20"/>
          <w:szCs w:val="20"/>
          <w:lang w:eastAsia="zh-CN"/>
        </w:rPr>
      </w:pPr>
      <w:r w:rsidRPr="00B258EE">
        <w:rPr>
          <w:b/>
          <w:bCs/>
          <w:sz w:val="20"/>
          <w:szCs w:val="20"/>
          <w:lang w:eastAsia="zh-CN"/>
        </w:rPr>
        <w:t>Acknowledgements</w:t>
      </w:r>
    </w:p>
    <w:p w:rsidR="005961F7" w:rsidRPr="00B258EE" w:rsidRDefault="005961F7" w:rsidP="009C702A">
      <w:pPr>
        <w:suppressAutoHyphens w:val="0"/>
        <w:autoSpaceDE w:val="0"/>
        <w:autoSpaceDN w:val="0"/>
        <w:adjustRightInd w:val="0"/>
        <w:snapToGrid w:val="0"/>
        <w:ind w:firstLine="425"/>
        <w:jc w:val="both"/>
        <w:rPr>
          <w:sz w:val="20"/>
          <w:szCs w:val="20"/>
        </w:rPr>
      </w:pPr>
      <w:r w:rsidRPr="00B258EE">
        <w:rPr>
          <w:sz w:val="20"/>
          <w:szCs w:val="20"/>
          <w:lang w:eastAsia="zh-CN"/>
        </w:rPr>
        <w:t xml:space="preserve">We thank the Cancer Registry in King Faisal Specialist Hospital and Research Center (KFSH </w:t>
      </w:r>
      <w:r w:rsidR="000C364E" w:rsidRPr="00B258EE">
        <w:rPr>
          <w:sz w:val="20"/>
          <w:szCs w:val="20"/>
          <w:lang w:eastAsia="zh-CN"/>
        </w:rPr>
        <w:t>and RC) for providing</w:t>
      </w:r>
      <w:r w:rsidRPr="00B258EE">
        <w:rPr>
          <w:sz w:val="20"/>
          <w:szCs w:val="20"/>
          <w:lang w:eastAsia="zh-CN"/>
        </w:rPr>
        <w:t xml:space="preserve"> the data for this study.</w:t>
      </w:r>
    </w:p>
    <w:p w:rsidR="00FB5B6A" w:rsidRPr="00B258EE" w:rsidRDefault="00FB5B6A" w:rsidP="009C702A">
      <w:pPr>
        <w:suppressAutoHyphens w:val="0"/>
        <w:snapToGrid w:val="0"/>
        <w:ind w:firstLine="425"/>
        <w:jc w:val="both"/>
        <w:rPr>
          <w:sz w:val="20"/>
          <w:szCs w:val="20"/>
        </w:rPr>
      </w:pPr>
    </w:p>
    <w:p w:rsidR="00471E57" w:rsidRPr="00B258EE" w:rsidRDefault="00471E57" w:rsidP="009C702A">
      <w:pPr>
        <w:suppressAutoHyphens w:val="0"/>
        <w:snapToGrid w:val="0"/>
        <w:jc w:val="both"/>
        <w:rPr>
          <w:b/>
          <w:sz w:val="20"/>
          <w:szCs w:val="20"/>
        </w:rPr>
      </w:pPr>
      <w:r w:rsidRPr="00B258EE">
        <w:rPr>
          <w:b/>
          <w:sz w:val="20"/>
          <w:szCs w:val="20"/>
        </w:rPr>
        <w:t>Corresponding Author:</w:t>
      </w:r>
    </w:p>
    <w:p w:rsidR="0049143E" w:rsidRPr="00B258EE" w:rsidRDefault="00471E57" w:rsidP="009C702A">
      <w:pPr>
        <w:suppressAutoHyphens w:val="0"/>
        <w:snapToGrid w:val="0"/>
        <w:jc w:val="both"/>
        <w:rPr>
          <w:sz w:val="20"/>
          <w:szCs w:val="20"/>
        </w:rPr>
      </w:pPr>
      <w:r w:rsidRPr="00B258EE">
        <w:rPr>
          <w:sz w:val="20"/>
          <w:szCs w:val="20"/>
        </w:rPr>
        <w:t>D</w:t>
      </w:r>
      <w:r w:rsidR="0049143E" w:rsidRPr="00B258EE">
        <w:rPr>
          <w:sz w:val="20"/>
          <w:szCs w:val="20"/>
        </w:rPr>
        <w:t xml:space="preserve">r. </w:t>
      </w:r>
      <w:proofErr w:type="spellStart"/>
      <w:r w:rsidR="005961F7" w:rsidRPr="00B258EE">
        <w:rPr>
          <w:sz w:val="20"/>
          <w:szCs w:val="20"/>
        </w:rPr>
        <w:t>Refah</w:t>
      </w:r>
      <w:proofErr w:type="spellEnd"/>
      <w:r w:rsidR="005961F7" w:rsidRPr="00B258EE">
        <w:rPr>
          <w:sz w:val="20"/>
          <w:szCs w:val="20"/>
        </w:rPr>
        <w:t xml:space="preserve"> </w:t>
      </w:r>
      <w:proofErr w:type="spellStart"/>
      <w:r w:rsidR="005961F7" w:rsidRPr="00B258EE">
        <w:rPr>
          <w:sz w:val="20"/>
          <w:szCs w:val="20"/>
        </w:rPr>
        <w:t>Alotaibi</w:t>
      </w:r>
      <w:proofErr w:type="spellEnd"/>
    </w:p>
    <w:p w:rsidR="005961F7" w:rsidRPr="00B258EE" w:rsidRDefault="005961F7" w:rsidP="009C702A">
      <w:pPr>
        <w:suppressAutoHyphens w:val="0"/>
        <w:snapToGrid w:val="0"/>
        <w:jc w:val="both"/>
        <w:rPr>
          <w:sz w:val="20"/>
          <w:szCs w:val="20"/>
        </w:rPr>
      </w:pPr>
      <w:r w:rsidRPr="00B258EE">
        <w:rPr>
          <w:sz w:val="20"/>
          <w:szCs w:val="20"/>
        </w:rPr>
        <w:t>Mathematical Science Department,</w:t>
      </w:r>
    </w:p>
    <w:p w:rsidR="005961F7" w:rsidRPr="00B258EE" w:rsidRDefault="005961F7" w:rsidP="009C702A">
      <w:pPr>
        <w:suppressAutoHyphens w:val="0"/>
        <w:snapToGrid w:val="0"/>
        <w:jc w:val="both"/>
        <w:rPr>
          <w:sz w:val="20"/>
          <w:szCs w:val="20"/>
        </w:rPr>
      </w:pPr>
      <w:r w:rsidRPr="00B258EE">
        <w:rPr>
          <w:sz w:val="20"/>
          <w:szCs w:val="20"/>
        </w:rPr>
        <w:t xml:space="preserve">Princess </w:t>
      </w:r>
      <w:proofErr w:type="spellStart"/>
      <w:r w:rsidRPr="00B258EE">
        <w:rPr>
          <w:sz w:val="20"/>
          <w:szCs w:val="20"/>
        </w:rPr>
        <w:t>Nourah</w:t>
      </w:r>
      <w:proofErr w:type="spellEnd"/>
      <w:r w:rsidRPr="00B258EE">
        <w:rPr>
          <w:sz w:val="20"/>
          <w:szCs w:val="20"/>
        </w:rPr>
        <w:t xml:space="preserve"> </w:t>
      </w:r>
      <w:proofErr w:type="spellStart"/>
      <w:r w:rsidRPr="00B258EE">
        <w:rPr>
          <w:sz w:val="20"/>
          <w:szCs w:val="20"/>
        </w:rPr>
        <w:t>Bint</w:t>
      </w:r>
      <w:proofErr w:type="spellEnd"/>
      <w:r w:rsidRPr="00B258EE">
        <w:rPr>
          <w:sz w:val="20"/>
          <w:szCs w:val="20"/>
        </w:rPr>
        <w:t xml:space="preserve"> </w:t>
      </w:r>
      <w:proofErr w:type="spellStart"/>
      <w:r w:rsidRPr="00B258EE">
        <w:rPr>
          <w:sz w:val="20"/>
          <w:szCs w:val="20"/>
        </w:rPr>
        <w:t>Abdulrahman</w:t>
      </w:r>
      <w:proofErr w:type="spellEnd"/>
      <w:r w:rsidRPr="00B258EE">
        <w:rPr>
          <w:sz w:val="20"/>
          <w:szCs w:val="20"/>
        </w:rPr>
        <w:t xml:space="preserve"> University,</w:t>
      </w:r>
    </w:p>
    <w:p w:rsidR="005961F7" w:rsidRPr="00B258EE" w:rsidRDefault="005961F7" w:rsidP="009C702A">
      <w:pPr>
        <w:suppressAutoHyphens w:val="0"/>
        <w:snapToGrid w:val="0"/>
        <w:jc w:val="both"/>
        <w:rPr>
          <w:sz w:val="20"/>
          <w:szCs w:val="20"/>
        </w:rPr>
      </w:pPr>
      <w:r w:rsidRPr="00B258EE">
        <w:rPr>
          <w:sz w:val="20"/>
          <w:szCs w:val="20"/>
        </w:rPr>
        <w:t>P.O. Box 84428, Riyadh 11671, Saudi Arabia.</w:t>
      </w:r>
    </w:p>
    <w:p w:rsidR="00471E57" w:rsidRPr="00B258EE" w:rsidRDefault="00471E57" w:rsidP="009C702A">
      <w:pPr>
        <w:suppressAutoHyphens w:val="0"/>
        <w:snapToGrid w:val="0"/>
        <w:jc w:val="both"/>
        <w:rPr>
          <w:sz w:val="20"/>
          <w:szCs w:val="20"/>
        </w:rPr>
      </w:pPr>
      <w:r w:rsidRPr="00B258EE">
        <w:rPr>
          <w:sz w:val="20"/>
          <w:szCs w:val="20"/>
        </w:rPr>
        <w:t xml:space="preserve">E-mail: </w:t>
      </w:r>
      <w:hyperlink r:id="rId25" w:history="1">
        <w:r w:rsidR="005961F7" w:rsidRPr="00B258EE">
          <w:rPr>
            <w:rStyle w:val="Hyperlink"/>
            <w:sz w:val="20"/>
            <w:szCs w:val="20"/>
          </w:rPr>
          <w:t>rmalotaibi@pnu.edu.sa</w:t>
        </w:r>
      </w:hyperlink>
    </w:p>
    <w:p w:rsidR="00471E57" w:rsidRPr="00B258EE" w:rsidRDefault="00471E57" w:rsidP="009C702A">
      <w:pPr>
        <w:suppressAutoHyphens w:val="0"/>
        <w:snapToGrid w:val="0"/>
        <w:ind w:firstLine="425"/>
        <w:jc w:val="both"/>
        <w:rPr>
          <w:sz w:val="20"/>
          <w:szCs w:val="20"/>
        </w:rPr>
      </w:pPr>
    </w:p>
    <w:p w:rsidR="009C702A" w:rsidRPr="00B258EE" w:rsidRDefault="00471E57" w:rsidP="009C702A">
      <w:pPr>
        <w:suppressAutoHyphens w:val="0"/>
        <w:snapToGrid w:val="0"/>
        <w:jc w:val="both"/>
        <w:rPr>
          <w:b/>
          <w:sz w:val="20"/>
          <w:szCs w:val="20"/>
        </w:rPr>
      </w:pPr>
      <w:r w:rsidRPr="00B258EE">
        <w:rPr>
          <w:b/>
          <w:sz w:val="20"/>
          <w:szCs w:val="20"/>
        </w:rPr>
        <w:t>References</w:t>
      </w:r>
    </w:p>
    <w:p w:rsidR="009C702A" w:rsidRPr="00B258EE" w:rsidRDefault="009C702A" w:rsidP="009C702A">
      <w:pPr>
        <w:pStyle w:val="ListParagraph"/>
        <w:numPr>
          <w:ilvl w:val="0"/>
          <w:numId w:val="6"/>
        </w:numPr>
        <w:suppressAutoHyphens w:val="0"/>
        <w:autoSpaceDE w:val="0"/>
        <w:autoSpaceDN w:val="0"/>
        <w:adjustRightInd w:val="0"/>
        <w:snapToGrid w:val="0"/>
        <w:jc w:val="both"/>
        <w:rPr>
          <w:sz w:val="20"/>
          <w:szCs w:val="20"/>
          <w:lang w:eastAsia="zh-CN"/>
        </w:rPr>
      </w:pPr>
      <w:r w:rsidRPr="00B258EE">
        <w:rPr>
          <w:sz w:val="20"/>
          <w:szCs w:val="20"/>
          <w:lang w:eastAsia="zh-CN"/>
        </w:rPr>
        <w:t>A</w:t>
      </w:r>
      <w:r w:rsidR="000C364E" w:rsidRPr="00B258EE">
        <w:rPr>
          <w:sz w:val="20"/>
          <w:szCs w:val="20"/>
          <w:lang w:eastAsia="zh-CN"/>
        </w:rPr>
        <w:t>l-</w:t>
      </w:r>
      <w:proofErr w:type="spellStart"/>
      <w:r w:rsidR="000C364E" w:rsidRPr="00B258EE">
        <w:rPr>
          <w:sz w:val="20"/>
          <w:szCs w:val="20"/>
          <w:lang w:eastAsia="zh-CN"/>
        </w:rPr>
        <w:t>Qahtani</w:t>
      </w:r>
      <w:proofErr w:type="spellEnd"/>
      <w:r w:rsidR="000C364E" w:rsidRPr="00B258EE">
        <w:rPr>
          <w:sz w:val="20"/>
          <w:szCs w:val="20"/>
          <w:lang w:eastAsia="zh-CN"/>
        </w:rPr>
        <w:t>, M. S. (2007). Gut metastasis from breast carcinoma. Saudi Medical Journal,28:1590{1592</w:t>
      </w:r>
      <w:r w:rsidRPr="00B258EE">
        <w:rPr>
          <w:sz w:val="20"/>
          <w:szCs w:val="20"/>
          <w:lang w:eastAsia="zh-CN"/>
        </w:rPr>
        <w:t xml:space="preserve">. </w:t>
      </w:r>
      <w:r w:rsidRPr="00B258EE">
        <w:rPr>
          <w:sz w:val="20"/>
          <w:szCs w:val="20"/>
        </w:rPr>
        <w:t>S</w:t>
      </w:r>
      <w:r w:rsidR="00471E57" w:rsidRPr="00B258EE">
        <w:rPr>
          <w:sz w:val="20"/>
          <w:szCs w:val="20"/>
        </w:rPr>
        <w:t>mith MD, Wilcox JC, Kelly T, Knapp AK. Dom</w:t>
      </w:r>
      <w:r w:rsidR="00A3476D" w:rsidRPr="00B258EE">
        <w:rPr>
          <w:sz w:val="20"/>
          <w:szCs w:val="20"/>
        </w:rPr>
        <w:t xml:space="preserve">inance not richness determines </w:t>
      </w:r>
      <w:proofErr w:type="spellStart"/>
      <w:r w:rsidR="00471E57" w:rsidRPr="00B258EE">
        <w:rPr>
          <w:sz w:val="20"/>
          <w:szCs w:val="20"/>
        </w:rPr>
        <w:t>invasibility</w:t>
      </w:r>
      <w:proofErr w:type="spellEnd"/>
      <w:r w:rsidR="00471E57" w:rsidRPr="00B258EE">
        <w:rPr>
          <w:sz w:val="20"/>
          <w:szCs w:val="20"/>
        </w:rPr>
        <w:t xml:space="preserve"> of </w:t>
      </w:r>
      <w:proofErr w:type="spellStart"/>
      <w:r w:rsidR="00471E57" w:rsidRPr="00B258EE">
        <w:rPr>
          <w:sz w:val="20"/>
          <w:szCs w:val="20"/>
        </w:rPr>
        <w:t>tallgrass</w:t>
      </w:r>
      <w:proofErr w:type="spellEnd"/>
      <w:r w:rsidR="00A3476D" w:rsidRPr="00B258EE">
        <w:rPr>
          <w:sz w:val="20"/>
          <w:szCs w:val="20"/>
        </w:rPr>
        <w:t xml:space="preserve"> prairie. </w:t>
      </w:r>
      <w:proofErr w:type="spellStart"/>
      <w:r w:rsidR="00A3476D" w:rsidRPr="00B258EE">
        <w:rPr>
          <w:sz w:val="20"/>
          <w:szCs w:val="20"/>
        </w:rPr>
        <w:t>Oikos</w:t>
      </w:r>
      <w:proofErr w:type="spellEnd"/>
      <w:r w:rsidR="00A3476D" w:rsidRPr="00B258EE">
        <w:rPr>
          <w:sz w:val="20"/>
          <w:szCs w:val="20"/>
        </w:rPr>
        <w:t xml:space="preserve"> 2004;</w:t>
      </w:r>
      <w:r w:rsidR="00471E57" w:rsidRPr="00B258EE">
        <w:rPr>
          <w:sz w:val="20"/>
          <w:szCs w:val="20"/>
        </w:rPr>
        <w:t>106</w:t>
      </w:r>
      <w:r w:rsidR="00EC5C53" w:rsidRPr="00B258EE">
        <w:rPr>
          <w:sz w:val="20"/>
          <w:szCs w:val="20"/>
        </w:rPr>
        <w:t>(2)</w:t>
      </w:r>
      <w:r w:rsidR="00A3476D" w:rsidRPr="00B258EE">
        <w:rPr>
          <w:sz w:val="20"/>
          <w:szCs w:val="20"/>
        </w:rPr>
        <w:t>:</w:t>
      </w:r>
      <w:r w:rsidR="00EC5C53" w:rsidRPr="00B258EE">
        <w:rPr>
          <w:sz w:val="20"/>
          <w:szCs w:val="20"/>
        </w:rPr>
        <w:t>253–</w:t>
      </w:r>
      <w:r w:rsidR="00471E57" w:rsidRPr="00B258EE">
        <w:rPr>
          <w:sz w:val="20"/>
          <w:szCs w:val="20"/>
        </w:rPr>
        <w:t>62.</w:t>
      </w:r>
    </w:p>
    <w:p w:rsidR="009C702A" w:rsidRPr="00B258EE" w:rsidRDefault="009C702A" w:rsidP="009C702A">
      <w:pPr>
        <w:pStyle w:val="ListParagraph"/>
        <w:numPr>
          <w:ilvl w:val="0"/>
          <w:numId w:val="6"/>
        </w:numPr>
        <w:suppressAutoHyphens w:val="0"/>
        <w:autoSpaceDE w:val="0"/>
        <w:autoSpaceDN w:val="0"/>
        <w:adjustRightInd w:val="0"/>
        <w:snapToGrid w:val="0"/>
        <w:jc w:val="both"/>
        <w:rPr>
          <w:sz w:val="20"/>
          <w:szCs w:val="20"/>
          <w:lang w:eastAsia="zh-CN"/>
        </w:rPr>
      </w:pPr>
      <w:r w:rsidRPr="00B258EE">
        <w:rPr>
          <w:sz w:val="20"/>
          <w:szCs w:val="20"/>
        </w:rPr>
        <w:t>A</w:t>
      </w:r>
      <w:r w:rsidR="001A232F" w:rsidRPr="00B258EE">
        <w:rPr>
          <w:sz w:val="20"/>
          <w:szCs w:val="20"/>
        </w:rPr>
        <w:t>merican Cancer Society. (2013). Breast Cancer.</w:t>
      </w:r>
      <w:r w:rsidRPr="00B258EE">
        <w:rPr>
          <w:rFonts w:hint="eastAsia"/>
          <w:sz w:val="20"/>
          <w:szCs w:val="20"/>
          <w:lang w:eastAsia="zh-CN"/>
        </w:rPr>
        <w:t xml:space="preserve"> </w:t>
      </w:r>
      <w:hyperlink r:id="rId26" w:history="1">
        <w:r w:rsidR="00743C30" w:rsidRPr="00B258EE">
          <w:rPr>
            <w:rStyle w:val="Hyperlink"/>
            <w:sz w:val="20"/>
            <w:szCs w:val="20"/>
          </w:rPr>
          <w:t>http://www.cancer.org/cancer/</w:t>
        </w:r>
      </w:hyperlink>
    </w:p>
    <w:p w:rsidR="009C702A" w:rsidRPr="00B258EE" w:rsidRDefault="009C702A" w:rsidP="009C702A">
      <w:pPr>
        <w:pStyle w:val="ListParagraph"/>
        <w:numPr>
          <w:ilvl w:val="0"/>
          <w:numId w:val="6"/>
        </w:numPr>
        <w:suppressAutoHyphens w:val="0"/>
        <w:snapToGrid w:val="0"/>
        <w:jc w:val="both"/>
        <w:rPr>
          <w:sz w:val="20"/>
          <w:szCs w:val="20"/>
          <w:lang w:eastAsia="zh-CN"/>
        </w:rPr>
      </w:pPr>
      <w:proofErr w:type="spellStart"/>
      <w:r w:rsidRPr="00B258EE">
        <w:rPr>
          <w:sz w:val="20"/>
          <w:szCs w:val="20"/>
        </w:rPr>
        <w:t>C</w:t>
      </w:r>
      <w:r w:rsidR="005D0765" w:rsidRPr="00B258EE">
        <w:rPr>
          <w:sz w:val="20"/>
          <w:szCs w:val="20"/>
        </w:rPr>
        <w:t>hia</w:t>
      </w:r>
      <w:proofErr w:type="spellEnd"/>
      <w:r w:rsidR="005D0765" w:rsidRPr="00B258EE">
        <w:rPr>
          <w:sz w:val="20"/>
          <w:szCs w:val="20"/>
        </w:rPr>
        <w:t xml:space="preserve">, K. S., Du, W. B., </w:t>
      </w:r>
      <w:proofErr w:type="spellStart"/>
      <w:r w:rsidR="005D0765" w:rsidRPr="00B258EE">
        <w:rPr>
          <w:sz w:val="20"/>
          <w:szCs w:val="20"/>
        </w:rPr>
        <w:t>Sankaranarayanan</w:t>
      </w:r>
      <w:proofErr w:type="spellEnd"/>
      <w:r w:rsidR="005D0765" w:rsidRPr="00B258EE">
        <w:rPr>
          <w:sz w:val="20"/>
          <w:szCs w:val="20"/>
        </w:rPr>
        <w:t xml:space="preserve">, R., </w:t>
      </w:r>
      <w:proofErr w:type="spellStart"/>
      <w:r w:rsidR="005D0765" w:rsidRPr="00B258EE">
        <w:rPr>
          <w:sz w:val="20"/>
          <w:szCs w:val="20"/>
        </w:rPr>
        <w:t>Sankila</w:t>
      </w:r>
      <w:proofErr w:type="spellEnd"/>
      <w:r w:rsidR="005D0765" w:rsidRPr="00B258EE">
        <w:rPr>
          <w:sz w:val="20"/>
          <w:szCs w:val="20"/>
        </w:rPr>
        <w:t xml:space="preserve">, R., Wang, H., Lee, J., </w:t>
      </w:r>
      <w:proofErr w:type="spellStart"/>
      <w:r w:rsidR="005D0765" w:rsidRPr="00B258EE">
        <w:rPr>
          <w:sz w:val="20"/>
          <w:szCs w:val="20"/>
        </w:rPr>
        <w:t>Seow</w:t>
      </w:r>
      <w:proofErr w:type="spellEnd"/>
      <w:r w:rsidR="005D0765" w:rsidRPr="00B258EE">
        <w:rPr>
          <w:sz w:val="20"/>
          <w:szCs w:val="20"/>
        </w:rPr>
        <w:t>, A.,</w:t>
      </w:r>
      <w:r w:rsidRPr="00B258EE">
        <w:rPr>
          <w:sz w:val="20"/>
          <w:szCs w:val="20"/>
        </w:rPr>
        <w:t xml:space="preserve"> a</w:t>
      </w:r>
      <w:r w:rsidR="005D0765" w:rsidRPr="00B258EE">
        <w:rPr>
          <w:sz w:val="20"/>
          <w:szCs w:val="20"/>
        </w:rPr>
        <w:t>nd Lee, H. P. (2004). Do younger female breast cancer patients have a poorer prognosis?</w:t>
      </w:r>
      <w:r w:rsidR="00707096" w:rsidRPr="00B258EE">
        <w:rPr>
          <w:sz w:val="20"/>
          <w:szCs w:val="20"/>
        </w:rPr>
        <w:t xml:space="preserve"> Results </w:t>
      </w:r>
      <w:r w:rsidR="005D0765" w:rsidRPr="00B258EE">
        <w:rPr>
          <w:sz w:val="20"/>
          <w:szCs w:val="20"/>
        </w:rPr>
        <w:t>from a population-based survival analysis. International journal of cancer, 108:761-765.</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rPr>
        <w:t>C</w:t>
      </w:r>
      <w:r w:rsidR="000E5C88" w:rsidRPr="00B258EE">
        <w:rPr>
          <w:sz w:val="20"/>
          <w:szCs w:val="20"/>
        </w:rPr>
        <w:t>hung, M., Chang, H. R., Bland, K. I., and</w:t>
      </w:r>
      <w:r w:rsidRPr="00B258EE">
        <w:rPr>
          <w:sz w:val="20"/>
          <w:szCs w:val="20"/>
        </w:rPr>
        <w:t xml:space="preserve"> </w:t>
      </w:r>
      <w:proofErr w:type="spellStart"/>
      <w:r w:rsidRPr="00B258EE">
        <w:rPr>
          <w:sz w:val="20"/>
          <w:szCs w:val="20"/>
        </w:rPr>
        <w:t>W</w:t>
      </w:r>
      <w:r w:rsidR="000E5C88" w:rsidRPr="00B258EE">
        <w:rPr>
          <w:sz w:val="20"/>
          <w:szCs w:val="20"/>
        </w:rPr>
        <w:t>anebo</w:t>
      </w:r>
      <w:proofErr w:type="spellEnd"/>
      <w:r w:rsidR="000E5C88" w:rsidRPr="00B258EE">
        <w:rPr>
          <w:sz w:val="20"/>
          <w:szCs w:val="20"/>
        </w:rPr>
        <w:t>, H. J. (1996). Younger women with</w:t>
      </w:r>
      <w:r w:rsidRPr="00B258EE">
        <w:rPr>
          <w:sz w:val="20"/>
          <w:szCs w:val="20"/>
        </w:rPr>
        <w:t xml:space="preserve"> b</w:t>
      </w:r>
      <w:r w:rsidR="000E5C88" w:rsidRPr="00B258EE">
        <w:rPr>
          <w:sz w:val="20"/>
          <w:szCs w:val="20"/>
        </w:rPr>
        <w:t>reast carcinoma have a poorer prognosis than older women. Cancer, 77:97-103.</w:t>
      </w:r>
    </w:p>
    <w:p w:rsidR="009C702A" w:rsidRPr="00B258EE" w:rsidRDefault="009C702A" w:rsidP="009C702A">
      <w:pPr>
        <w:pStyle w:val="ListParagraph"/>
        <w:numPr>
          <w:ilvl w:val="0"/>
          <w:numId w:val="6"/>
        </w:numPr>
        <w:suppressAutoHyphens w:val="0"/>
        <w:autoSpaceDE w:val="0"/>
        <w:autoSpaceDN w:val="0"/>
        <w:adjustRightInd w:val="0"/>
        <w:snapToGrid w:val="0"/>
        <w:jc w:val="both"/>
        <w:rPr>
          <w:sz w:val="20"/>
          <w:szCs w:val="20"/>
          <w:lang w:eastAsia="zh-CN"/>
        </w:rPr>
      </w:pPr>
      <w:proofErr w:type="spellStart"/>
      <w:r w:rsidRPr="00B258EE">
        <w:rPr>
          <w:sz w:val="20"/>
          <w:szCs w:val="20"/>
        </w:rPr>
        <w:t>C</w:t>
      </w:r>
      <w:r w:rsidR="000E5C88" w:rsidRPr="00B258EE">
        <w:rPr>
          <w:sz w:val="20"/>
          <w:szCs w:val="20"/>
        </w:rPr>
        <w:t>olleoni</w:t>
      </w:r>
      <w:proofErr w:type="spellEnd"/>
      <w:r w:rsidR="000E5C88" w:rsidRPr="00B258EE">
        <w:rPr>
          <w:sz w:val="20"/>
          <w:szCs w:val="20"/>
        </w:rPr>
        <w:t xml:space="preserve">, M., </w:t>
      </w:r>
      <w:proofErr w:type="spellStart"/>
      <w:r w:rsidR="000E5C88" w:rsidRPr="00B258EE">
        <w:rPr>
          <w:sz w:val="20"/>
          <w:szCs w:val="20"/>
        </w:rPr>
        <w:t>Rotmensz</w:t>
      </w:r>
      <w:proofErr w:type="spellEnd"/>
      <w:r w:rsidR="000E5C88" w:rsidRPr="00B258EE">
        <w:rPr>
          <w:sz w:val="20"/>
          <w:szCs w:val="20"/>
        </w:rPr>
        <w:t xml:space="preserve">, N., Robertson, C., Orlando, L., </w:t>
      </w:r>
      <w:proofErr w:type="spellStart"/>
      <w:r w:rsidR="000E5C88" w:rsidRPr="00B258EE">
        <w:rPr>
          <w:sz w:val="20"/>
          <w:szCs w:val="20"/>
        </w:rPr>
        <w:t>Viale</w:t>
      </w:r>
      <w:proofErr w:type="spellEnd"/>
      <w:r w:rsidR="000E5C88" w:rsidRPr="00B258EE">
        <w:rPr>
          <w:sz w:val="20"/>
          <w:szCs w:val="20"/>
        </w:rPr>
        <w:t xml:space="preserve">, G., </w:t>
      </w:r>
      <w:proofErr w:type="spellStart"/>
      <w:r w:rsidR="000E5C88" w:rsidRPr="00B258EE">
        <w:rPr>
          <w:sz w:val="20"/>
          <w:szCs w:val="20"/>
        </w:rPr>
        <w:t>Renne</w:t>
      </w:r>
      <w:proofErr w:type="spellEnd"/>
      <w:r w:rsidR="000E5C88" w:rsidRPr="00B258EE">
        <w:rPr>
          <w:sz w:val="20"/>
          <w:szCs w:val="20"/>
        </w:rPr>
        <w:t xml:space="preserve">, G., </w:t>
      </w:r>
      <w:proofErr w:type="spellStart"/>
      <w:r w:rsidR="000E5C88" w:rsidRPr="00B258EE">
        <w:rPr>
          <w:sz w:val="20"/>
          <w:szCs w:val="20"/>
        </w:rPr>
        <w:t>Luini</w:t>
      </w:r>
      <w:proofErr w:type="spellEnd"/>
      <w:r w:rsidR="000E5C88" w:rsidRPr="00B258EE">
        <w:rPr>
          <w:sz w:val="20"/>
          <w:szCs w:val="20"/>
        </w:rPr>
        <w:t xml:space="preserve">, A., </w:t>
      </w:r>
      <w:proofErr w:type="spellStart"/>
      <w:r w:rsidR="000E5C88" w:rsidRPr="00B258EE">
        <w:rPr>
          <w:sz w:val="20"/>
          <w:szCs w:val="20"/>
        </w:rPr>
        <w:t>Veronesi</w:t>
      </w:r>
      <w:proofErr w:type="spellEnd"/>
      <w:r w:rsidR="000E5C88" w:rsidRPr="00B258EE">
        <w:rPr>
          <w:sz w:val="20"/>
          <w:szCs w:val="20"/>
        </w:rPr>
        <w:t xml:space="preserve">, P., Intra, M., and </w:t>
      </w:r>
      <w:proofErr w:type="spellStart"/>
      <w:r w:rsidR="000E5C88" w:rsidRPr="00B258EE">
        <w:rPr>
          <w:sz w:val="20"/>
          <w:szCs w:val="20"/>
        </w:rPr>
        <w:t>Orecchia</w:t>
      </w:r>
      <w:proofErr w:type="spellEnd"/>
      <w:r w:rsidR="000E5C88" w:rsidRPr="00B258EE">
        <w:rPr>
          <w:sz w:val="20"/>
          <w:szCs w:val="20"/>
        </w:rPr>
        <w:t>, R. (2002). Very young women (less than 35 years)</w:t>
      </w:r>
      <w:r w:rsidRPr="00B258EE">
        <w:rPr>
          <w:sz w:val="20"/>
          <w:szCs w:val="20"/>
        </w:rPr>
        <w:t xml:space="preserve"> w</w:t>
      </w:r>
      <w:r w:rsidR="000E5C88" w:rsidRPr="00B258EE">
        <w:rPr>
          <w:sz w:val="20"/>
          <w:szCs w:val="20"/>
        </w:rPr>
        <w:t>ith operable breast cancer: features of disease</w:t>
      </w:r>
      <w:r w:rsidRPr="00B258EE">
        <w:rPr>
          <w:sz w:val="20"/>
          <w:szCs w:val="20"/>
        </w:rPr>
        <w:t xml:space="preserve"> a</w:t>
      </w:r>
      <w:r w:rsidR="000E5C88" w:rsidRPr="00B258EE">
        <w:rPr>
          <w:sz w:val="20"/>
          <w:szCs w:val="20"/>
        </w:rPr>
        <w:t>t</w:t>
      </w:r>
      <w:r w:rsidRPr="00B258EE">
        <w:rPr>
          <w:sz w:val="20"/>
          <w:szCs w:val="20"/>
        </w:rPr>
        <w:t xml:space="preserve"> </w:t>
      </w:r>
      <w:r w:rsidR="000E5C88" w:rsidRPr="00B258EE">
        <w:rPr>
          <w:sz w:val="20"/>
          <w:szCs w:val="20"/>
        </w:rPr>
        <w:t xml:space="preserve">presentation. Ann </w:t>
      </w:r>
      <w:proofErr w:type="spellStart"/>
      <w:r w:rsidR="000E5C88" w:rsidRPr="00B258EE">
        <w:rPr>
          <w:sz w:val="20"/>
          <w:szCs w:val="20"/>
        </w:rPr>
        <w:t>Oncol</w:t>
      </w:r>
      <w:proofErr w:type="spellEnd"/>
      <w:r w:rsidR="000E5C88" w:rsidRPr="00B258EE">
        <w:rPr>
          <w:sz w:val="20"/>
          <w:szCs w:val="20"/>
        </w:rPr>
        <w:t>, 13:273-279.</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lang w:eastAsia="zh-CN"/>
        </w:rPr>
        <w:lastRenderedPageBreak/>
        <w:t>C</w:t>
      </w:r>
      <w:r w:rsidR="00FB6987" w:rsidRPr="00B258EE">
        <w:rPr>
          <w:sz w:val="20"/>
          <w:szCs w:val="20"/>
          <w:lang w:eastAsia="zh-CN"/>
        </w:rPr>
        <w:t>ox, D. R. (1972). Regression models and life</w:t>
      </w:r>
      <w:r w:rsidRPr="00B258EE">
        <w:rPr>
          <w:sz w:val="20"/>
          <w:szCs w:val="20"/>
          <w:lang w:eastAsia="zh-CN"/>
        </w:rPr>
        <w:t xml:space="preserve"> t</w:t>
      </w:r>
      <w:r w:rsidR="00FB6987" w:rsidRPr="00B258EE">
        <w:rPr>
          <w:sz w:val="20"/>
          <w:szCs w:val="20"/>
          <w:lang w:eastAsia="zh-CN"/>
        </w:rPr>
        <w:t>ables (with discussion). J. R. Statist</w:t>
      </w:r>
      <w:r w:rsidRPr="00B258EE">
        <w:rPr>
          <w:sz w:val="20"/>
          <w:szCs w:val="20"/>
          <w:lang w:eastAsia="zh-CN"/>
        </w:rPr>
        <w:t>. S</w:t>
      </w:r>
      <w:r w:rsidR="00FB6987" w:rsidRPr="00B258EE">
        <w:rPr>
          <w:sz w:val="20"/>
          <w:szCs w:val="20"/>
          <w:lang w:eastAsia="zh-CN"/>
        </w:rPr>
        <w:t>oc. B,</w:t>
      </w:r>
      <w:r w:rsidRPr="00B258EE">
        <w:rPr>
          <w:sz w:val="20"/>
          <w:szCs w:val="20"/>
          <w:lang w:eastAsia="zh-CN"/>
        </w:rPr>
        <w:t xml:space="preserve"> 3</w:t>
      </w:r>
      <w:r w:rsidR="00FB6987" w:rsidRPr="00B258EE">
        <w:rPr>
          <w:sz w:val="20"/>
          <w:szCs w:val="20"/>
          <w:lang w:eastAsia="zh-CN"/>
        </w:rPr>
        <w:t>4:187-220.</w:t>
      </w:r>
    </w:p>
    <w:p w:rsidR="009C702A" w:rsidRPr="00B258EE" w:rsidRDefault="009C702A" w:rsidP="009C702A">
      <w:pPr>
        <w:pStyle w:val="ListParagraph"/>
        <w:numPr>
          <w:ilvl w:val="0"/>
          <w:numId w:val="6"/>
        </w:numPr>
        <w:suppressAutoHyphens w:val="0"/>
        <w:snapToGrid w:val="0"/>
        <w:jc w:val="both"/>
        <w:rPr>
          <w:sz w:val="20"/>
          <w:szCs w:val="20"/>
          <w:lang w:eastAsia="zh-CN"/>
        </w:rPr>
      </w:pPr>
      <w:proofErr w:type="spellStart"/>
      <w:r w:rsidRPr="00B258EE">
        <w:rPr>
          <w:sz w:val="20"/>
          <w:szCs w:val="20"/>
        </w:rPr>
        <w:t>E</w:t>
      </w:r>
      <w:r w:rsidR="007D6D78" w:rsidRPr="00B258EE">
        <w:rPr>
          <w:sz w:val="20"/>
          <w:szCs w:val="20"/>
        </w:rPr>
        <w:t>lkum</w:t>
      </w:r>
      <w:proofErr w:type="spellEnd"/>
      <w:r w:rsidR="007D6D78" w:rsidRPr="00B258EE">
        <w:rPr>
          <w:sz w:val="20"/>
          <w:szCs w:val="20"/>
        </w:rPr>
        <w:t xml:space="preserve">, N., </w:t>
      </w:r>
      <w:proofErr w:type="spellStart"/>
      <w:r w:rsidR="007D6D78" w:rsidRPr="00B258EE">
        <w:rPr>
          <w:sz w:val="20"/>
          <w:szCs w:val="20"/>
        </w:rPr>
        <w:t>Dermime</w:t>
      </w:r>
      <w:proofErr w:type="spellEnd"/>
      <w:r w:rsidR="007D6D78" w:rsidRPr="00B258EE">
        <w:rPr>
          <w:sz w:val="20"/>
          <w:szCs w:val="20"/>
        </w:rPr>
        <w:t xml:space="preserve">, S., </w:t>
      </w:r>
      <w:proofErr w:type="spellStart"/>
      <w:r w:rsidR="007D6D78" w:rsidRPr="00B258EE">
        <w:rPr>
          <w:sz w:val="20"/>
          <w:szCs w:val="20"/>
        </w:rPr>
        <w:t>Ajarim</w:t>
      </w:r>
      <w:proofErr w:type="spellEnd"/>
      <w:r w:rsidR="007D6D78" w:rsidRPr="00B258EE">
        <w:rPr>
          <w:sz w:val="20"/>
          <w:szCs w:val="20"/>
        </w:rPr>
        <w:t>, D., Al-</w:t>
      </w:r>
      <w:proofErr w:type="spellStart"/>
      <w:r w:rsidR="007D6D78" w:rsidRPr="00B258EE">
        <w:rPr>
          <w:sz w:val="20"/>
          <w:szCs w:val="20"/>
        </w:rPr>
        <w:t>Zahrani</w:t>
      </w:r>
      <w:proofErr w:type="spellEnd"/>
      <w:r w:rsidR="007D6D78" w:rsidRPr="00B258EE">
        <w:rPr>
          <w:sz w:val="20"/>
          <w:szCs w:val="20"/>
        </w:rPr>
        <w:t>,</w:t>
      </w:r>
      <w:r w:rsidRPr="00B258EE">
        <w:rPr>
          <w:sz w:val="20"/>
          <w:szCs w:val="20"/>
        </w:rPr>
        <w:t xml:space="preserve"> A</w:t>
      </w:r>
      <w:r w:rsidR="007D6D78" w:rsidRPr="00B258EE">
        <w:rPr>
          <w:sz w:val="20"/>
          <w:szCs w:val="20"/>
        </w:rPr>
        <w:t xml:space="preserve">., and </w:t>
      </w:r>
      <w:proofErr w:type="spellStart"/>
      <w:r w:rsidR="007D6D78" w:rsidRPr="00B258EE">
        <w:rPr>
          <w:sz w:val="20"/>
          <w:szCs w:val="20"/>
        </w:rPr>
        <w:t>Alsayed</w:t>
      </w:r>
      <w:proofErr w:type="spellEnd"/>
      <w:r w:rsidR="007D6D78" w:rsidRPr="00B258EE">
        <w:rPr>
          <w:sz w:val="20"/>
          <w:szCs w:val="20"/>
        </w:rPr>
        <w:t>, A. (2007). Being 40 or younger is</w:t>
      </w:r>
      <w:r w:rsidRPr="00B258EE">
        <w:rPr>
          <w:sz w:val="20"/>
          <w:szCs w:val="20"/>
        </w:rPr>
        <w:t xml:space="preserve"> a</w:t>
      </w:r>
      <w:r w:rsidR="007D6D78" w:rsidRPr="00B258EE">
        <w:rPr>
          <w:sz w:val="20"/>
          <w:szCs w:val="20"/>
        </w:rPr>
        <w:t>n</w:t>
      </w:r>
      <w:r w:rsidRPr="00B258EE">
        <w:rPr>
          <w:sz w:val="20"/>
          <w:szCs w:val="20"/>
        </w:rPr>
        <w:t xml:space="preserve"> </w:t>
      </w:r>
      <w:r w:rsidR="007D6D78" w:rsidRPr="00B258EE">
        <w:rPr>
          <w:sz w:val="20"/>
          <w:szCs w:val="20"/>
        </w:rPr>
        <w:t>independent risk factor for relapse in</w:t>
      </w:r>
      <w:r w:rsidRPr="00B258EE">
        <w:rPr>
          <w:sz w:val="20"/>
          <w:szCs w:val="20"/>
        </w:rPr>
        <w:t xml:space="preserve"> o</w:t>
      </w:r>
      <w:r w:rsidR="007D6D78" w:rsidRPr="00B258EE">
        <w:rPr>
          <w:sz w:val="20"/>
          <w:szCs w:val="20"/>
        </w:rPr>
        <w:t>perable breast cancer patients: the Saudi Arabia</w:t>
      </w:r>
      <w:r w:rsidRPr="00B258EE">
        <w:rPr>
          <w:sz w:val="20"/>
          <w:szCs w:val="20"/>
        </w:rPr>
        <w:t xml:space="preserve"> e</w:t>
      </w:r>
      <w:r w:rsidR="007D6D78" w:rsidRPr="00B258EE">
        <w:rPr>
          <w:sz w:val="20"/>
          <w:szCs w:val="20"/>
        </w:rPr>
        <w:t>xperience. BMC Cancer, 7:222.</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rPr>
        <w:t xml:space="preserve">El </w:t>
      </w:r>
      <w:proofErr w:type="spellStart"/>
      <w:r w:rsidRPr="00B258EE">
        <w:rPr>
          <w:sz w:val="20"/>
          <w:szCs w:val="20"/>
        </w:rPr>
        <w:t>S</w:t>
      </w:r>
      <w:r w:rsidR="00DE4323" w:rsidRPr="00B258EE">
        <w:rPr>
          <w:sz w:val="20"/>
          <w:szCs w:val="20"/>
        </w:rPr>
        <w:t>aghir</w:t>
      </w:r>
      <w:proofErr w:type="spellEnd"/>
      <w:r w:rsidR="00DE4323" w:rsidRPr="00B258EE">
        <w:rPr>
          <w:sz w:val="20"/>
          <w:szCs w:val="20"/>
        </w:rPr>
        <w:t xml:space="preserve">, N. S., </w:t>
      </w:r>
      <w:proofErr w:type="spellStart"/>
      <w:r w:rsidR="00DE4323" w:rsidRPr="00B258EE">
        <w:rPr>
          <w:sz w:val="20"/>
          <w:szCs w:val="20"/>
        </w:rPr>
        <w:t>Seoud</w:t>
      </w:r>
      <w:proofErr w:type="spellEnd"/>
      <w:r w:rsidR="00DE4323" w:rsidRPr="00B258EE">
        <w:rPr>
          <w:sz w:val="20"/>
          <w:szCs w:val="20"/>
        </w:rPr>
        <w:t xml:space="preserve">, M., </w:t>
      </w:r>
      <w:proofErr w:type="spellStart"/>
      <w:r w:rsidR="00DE4323" w:rsidRPr="00B258EE">
        <w:rPr>
          <w:sz w:val="20"/>
          <w:szCs w:val="20"/>
        </w:rPr>
        <w:t>Khalil</w:t>
      </w:r>
      <w:proofErr w:type="spellEnd"/>
      <w:r w:rsidR="00DE4323" w:rsidRPr="00B258EE">
        <w:rPr>
          <w:sz w:val="20"/>
          <w:szCs w:val="20"/>
        </w:rPr>
        <w:t>, M. K.,</w:t>
      </w:r>
      <w:r w:rsidRPr="00B258EE">
        <w:rPr>
          <w:sz w:val="20"/>
          <w:szCs w:val="20"/>
        </w:rPr>
        <w:t xml:space="preserve"> </w:t>
      </w:r>
      <w:proofErr w:type="spellStart"/>
      <w:r w:rsidRPr="00B258EE">
        <w:rPr>
          <w:sz w:val="20"/>
          <w:szCs w:val="20"/>
        </w:rPr>
        <w:t>C</w:t>
      </w:r>
      <w:r w:rsidR="00DE4323" w:rsidRPr="00B258EE">
        <w:rPr>
          <w:sz w:val="20"/>
          <w:szCs w:val="20"/>
        </w:rPr>
        <w:t>harafeddine</w:t>
      </w:r>
      <w:proofErr w:type="spellEnd"/>
      <w:r w:rsidR="00DE4323" w:rsidRPr="00B258EE">
        <w:rPr>
          <w:sz w:val="20"/>
          <w:szCs w:val="20"/>
        </w:rPr>
        <w:t xml:space="preserve">, M., Salem, Z. K., and </w:t>
      </w:r>
      <w:proofErr w:type="spellStart"/>
      <w:r w:rsidR="00DE4323" w:rsidRPr="00B258EE">
        <w:rPr>
          <w:sz w:val="20"/>
          <w:szCs w:val="20"/>
        </w:rPr>
        <w:t>Geara</w:t>
      </w:r>
      <w:proofErr w:type="spellEnd"/>
      <w:r w:rsidR="00DE4323" w:rsidRPr="00B258EE">
        <w:rPr>
          <w:sz w:val="20"/>
          <w:szCs w:val="20"/>
        </w:rPr>
        <w:t>, F. B.</w:t>
      </w:r>
      <w:r w:rsidRPr="00B258EE">
        <w:rPr>
          <w:sz w:val="20"/>
          <w:szCs w:val="20"/>
        </w:rPr>
        <w:t xml:space="preserve"> (</w:t>
      </w:r>
      <w:r w:rsidR="00DE4323" w:rsidRPr="00B258EE">
        <w:rPr>
          <w:sz w:val="20"/>
          <w:szCs w:val="20"/>
        </w:rPr>
        <w:t>2006)</w:t>
      </w:r>
      <w:r w:rsidRPr="00B258EE">
        <w:rPr>
          <w:sz w:val="20"/>
          <w:szCs w:val="20"/>
        </w:rPr>
        <w:t>. E</w:t>
      </w:r>
      <w:r w:rsidR="00DE4323" w:rsidRPr="00B258EE">
        <w:rPr>
          <w:sz w:val="20"/>
          <w:szCs w:val="20"/>
        </w:rPr>
        <w:t>ffects of young age at presentation on</w:t>
      </w:r>
      <w:r w:rsidRPr="00B258EE">
        <w:rPr>
          <w:sz w:val="20"/>
          <w:szCs w:val="20"/>
        </w:rPr>
        <w:t xml:space="preserve"> s</w:t>
      </w:r>
      <w:r w:rsidR="00DE4323" w:rsidRPr="00B258EE">
        <w:rPr>
          <w:sz w:val="20"/>
          <w:szCs w:val="20"/>
        </w:rPr>
        <w:t>urvival in breast cancer. BMC Cancer,</w:t>
      </w:r>
      <w:r w:rsidRPr="00B258EE">
        <w:rPr>
          <w:sz w:val="20"/>
          <w:szCs w:val="20"/>
        </w:rPr>
        <w:t xml:space="preserve"> </w:t>
      </w:r>
      <w:r w:rsidR="00DE4323" w:rsidRPr="00B258EE">
        <w:rPr>
          <w:sz w:val="20"/>
          <w:szCs w:val="20"/>
        </w:rPr>
        <w:t>6:194.</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rPr>
        <w:t>H</w:t>
      </w:r>
      <w:r w:rsidR="00DB12BC" w:rsidRPr="00B258EE">
        <w:rPr>
          <w:sz w:val="20"/>
          <w:szCs w:val="20"/>
        </w:rPr>
        <w:t>an, W., Kim, S. W., Park, I. A., Kang, D., Kim, S.</w:t>
      </w:r>
      <w:r w:rsidRPr="00B258EE">
        <w:rPr>
          <w:sz w:val="20"/>
          <w:szCs w:val="20"/>
        </w:rPr>
        <w:t xml:space="preserve"> W</w:t>
      </w:r>
      <w:r w:rsidR="00DB12BC" w:rsidRPr="00B258EE">
        <w:rPr>
          <w:sz w:val="20"/>
          <w:szCs w:val="20"/>
        </w:rPr>
        <w:t xml:space="preserve">., </w:t>
      </w:r>
      <w:proofErr w:type="spellStart"/>
      <w:r w:rsidR="00DB12BC" w:rsidRPr="00B258EE">
        <w:rPr>
          <w:sz w:val="20"/>
          <w:szCs w:val="20"/>
        </w:rPr>
        <w:t>Youn</w:t>
      </w:r>
      <w:proofErr w:type="spellEnd"/>
      <w:r w:rsidR="00DB12BC" w:rsidRPr="00B258EE">
        <w:rPr>
          <w:sz w:val="20"/>
          <w:szCs w:val="20"/>
        </w:rPr>
        <w:t xml:space="preserve">, Y. K., Oh, S. K., </w:t>
      </w:r>
      <w:proofErr w:type="spellStart"/>
      <w:r w:rsidR="00DB12BC" w:rsidRPr="00B258EE">
        <w:rPr>
          <w:sz w:val="20"/>
          <w:szCs w:val="20"/>
        </w:rPr>
        <w:t>Choe</w:t>
      </w:r>
      <w:proofErr w:type="spellEnd"/>
      <w:r w:rsidR="00DB12BC" w:rsidRPr="00B258EE">
        <w:rPr>
          <w:sz w:val="20"/>
          <w:szCs w:val="20"/>
        </w:rPr>
        <w:t>, K. J., and Noh,</w:t>
      </w:r>
      <w:r w:rsidRPr="00B258EE">
        <w:rPr>
          <w:sz w:val="20"/>
          <w:szCs w:val="20"/>
        </w:rPr>
        <w:t xml:space="preserve"> D</w:t>
      </w:r>
      <w:r w:rsidR="00DB12BC" w:rsidRPr="00B258EE">
        <w:rPr>
          <w:sz w:val="20"/>
          <w:szCs w:val="20"/>
        </w:rPr>
        <w:t>. Y. (2004). Young age: an independent risk factor</w:t>
      </w:r>
      <w:r w:rsidRPr="00B258EE">
        <w:rPr>
          <w:sz w:val="20"/>
          <w:szCs w:val="20"/>
        </w:rPr>
        <w:t xml:space="preserve"> f</w:t>
      </w:r>
      <w:r w:rsidR="00DB12BC" w:rsidRPr="00B258EE">
        <w:rPr>
          <w:sz w:val="20"/>
          <w:szCs w:val="20"/>
        </w:rPr>
        <w:t>or disease-free survival in women with operable</w:t>
      </w:r>
      <w:r w:rsidRPr="00B258EE">
        <w:rPr>
          <w:sz w:val="20"/>
          <w:szCs w:val="20"/>
        </w:rPr>
        <w:t xml:space="preserve"> b</w:t>
      </w:r>
      <w:r w:rsidR="00DB12BC" w:rsidRPr="00B258EE">
        <w:rPr>
          <w:sz w:val="20"/>
          <w:szCs w:val="20"/>
        </w:rPr>
        <w:t>reast cancer. BMC cancer, 4:82.</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rPr>
        <w:t>I</w:t>
      </w:r>
      <w:r w:rsidR="00B742D0" w:rsidRPr="00B258EE">
        <w:rPr>
          <w:sz w:val="20"/>
          <w:szCs w:val="20"/>
        </w:rPr>
        <w:t xml:space="preserve">brahim, E. M., </w:t>
      </w:r>
      <w:proofErr w:type="spellStart"/>
      <w:r w:rsidR="00B742D0" w:rsidRPr="00B258EE">
        <w:rPr>
          <w:sz w:val="20"/>
          <w:szCs w:val="20"/>
        </w:rPr>
        <w:t>Zeeneldin</w:t>
      </w:r>
      <w:proofErr w:type="spellEnd"/>
      <w:r w:rsidR="00B742D0" w:rsidRPr="00B258EE">
        <w:rPr>
          <w:sz w:val="20"/>
          <w:szCs w:val="20"/>
        </w:rPr>
        <w:t xml:space="preserve">, A. A., </w:t>
      </w:r>
      <w:proofErr w:type="spellStart"/>
      <w:r w:rsidR="00B742D0" w:rsidRPr="00B258EE">
        <w:rPr>
          <w:sz w:val="20"/>
          <w:szCs w:val="20"/>
        </w:rPr>
        <w:t>Sadiq</w:t>
      </w:r>
      <w:proofErr w:type="spellEnd"/>
      <w:r w:rsidR="00B742D0" w:rsidRPr="00B258EE">
        <w:rPr>
          <w:sz w:val="20"/>
          <w:szCs w:val="20"/>
        </w:rPr>
        <w:t>, B. B., and</w:t>
      </w:r>
      <w:r w:rsidRPr="00B258EE">
        <w:rPr>
          <w:sz w:val="20"/>
          <w:szCs w:val="20"/>
        </w:rPr>
        <w:t xml:space="preserve"> </w:t>
      </w:r>
      <w:proofErr w:type="spellStart"/>
      <w:r w:rsidRPr="00B258EE">
        <w:rPr>
          <w:sz w:val="20"/>
          <w:szCs w:val="20"/>
        </w:rPr>
        <w:t>E</w:t>
      </w:r>
      <w:r w:rsidR="00B742D0" w:rsidRPr="00B258EE">
        <w:rPr>
          <w:sz w:val="20"/>
          <w:szCs w:val="20"/>
        </w:rPr>
        <w:t>zzat</w:t>
      </w:r>
      <w:proofErr w:type="spellEnd"/>
      <w:r w:rsidR="00B742D0" w:rsidRPr="00B258EE">
        <w:rPr>
          <w:sz w:val="20"/>
          <w:szCs w:val="20"/>
        </w:rPr>
        <w:t>, A. A. (2008). The present and the future of</w:t>
      </w:r>
      <w:r w:rsidRPr="00B258EE">
        <w:rPr>
          <w:sz w:val="20"/>
          <w:szCs w:val="20"/>
        </w:rPr>
        <w:t xml:space="preserve"> b</w:t>
      </w:r>
      <w:r w:rsidR="00B742D0" w:rsidRPr="00B258EE">
        <w:rPr>
          <w:sz w:val="20"/>
          <w:szCs w:val="20"/>
        </w:rPr>
        <w:t>reast cancer burden in the kingdom of Saudi</w:t>
      </w:r>
      <w:r w:rsidRPr="00B258EE">
        <w:rPr>
          <w:sz w:val="20"/>
          <w:szCs w:val="20"/>
        </w:rPr>
        <w:t xml:space="preserve"> A</w:t>
      </w:r>
      <w:r w:rsidR="00B742D0" w:rsidRPr="00B258EE">
        <w:rPr>
          <w:sz w:val="20"/>
          <w:szCs w:val="20"/>
        </w:rPr>
        <w:t xml:space="preserve">rabia. Med </w:t>
      </w:r>
      <w:proofErr w:type="spellStart"/>
      <w:r w:rsidR="00B742D0" w:rsidRPr="00B258EE">
        <w:rPr>
          <w:sz w:val="20"/>
          <w:szCs w:val="20"/>
        </w:rPr>
        <w:t>Oncol</w:t>
      </w:r>
      <w:proofErr w:type="spellEnd"/>
      <w:r w:rsidR="00B742D0" w:rsidRPr="00B258EE">
        <w:rPr>
          <w:sz w:val="20"/>
          <w:szCs w:val="20"/>
        </w:rPr>
        <w:t>, 25:387-393.</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rPr>
        <w:t>K</w:t>
      </w:r>
      <w:r w:rsidR="00530A2F" w:rsidRPr="00B258EE">
        <w:rPr>
          <w:sz w:val="20"/>
          <w:szCs w:val="20"/>
        </w:rPr>
        <w:t>aplan, E. L. and Meier, P. (1958). Nonparametric</w:t>
      </w:r>
      <w:r w:rsidRPr="00B258EE">
        <w:rPr>
          <w:sz w:val="20"/>
          <w:szCs w:val="20"/>
        </w:rPr>
        <w:t xml:space="preserve"> e</w:t>
      </w:r>
      <w:r w:rsidR="00530A2F" w:rsidRPr="00B258EE">
        <w:rPr>
          <w:sz w:val="20"/>
          <w:szCs w:val="20"/>
        </w:rPr>
        <w:t xml:space="preserve">stimation from </w:t>
      </w:r>
      <w:proofErr w:type="spellStart"/>
      <w:r w:rsidR="00530A2F" w:rsidRPr="00B258EE">
        <w:rPr>
          <w:sz w:val="20"/>
          <w:szCs w:val="20"/>
        </w:rPr>
        <w:t>incomp</w:t>
      </w:r>
      <w:proofErr w:type="spellEnd"/>
      <w:r w:rsidR="00530A2F" w:rsidRPr="00B258EE">
        <w:rPr>
          <w:sz w:val="20"/>
          <w:szCs w:val="20"/>
        </w:rPr>
        <w:t xml:space="preserve"> </w:t>
      </w:r>
      <w:proofErr w:type="spellStart"/>
      <w:r w:rsidR="00530A2F" w:rsidRPr="00B258EE">
        <w:rPr>
          <w:sz w:val="20"/>
          <w:szCs w:val="20"/>
        </w:rPr>
        <w:t>lete</w:t>
      </w:r>
      <w:proofErr w:type="spellEnd"/>
      <w:r w:rsidR="00530A2F" w:rsidRPr="00B258EE">
        <w:rPr>
          <w:sz w:val="20"/>
          <w:szCs w:val="20"/>
        </w:rPr>
        <w:t xml:space="preserve"> observations.</w:t>
      </w:r>
      <w:r w:rsidRPr="00B258EE">
        <w:rPr>
          <w:sz w:val="20"/>
          <w:szCs w:val="20"/>
        </w:rPr>
        <w:t xml:space="preserve"> J</w:t>
      </w:r>
      <w:r w:rsidR="00530A2F" w:rsidRPr="00B258EE">
        <w:rPr>
          <w:sz w:val="20"/>
          <w:szCs w:val="20"/>
        </w:rPr>
        <w:t xml:space="preserve"> Am Statist Assn, 53:457-481.</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rPr>
        <w:t>K</w:t>
      </w:r>
      <w:r w:rsidR="00EE21EC" w:rsidRPr="00B258EE">
        <w:rPr>
          <w:sz w:val="20"/>
          <w:szCs w:val="20"/>
        </w:rPr>
        <w:t>han</w:t>
      </w:r>
      <w:r w:rsidR="00B258EE">
        <w:rPr>
          <w:rFonts w:hint="eastAsia"/>
          <w:sz w:val="20"/>
          <w:szCs w:val="20"/>
          <w:lang w:eastAsia="zh-CN"/>
        </w:rPr>
        <w:t xml:space="preserve"> </w:t>
      </w:r>
      <w:r w:rsidR="00EE21EC" w:rsidRPr="00B258EE">
        <w:rPr>
          <w:sz w:val="20"/>
          <w:szCs w:val="20"/>
        </w:rPr>
        <w:t xml:space="preserve">r, A., </w:t>
      </w:r>
      <w:proofErr w:type="spellStart"/>
      <w:r w:rsidR="00EE21EC" w:rsidRPr="00B258EE">
        <w:rPr>
          <w:sz w:val="20"/>
          <w:szCs w:val="20"/>
        </w:rPr>
        <w:t>Frikha</w:t>
      </w:r>
      <w:proofErr w:type="spellEnd"/>
      <w:r w:rsidR="00EE21EC" w:rsidRPr="00B258EE">
        <w:rPr>
          <w:sz w:val="20"/>
          <w:szCs w:val="20"/>
        </w:rPr>
        <w:t xml:space="preserve">, M., </w:t>
      </w:r>
      <w:proofErr w:type="spellStart"/>
      <w:r w:rsidR="00EE21EC" w:rsidRPr="00B258EE">
        <w:rPr>
          <w:sz w:val="20"/>
          <w:szCs w:val="20"/>
        </w:rPr>
        <w:t>Kallel</w:t>
      </w:r>
      <w:proofErr w:type="spellEnd"/>
      <w:r w:rsidR="00EE21EC" w:rsidRPr="00B258EE">
        <w:rPr>
          <w:sz w:val="20"/>
          <w:szCs w:val="20"/>
        </w:rPr>
        <w:t xml:space="preserve">, F., </w:t>
      </w:r>
      <w:proofErr w:type="spellStart"/>
      <w:r w:rsidR="00EE21EC" w:rsidRPr="00B258EE">
        <w:rPr>
          <w:sz w:val="20"/>
          <w:szCs w:val="20"/>
        </w:rPr>
        <w:t>Meziou</w:t>
      </w:r>
      <w:proofErr w:type="spellEnd"/>
      <w:r w:rsidR="00EE21EC" w:rsidRPr="00B258EE">
        <w:rPr>
          <w:sz w:val="20"/>
          <w:szCs w:val="20"/>
        </w:rPr>
        <w:t>, M.,</w:t>
      </w:r>
      <w:r w:rsidRPr="00B258EE">
        <w:rPr>
          <w:sz w:val="20"/>
          <w:szCs w:val="20"/>
        </w:rPr>
        <w:t xml:space="preserve"> </w:t>
      </w:r>
      <w:proofErr w:type="spellStart"/>
      <w:r w:rsidRPr="00B258EE">
        <w:rPr>
          <w:sz w:val="20"/>
          <w:szCs w:val="20"/>
        </w:rPr>
        <w:t>T</w:t>
      </w:r>
      <w:r w:rsidR="00EE21EC" w:rsidRPr="00B258EE">
        <w:rPr>
          <w:sz w:val="20"/>
          <w:szCs w:val="20"/>
        </w:rPr>
        <w:t>rabelsi</w:t>
      </w:r>
      <w:proofErr w:type="spellEnd"/>
      <w:r w:rsidR="00EE21EC" w:rsidRPr="00B258EE">
        <w:rPr>
          <w:sz w:val="20"/>
          <w:szCs w:val="20"/>
        </w:rPr>
        <w:t xml:space="preserve">, K., </w:t>
      </w:r>
      <w:proofErr w:type="spellStart"/>
      <w:r w:rsidR="00EE21EC" w:rsidRPr="00B258EE">
        <w:rPr>
          <w:sz w:val="20"/>
          <w:szCs w:val="20"/>
        </w:rPr>
        <w:t>Boudawara</w:t>
      </w:r>
      <w:proofErr w:type="spellEnd"/>
      <w:r w:rsidR="00EE21EC" w:rsidRPr="00B258EE">
        <w:rPr>
          <w:sz w:val="20"/>
          <w:szCs w:val="20"/>
        </w:rPr>
        <w:t xml:space="preserve">, T., and </w:t>
      </w:r>
      <w:proofErr w:type="spellStart"/>
      <w:r w:rsidR="00EE21EC" w:rsidRPr="00B258EE">
        <w:rPr>
          <w:sz w:val="20"/>
          <w:szCs w:val="20"/>
        </w:rPr>
        <w:t>Mnif</w:t>
      </w:r>
      <w:proofErr w:type="spellEnd"/>
      <w:r w:rsidR="00EE21EC" w:rsidRPr="00B258EE">
        <w:rPr>
          <w:sz w:val="20"/>
          <w:szCs w:val="20"/>
        </w:rPr>
        <w:t>, J. (2006).</w:t>
      </w:r>
      <w:r w:rsidRPr="00B258EE">
        <w:rPr>
          <w:sz w:val="20"/>
          <w:szCs w:val="20"/>
        </w:rPr>
        <w:t xml:space="preserve"> B</w:t>
      </w:r>
      <w:r w:rsidR="00EE21EC" w:rsidRPr="00B258EE">
        <w:rPr>
          <w:sz w:val="20"/>
          <w:szCs w:val="20"/>
        </w:rPr>
        <w:t>reast cancer in young women in the south of</w:t>
      </w:r>
      <w:r w:rsidRPr="00B258EE">
        <w:rPr>
          <w:sz w:val="20"/>
          <w:szCs w:val="20"/>
        </w:rPr>
        <w:t xml:space="preserve"> </w:t>
      </w:r>
      <w:proofErr w:type="spellStart"/>
      <w:r w:rsidRPr="00B258EE">
        <w:rPr>
          <w:sz w:val="20"/>
          <w:szCs w:val="20"/>
        </w:rPr>
        <w:t>t</w:t>
      </w:r>
      <w:r w:rsidR="00EE21EC" w:rsidRPr="00B258EE">
        <w:rPr>
          <w:sz w:val="20"/>
          <w:szCs w:val="20"/>
        </w:rPr>
        <w:t>unisia</w:t>
      </w:r>
      <w:proofErr w:type="spellEnd"/>
      <w:r w:rsidR="00EE21EC" w:rsidRPr="00B258EE">
        <w:rPr>
          <w:sz w:val="20"/>
          <w:szCs w:val="20"/>
        </w:rPr>
        <w:t>. Cancer Radiother,10:565-571.</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lang w:eastAsia="zh-CN"/>
        </w:rPr>
        <w:t>L</w:t>
      </w:r>
      <w:r w:rsidR="00A87A5A" w:rsidRPr="00B258EE">
        <w:rPr>
          <w:sz w:val="20"/>
          <w:szCs w:val="20"/>
          <w:lang w:eastAsia="zh-CN"/>
        </w:rPr>
        <w:t>ee, E. T. and Wang, J. W. (2003). Statistical</w:t>
      </w:r>
      <w:r w:rsidRPr="00B258EE">
        <w:rPr>
          <w:sz w:val="20"/>
          <w:szCs w:val="20"/>
          <w:lang w:eastAsia="zh-CN"/>
        </w:rPr>
        <w:t xml:space="preserve"> M</w:t>
      </w:r>
      <w:r w:rsidR="00A87A5A" w:rsidRPr="00B258EE">
        <w:rPr>
          <w:sz w:val="20"/>
          <w:szCs w:val="20"/>
          <w:lang w:eastAsia="zh-CN"/>
        </w:rPr>
        <w:t>ethods for Survival Data Analysis. Wiley.</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lang w:eastAsia="zh-CN"/>
        </w:rPr>
        <w:t>L</w:t>
      </w:r>
      <w:r w:rsidR="00636350" w:rsidRPr="00B258EE">
        <w:rPr>
          <w:sz w:val="20"/>
          <w:szCs w:val="20"/>
          <w:lang w:eastAsia="zh-CN"/>
        </w:rPr>
        <w:t xml:space="preserve">ozano, R., </w:t>
      </w:r>
      <w:proofErr w:type="spellStart"/>
      <w:r w:rsidR="00636350" w:rsidRPr="00B258EE">
        <w:rPr>
          <w:sz w:val="20"/>
          <w:szCs w:val="20"/>
          <w:lang w:eastAsia="zh-CN"/>
        </w:rPr>
        <w:t>Naghavi</w:t>
      </w:r>
      <w:proofErr w:type="spellEnd"/>
      <w:r w:rsidR="00636350" w:rsidRPr="00B258EE">
        <w:rPr>
          <w:sz w:val="20"/>
          <w:szCs w:val="20"/>
          <w:lang w:eastAsia="zh-CN"/>
        </w:rPr>
        <w:t>, M</w:t>
      </w:r>
      <w:r w:rsidRPr="00B258EE">
        <w:rPr>
          <w:sz w:val="20"/>
          <w:szCs w:val="20"/>
          <w:lang w:eastAsia="zh-CN"/>
        </w:rPr>
        <w:t>. a</w:t>
      </w:r>
      <w:r w:rsidR="00636350" w:rsidRPr="00B258EE">
        <w:rPr>
          <w:sz w:val="20"/>
          <w:szCs w:val="20"/>
          <w:lang w:eastAsia="zh-CN"/>
        </w:rPr>
        <w:t>nd Foreman, K.,</w:t>
      </w:r>
      <w:r w:rsidRPr="00B258EE">
        <w:rPr>
          <w:sz w:val="20"/>
          <w:szCs w:val="20"/>
          <w:lang w:eastAsia="zh-CN"/>
        </w:rPr>
        <w:t xml:space="preserve"> L</w:t>
      </w:r>
      <w:r w:rsidR="00636350" w:rsidRPr="00B258EE">
        <w:rPr>
          <w:sz w:val="20"/>
          <w:szCs w:val="20"/>
          <w:lang w:eastAsia="zh-CN"/>
        </w:rPr>
        <w:t xml:space="preserve">im, S., Shibuya, K., and </w:t>
      </w:r>
      <w:proofErr w:type="spellStart"/>
      <w:r w:rsidR="00636350" w:rsidRPr="00B258EE">
        <w:rPr>
          <w:sz w:val="20"/>
          <w:szCs w:val="20"/>
          <w:lang w:eastAsia="zh-CN"/>
        </w:rPr>
        <w:t>Aboyans</w:t>
      </w:r>
      <w:proofErr w:type="spellEnd"/>
      <w:r w:rsidR="00636350" w:rsidRPr="00B258EE">
        <w:rPr>
          <w:sz w:val="20"/>
          <w:szCs w:val="20"/>
          <w:lang w:eastAsia="zh-CN"/>
        </w:rPr>
        <w:t>, K. (2012).</w:t>
      </w:r>
      <w:r w:rsidRPr="00B258EE">
        <w:rPr>
          <w:sz w:val="20"/>
          <w:szCs w:val="20"/>
          <w:lang w:eastAsia="zh-CN"/>
        </w:rPr>
        <w:t xml:space="preserve"> G</w:t>
      </w:r>
      <w:r w:rsidR="00636350" w:rsidRPr="00B258EE">
        <w:rPr>
          <w:sz w:val="20"/>
          <w:szCs w:val="20"/>
          <w:lang w:eastAsia="zh-CN"/>
        </w:rPr>
        <w:t xml:space="preserve">lobal </w:t>
      </w:r>
      <w:r w:rsidR="00636350" w:rsidRPr="00B258EE">
        <w:rPr>
          <w:sz w:val="20"/>
          <w:szCs w:val="20"/>
          <w:lang w:eastAsia="zh-CN"/>
        </w:rPr>
        <w:lastRenderedPageBreak/>
        <w:t>and regional mortality from 235 causes</w:t>
      </w:r>
      <w:r w:rsidRPr="00B258EE">
        <w:rPr>
          <w:sz w:val="20"/>
          <w:szCs w:val="20"/>
          <w:lang w:eastAsia="zh-CN"/>
        </w:rPr>
        <w:t xml:space="preserve"> o</w:t>
      </w:r>
      <w:r w:rsidR="00636350" w:rsidRPr="00B258EE">
        <w:rPr>
          <w:sz w:val="20"/>
          <w:szCs w:val="20"/>
          <w:lang w:eastAsia="zh-CN"/>
        </w:rPr>
        <w:t>f death for 20 age groups in 1990 and 2010:</w:t>
      </w:r>
      <w:r w:rsidRPr="00B258EE">
        <w:rPr>
          <w:sz w:val="20"/>
          <w:szCs w:val="20"/>
          <w:lang w:eastAsia="zh-CN"/>
        </w:rPr>
        <w:t xml:space="preserve"> a</w:t>
      </w:r>
      <w:r w:rsidR="00636350" w:rsidRPr="00B258EE">
        <w:rPr>
          <w:sz w:val="20"/>
          <w:szCs w:val="20"/>
          <w:lang w:eastAsia="zh-CN"/>
        </w:rPr>
        <w:t xml:space="preserve"> systematic analysis for the global burden of</w:t>
      </w:r>
      <w:r w:rsidRPr="00B258EE">
        <w:rPr>
          <w:sz w:val="20"/>
          <w:szCs w:val="20"/>
          <w:lang w:eastAsia="zh-CN"/>
        </w:rPr>
        <w:t xml:space="preserve"> d</w:t>
      </w:r>
      <w:r w:rsidR="00636350" w:rsidRPr="00B258EE">
        <w:rPr>
          <w:sz w:val="20"/>
          <w:szCs w:val="20"/>
          <w:lang w:eastAsia="zh-CN"/>
        </w:rPr>
        <w:t>isease study 2010. Lancet, 380:2095-2128.</w:t>
      </w:r>
    </w:p>
    <w:p w:rsidR="009C702A" w:rsidRPr="00B258EE" w:rsidRDefault="009C702A" w:rsidP="009C702A">
      <w:pPr>
        <w:pStyle w:val="ListParagraph"/>
        <w:numPr>
          <w:ilvl w:val="0"/>
          <w:numId w:val="6"/>
        </w:numPr>
        <w:suppressAutoHyphens w:val="0"/>
        <w:snapToGrid w:val="0"/>
        <w:jc w:val="both"/>
        <w:rPr>
          <w:sz w:val="20"/>
          <w:szCs w:val="20"/>
          <w:lang w:eastAsia="zh-CN"/>
        </w:rPr>
      </w:pPr>
      <w:proofErr w:type="spellStart"/>
      <w:r w:rsidRPr="00B258EE">
        <w:rPr>
          <w:sz w:val="20"/>
          <w:szCs w:val="20"/>
          <w:lang w:eastAsia="zh-CN"/>
        </w:rPr>
        <w:t>M</w:t>
      </w:r>
      <w:r w:rsidR="004718EA" w:rsidRPr="00B258EE">
        <w:rPr>
          <w:sz w:val="20"/>
          <w:szCs w:val="20"/>
          <w:lang w:eastAsia="zh-CN"/>
        </w:rPr>
        <w:t>okdad</w:t>
      </w:r>
      <w:proofErr w:type="spellEnd"/>
      <w:r w:rsidR="004718EA" w:rsidRPr="00B258EE">
        <w:rPr>
          <w:sz w:val="20"/>
          <w:szCs w:val="20"/>
          <w:lang w:eastAsia="zh-CN"/>
        </w:rPr>
        <w:t xml:space="preserve">, A. H., </w:t>
      </w:r>
      <w:proofErr w:type="spellStart"/>
      <w:r w:rsidR="004718EA" w:rsidRPr="00B258EE">
        <w:rPr>
          <w:sz w:val="20"/>
          <w:szCs w:val="20"/>
          <w:lang w:eastAsia="zh-CN"/>
        </w:rPr>
        <w:t>Jaber</w:t>
      </w:r>
      <w:proofErr w:type="spellEnd"/>
      <w:r w:rsidR="004718EA" w:rsidRPr="00B258EE">
        <w:rPr>
          <w:sz w:val="20"/>
          <w:szCs w:val="20"/>
          <w:lang w:eastAsia="zh-CN"/>
        </w:rPr>
        <w:t>, S., Aziz, M. I., A</w:t>
      </w:r>
      <w:r w:rsidRPr="00B258EE">
        <w:rPr>
          <w:sz w:val="20"/>
          <w:szCs w:val="20"/>
          <w:lang w:eastAsia="zh-CN"/>
        </w:rPr>
        <w:t xml:space="preserve">l </w:t>
      </w:r>
      <w:proofErr w:type="spellStart"/>
      <w:r w:rsidRPr="00B258EE">
        <w:rPr>
          <w:sz w:val="20"/>
          <w:szCs w:val="20"/>
          <w:lang w:eastAsia="zh-CN"/>
        </w:rPr>
        <w:t>B</w:t>
      </w:r>
      <w:r w:rsidR="004718EA" w:rsidRPr="00B258EE">
        <w:rPr>
          <w:sz w:val="20"/>
          <w:szCs w:val="20"/>
          <w:lang w:eastAsia="zh-CN"/>
        </w:rPr>
        <w:t>uhairan</w:t>
      </w:r>
      <w:proofErr w:type="spellEnd"/>
      <w:r w:rsidR="004718EA" w:rsidRPr="00B258EE">
        <w:rPr>
          <w:sz w:val="20"/>
          <w:szCs w:val="20"/>
          <w:lang w:eastAsia="zh-CN"/>
        </w:rPr>
        <w:t>,</w:t>
      </w:r>
      <w:r w:rsidRPr="00B258EE">
        <w:rPr>
          <w:sz w:val="20"/>
          <w:szCs w:val="20"/>
          <w:lang w:eastAsia="zh-CN"/>
        </w:rPr>
        <w:t xml:space="preserve"> F</w:t>
      </w:r>
      <w:r w:rsidR="004718EA" w:rsidRPr="00B258EE">
        <w:rPr>
          <w:sz w:val="20"/>
          <w:szCs w:val="20"/>
          <w:lang w:eastAsia="zh-CN"/>
        </w:rPr>
        <w:t>., A</w:t>
      </w:r>
      <w:r w:rsidRPr="00B258EE">
        <w:rPr>
          <w:sz w:val="20"/>
          <w:szCs w:val="20"/>
          <w:lang w:eastAsia="zh-CN"/>
        </w:rPr>
        <w:t xml:space="preserve">l </w:t>
      </w:r>
      <w:proofErr w:type="spellStart"/>
      <w:r w:rsidRPr="00B258EE">
        <w:rPr>
          <w:sz w:val="20"/>
          <w:szCs w:val="20"/>
          <w:lang w:eastAsia="zh-CN"/>
        </w:rPr>
        <w:t>G</w:t>
      </w:r>
      <w:r w:rsidR="004718EA" w:rsidRPr="00B258EE">
        <w:rPr>
          <w:sz w:val="20"/>
          <w:szCs w:val="20"/>
          <w:lang w:eastAsia="zh-CN"/>
        </w:rPr>
        <w:t>haithi</w:t>
      </w:r>
      <w:proofErr w:type="spellEnd"/>
      <w:r w:rsidR="004718EA" w:rsidRPr="00B258EE">
        <w:rPr>
          <w:sz w:val="20"/>
          <w:szCs w:val="20"/>
          <w:lang w:eastAsia="zh-CN"/>
        </w:rPr>
        <w:t>, A., and A</w:t>
      </w:r>
      <w:r w:rsidRPr="00B258EE">
        <w:rPr>
          <w:sz w:val="20"/>
          <w:szCs w:val="20"/>
          <w:lang w:eastAsia="zh-CN"/>
        </w:rPr>
        <w:t xml:space="preserve">l </w:t>
      </w:r>
      <w:proofErr w:type="spellStart"/>
      <w:r w:rsidRPr="00B258EE">
        <w:rPr>
          <w:sz w:val="20"/>
          <w:szCs w:val="20"/>
          <w:lang w:eastAsia="zh-CN"/>
        </w:rPr>
        <w:t>H</w:t>
      </w:r>
      <w:r w:rsidR="004718EA" w:rsidRPr="00B258EE">
        <w:rPr>
          <w:sz w:val="20"/>
          <w:szCs w:val="20"/>
          <w:lang w:eastAsia="zh-CN"/>
        </w:rPr>
        <w:t>amad</w:t>
      </w:r>
      <w:proofErr w:type="spellEnd"/>
      <w:r w:rsidR="004718EA" w:rsidRPr="00B258EE">
        <w:rPr>
          <w:sz w:val="20"/>
          <w:szCs w:val="20"/>
          <w:lang w:eastAsia="zh-CN"/>
        </w:rPr>
        <w:t>, N. M. (2014). The</w:t>
      </w:r>
      <w:r w:rsidRPr="00B258EE">
        <w:rPr>
          <w:sz w:val="20"/>
          <w:szCs w:val="20"/>
          <w:lang w:eastAsia="zh-CN"/>
        </w:rPr>
        <w:t xml:space="preserve"> s</w:t>
      </w:r>
      <w:r w:rsidR="004718EA" w:rsidRPr="00B258EE">
        <w:rPr>
          <w:sz w:val="20"/>
          <w:szCs w:val="20"/>
          <w:lang w:eastAsia="zh-CN"/>
        </w:rPr>
        <w:t xml:space="preserve">tate of health in the </w:t>
      </w:r>
      <w:proofErr w:type="spellStart"/>
      <w:r w:rsidR="004718EA" w:rsidRPr="00B258EE">
        <w:rPr>
          <w:sz w:val="20"/>
          <w:szCs w:val="20"/>
          <w:lang w:eastAsia="zh-CN"/>
        </w:rPr>
        <w:t>arab</w:t>
      </w:r>
      <w:proofErr w:type="spellEnd"/>
      <w:r w:rsidR="004718EA" w:rsidRPr="00B258EE">
        <w:rPr>
          <w:sz w:val="20"/>
          <w:szCs w:val="20"/>
          <w:lang w:eastAsia="zh-CN"/>
        </w:rPr>
        <w:t xml:space="preserve"> world, 19902010: an</w:t>
      </w:r>
      <w:r w:rsidRPr="00B258EE">
        <w:rPr>
          <w:sz w:val="20"/>
          <w:szCs w:val="20"/>
          <w:lang w:eastAsia="zh-CN"/>
        </w:rPr>
        <w:t xml:space="preserve"> a</w:t>
      </w:r>
      <w:r w:rsidR="004718EA" w:rsidRPr="00B258EE">
        <w:rPr>
          <w:sz w:val="20"/>
          <w:szCs w:val="20"/>
          <w:lang w:eastAsia="zh-CN"/>
        </w:rPr>
        <w:t>nalysis of the burden of diseases, injuries, and risk</w:t>
      </w:r>
      <w:r w:rsidRPr="00B258EE">
        <w:rPr>
          <w:sz w:val="20"/>
          <w:szCs w:val="20"/>
          <w:lang w:eastAsia="zh-CN"/>
        </w:rPr>
        <w:t xml:space="preserve"> f</w:t>
      </w:r>
      <w:r w:rsidR="004718EA" w:rsidRPr="00B258EE">
        <w:rPr>
          <w:sz w:val="20"/>
          <w:szCs w:val="20"/>
          <w:lang w:eastAsia="zh-CN"/>
        </w:rPr>
        <w:t>actors. Lancet, 383:309-320.</w:t>
      </w:r>
      <w:r w:rsidRPr="00B258EE">
        <w:rPr>
          <w:sz w:val="20"/>
          <w:szCs w:val="20"/>
          <w:lang w:eastAsia="zh-CN"/>
        </w:rPr>
        <w:t xml:space="preserve"> 1</w:t>
      </w:r>
      <w:r w:rsidR="003843B7" w:rsidRPr="00B258EE">
        <w:rPr>
          <w:sz w:val="20"/>
          <w:szCs w:val="20"/>
          <w:lang w:eastAsia="zh-CN"/>
        </w:rPr>
        <w:t xml:space="preserve">6. </w:t>
      </w:r>
      <w:r w:rsidR="0090463C" w:rsidRPr="00B258EE">
        <w:rPr>
          <w:sz w:val="20"/>
          <w:szCs w:val="20"/>
          <w:lang w:eastAsia="zh-CN"/>
        </w:rPr>
        <w:t xml:space="preserve">Nixon, A. J., </w:t>
      </w:r>
      <w:proofErr w:type="spellStart"/>
      <w:r w:rsidR="0090463C" w:rsidRPr="00B258EE">
        <w:rPr>
          <w:sz w:val="20"/>
          <w:szCs w:val="20"/>
          <w:lang w:eastAsia="zh-CN"/>
        </w:rPr>
        <w:t>Neuburg</w:t>
      </w:r>
      <w:proofErr w:type="spellEnd"/>
      <w:r w:rsidR="0090463C" w:rsidRPr="00B258EE">
        <w:rPr>
          <w:sz w:val="20"/>
          <w:szCs w:val="20"/>
          <w:lang w:eastAsia="zh-CN"/>
        </w:rPr>
        <w:t xml:space="preserve">, D., Hayes, D. F., </w:t>
      </w:r>
      <w:proofErr w:type="spellStart"/>
      <w:r w:rsidR="0090463C" w:rsidRPr="00B258EE">
        <w:rPr>
          <w:sz w:val="20"/>
          <w:szCs w:val="20"/>
          <w:lang w:eastAsia="zh-CN"/>
        </w:rPr>
        <w:t>Gelman</w:t>
      </w:r>
      <w:proofErr w:type="spellEnd"/>
      <w:r w:rsidR="0090463C" w:rsidRPr="00B258EE">
        <w:rPr>
          <w:sz w:val="20"/>
          <w:szCs w:val="20"/>
          <w:lang w:eastAsia="zh-CN"/>
        </w:rPr>
        <w:t>,</w:t>
      </w:r>
      <w:r w:rsidRPr="00B258EE">
        <w:rPr>
          <w:sz w:val="20"/>
          <w:szCs w:val="20"/>
          <w:lang w:eastAsia="zh-CN"/>
        </w:rPr>
        <w:t xml:space="preserve"> R</w:t>
      </w:r>
      <w:r w:rsidR="0090463C" w:rsidRPr="00B258EE">
        <w:rPr>
          <w:sz w:val="20"/>
          <w:szCs w:val="20"/>
          <w:lang w:eastAsia="zh-CN"/>
        </w:rPr>
        <w:t xml:space="preserve">., Connolly, J. L., and </w:t>
      </w:r>
      <w:proofErr w:type="spellStart"/>
      <w:r w:rsidR="0090463C" w:rsidRPr="00B258EE">
        <w:rPr>
          <w:sz w:val="20"/>
          <w:szCs w:val="20"/>
          <w:lang w:eastAsia="zh-CN"/>
        </w:rPr>
        <w:t>Schnitt</w:t>
      </w:r>
      <w:proofErr w:type="spellEnd"/>
      <w:r w:rsidR="0090463C" w:rsidRPr="00B258EE">
        <w:rPr>
          <w:sz w:val="20"/>
          <w:szCs w:val="20"/>
          <w:lang w:eastAsia="zh-CN"/>
        </w:rPr>
        <w:t>, S. (1994).</w:t>
      </w:r>
      <w:r w:rsidRPr="00B258EE">
        <w:rPr>
          <w:sz w:val="20"/>
          <w:szCs w:val="20"/>
          <w:lang w:eastAsia="zh-CN"/>
        </w:rPr>
        <w:t xml:space="preserve"> R</w:t>
      </w:r>
      <w:r w:rsidR="0090463C" w:rsidRPr="00B258EE">
        <w:rPr>
          <w:sz w:val="20"/>
          <w:szCs w:val="20"/>
          <w:lang w:eastAsia="zh-CN"/>
        </w:rPr>
        <w:t>elationship of patient age to pathologic features of</w:t>
      </w:r>
      <w:r w:rsidRPr="00B258EE">
        <w:rPr>
          <w:sz w:val="20"/>
          <w:szCs w:val="20"/>
          <w:lang w:eastAsia="zh-CN"/>
        </w:rPr>
        <w:t xml:space="preserve"> t</w:t>
      </w:r>
      <w:r w:rsidR="0090463C" w:rsidRPr="00B258EE">
        <w:rPr>
          <w:sz w:val="20"/>
          <w:szCs w:val="20"/>
          <w:lang w:eastAsia="zh-CN"/>
        </w:rPr>
        <w:t xml:space="preserve">he tumor and prognosis for patients with stage </w:t>
      </w:r>
      <w:proofErr w:type="spellStart"/>
      <w:r w:rsidR="0090463C" w:rsidRPr="00B258EE">
        <w:rPr>
          <w:sz w:val="20"/>
          <w:szCs w:val="20"/>
          <w:lang w:eastAsia="zh-CN"/>
        </w:rPr>
        <w:t>i</w:t>
      </w:r>
      <w:proofErr w:type="spellEnd"/>
      <w:r w:rsidRPr="00B258EE">
        <w:rPr>
          <w:sz w:val="20"/>
          <w:szCs w:val="20"/>
          <w:lang w:eastAsia="zh-CN"/>
        </w:rPr>
        <w:t xml:space="preserve"> a</w:t>
      </w:r>
      <w:r w:rsidR="0090463C" w:rsidRPr="00B258EE">
        <w:rPr>
          <w:sz w:val="20"/>
          <w:szCs w:val="20"/>
          <w:lang w:eastAsia="zh-CN"/>
        </w:rPr>
        <w:t xml:space="preserve">nd stage ii breast cancer. J </w:t>
      </w:r>
      <w:proofErr w:type="spellStart"/>
      <w:r w:rsidR="0090463C" w:rsidRPr="00B258EE">
        <w:rPr>
          <w:sz w:val="20"/>
          <w:szCs w:val="20"/>
          <w:lang w:eastAsia="zh-CN"/>
        </w:rPr>
        <w:t>Clin</w:t>
      </w:r>
      <w:proofErr w:type="spellEnd"/>
      <w:r w:rsidR="0090463C" w:rsidRPr="00B258EE">
        <w:rPr>
          <w:sz w:val="20"/>
          <w:szCs w:val="20"/>
          <w:lang w:eastAsia="zh-CN"/>
        </w:rPr>
        <w:t xml:space="preserve"> </w:t>
      </w:r>
      <w:proofErr w:type="spellStart"/>
      <w:r w:rsidR="0090463C" w:rsidRPr="00B258EE">
        <w:rPr>
          <w:sz w:val="20"/>
          <w:szCs w:val="20"/>
          <w:lang w:eastAsia="zh-CN"/>
        </w:rPr>
        <w:t>Oncol</w:t>
      </w:r>
      <w:proofErr w:type="spellEnd"/>
      <w:r w:rsidR="0090463C" w:rsidRPr="00B258EE">
        <w:rPr>
          <w:sz w:val="20"/>
          <w:szCs w:val="20"/>
          <w:lang w:eastAsia="zh-CN"/>
        </w:rPr>
        <w:t>, 12:888-894.</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lang w:eastAsia="zh-CN"/>
        </w:rPr>
        <w:t>R</w:t>
      </w:r>
      <w:r w:rsidR="005E42D8" w:rsidRPr="00B258EE">
        <w:rPr>
          <w:sz w:val="20"/>
          <w:szCs w:val="20"/>
          <w:lang w:eastAsia="zh-CN"/>
        </w:rPr>
        <w:t>egistry, N. (2007). Cancer Incidence Report</w:t>
      </w:r>
      <w:r w:rsidRPr="00B258EE">
        <w:rPr>
          <w:sz w:val="20"/>
          <w:szCs w:val="20"/>
          <w:lang w:eastAsia="zh-CN"/>
        </w:rPr>
        <w:t xml:space="preserve"> S</w:t>
      </w:r>
      <w:r w:rsidR="005E42D8" w:rsidRPr="00B258EE">
        <w:rPr>
          <w:sz w:val="20"/>
          <w:szCs w:val="20"/>
          <w:lang w:eastAsia="zh-CN"/>
        </w:rPr>
        <w:t>audi Arabia 2002. Riyadh.</w:t>
      </w:r>
    </w:p>
    <w:p w:rsidR="009C702A" w:rsidRPr="00B258EE" w:rsidRDefault="009C702A" w:rsidP="009C702A">
      <w:pPr>
        <w:pStyle w:val="ListParagraph"/>
        <w:numPr>
          <w:ilvl w:val="0"/>
          <w:numId w:val="6"/>
        </w:numPr>
        <w:suppressAutoHyphens w:val="0"/>
        <w:snapToGrid w:val="0"/>
        <w:jc w:val="both"/>
        <w:rPr>
          <w:sz w:val="20"/>
          <w:szCs w:val="20"/>
          <w:lang w:eastAsia="zh-CN"/>
        </w:rPr>
      </w:pPr>
      <w:r w:rsidRPr="00B258EE">
        <w:rPr>
          <w:sz w:val="20"/>
          <w:szCs w:val="20"/>
          <w:lang w:eastAsia="zh-CN"/>
        </w:rPr>
        <w:t>R</w:t>
      </w:r>
      <w:r w:rsidR="00DB0F41" w:rsidRPr="00B258EE">
        <w:rPr>
          <w:sz w:val="20"/>
          <w:szCs w:val="20"/>
          <w:lang w:eastAsia="zh-CN"/>
        </w:rPr>
        <w:t xml:space="preserve">obson, M., </w:t>
      </w:r>
      <w:proofErr w:type="spellStart"/>
      <w:r w:rsidR="00DB0F41" w:rsidRPr="00B258EE">
        <w:rPr>
          <w:sz w:val="20"/>
          <w:szCs w:val="20"/>
          <w:lang w:eastAsia="zh-CN"/>
        </w:rPr>
        <w:t>Gilewski</w:t>
      </w:r>
      <w:proofErr w:type="spellEnd"/>
      <w:r w:rsidR="00DB0F41" w:rsidRPr="00B258EE">
        <w:rPr>
          <w:sz w:val="20"/>
          <w:szCs w:val="20"/>
          <w:lang w:eastAsia="zh-CN"/>
        </w:rPr>
        <w:t>, T., Haas, B., Levin, D.,</w:t>
      </w:r>
      <w:r w:rsidRPr="00B258EE">
        <w:rPr>
          <w:sz w:val="20"/>
          <w:szCs w:val="20"/>
          <w:lang w:eastAsia="zh-CN"/>
        </w:rPr>
        <w:t xml:space="preserve"> </w:t>
      </w:r>
      <w:proofErr w:type="spellStart"/>
      <w:r w:rsidRPr="00B258EE">
        <w:rPr>
          <w:sz w:val="20"/>
          <w:szCs w:val="20"/>
          <w:lang w:eastAsia="zh-CN"/>
        </w:rPr>
        <w:t>B</w:t>
      </w:r>
      <w:r w:rsidR="00DB0F41" w:rsidRPr="00B258EE">
        <w:rPr>
          <w:sz w:val="20"/>
          <w:szCs w:val="20"/>
          <w:lang w:eastAsia="zh-CN"/>
        </w:rPr>
        <w:t>orgen</w:t>
      </w:r>
      <w:proofErr w:type="spellEnd"/>
      <w:r w:rsidR="00DB0F41" w:rsidRPr="00B258EE">
        <w:rPr>
          <w:sz w:val="20"/>
          <w:szCs w:val="20"/>
          <w:lang w:eastAsia="zh-CN"/>
        </w:rPr>
        <w:t xml:space="preserve">, P., </w:t>
      </w:r>
      <w:proofErr w:type="spellStart"/>
      <w:r w:rsidR="00DB0F41" w:rsidRPr="00B258EE">
        <w:rPr>
          <w:sz w:val="20"/>
          <w:szCs w:val="20"/>
          <w:lang w:eastAsia="zh-CN"/>
        </w:rPr>
        <w:t>Rajan</w:t>
      </w:r>
      <w:proofErr w:type="spellEnd"/>
      <w:r w:rsidR="00DB0F41" w:rsidRPr="00B258EE">
        <w:rPr>
          <w:sz w:val="20"/>
          <w:szCs w:val="20"/>
          <w:lang w:eastAsia="zh-CN"/>
        </w:rPr>
        <w:t xml:space="preserve">, P., </w:t>
      </w:r>
      <w:proofErr w:type="spellStart"/>
      <w:r w:rsidR="00DB0F41" w:rsidRPr="00B258EE">
        <w:rPr>
          <w:sz w:val="20"/>
          <w:szCs w:val="20"/>
          <w:lang w:eastAsia="zh-CN"/>
        </w:rPr>
        <w:t>Hirschaut</w:t>
      </w:r>
      <w:proofErr w:type="spellEnd"/>
      <w:r w:rsidR="00DB0F41" w:rsidRPr="00B258EE">
        <w:rPr>
          <w:sz w:val="20"/>
          <w:szCs w:val="20"/>
          <w:lang w:eastAsia="zh-CN"/>
        </w:rPr>
        <w:t>, Y., Press-</w:t>
      </w:r>
      <w:r w:rsidRPr="00B258EE">
        <w:rPr>
          <w:sz w:val="20"/>
          <w:szCs w:val="20"/>
          <w:lang w:eastAsia="zh-CN"/>
        </w:rPr>
        <w:t xml:space="preserve"> m</w:t>
      </w:r>
      <w:r w:rsidR="00DB0F41" w:rsidRPr="00B258EE">
        <w:rPr>
          <w:sz w:val="20"/>
          <w:szCs w:val="20"/>
          <w:lang w:eastAsia="zh-CN"/>
        </w:rPr>
        <w:t>an, P., Rosen, P. P., and Lesser, M. L. (1998).</w:t>
      </w:r>
      <w:r w:rsidRPr="00B258EE">
        <w:rPr>
          <w:sz w:val="20"/>
          <w:szCs w:val="20"/>
          <w:lang w:eastAsia="zh-CN"/>
        </w:rPr>
        <w:t xml:space="preserve"> </w:t>
      </w:r>
      <w:proofErr w:type="spellStart"/>
      <w:r w:rsidRPr="00B258EE">
        <w:rPr>
          <w:sz w:val="20"/>
          <w:szCs w:val="20"/>
          <w:lang w:eastAsia="zh-CN"/>
        </w:rPr>
        <w:t>B</w:t>
      </w:r>
      <w:r w:rsidR="00DB0F41" w:rsidRPr="00B258EE">
        <w:rPr>
          <w:sz w:val="20"/>
          <w:szCs w:val="20"/>
          <w:lang w:eastAsia="zh-CN"/>
        </w:rPr>
        <w:t>rca</w:t>
      </w:r>
      <w:proofErr w:type="spellEnd"/>
      <w:r w:rsidR="00DB0F41" w:rsidRPr="00B258EE">
        <w:rPr>
          <w:sz w:val="20"/>
          <w:szCs w:val="20"/>
          <w:lang w:eastAsia="zh-CN"/>
        </w:rPr>
        <w:t xml:space="preserve">-associated breast cancer in </w:t>
      </w:r>
      <w:proofErr w:type="spellStart"/>
      <w:r w:rsidR="00DB0F41" w:rsidRPr="00B258EE">
        <w:rPr>
          <w:sz w:val="20"/>
          <w:szCs w:val="20"/>
          <w:lang w:eastAsia="zh-CN"/>
        </w:rPr>
        <w:t>youngwomen</w:t>
      </w:r>
      <w:proofErr w:type="spellEnd"/>
      <w:r w:rsidR="00DB0F41" w:rsidRPr="00B258EE">
        <w:rPr>
          <w:sz w:val="20"/>
          <w:szCs w:val="20"/>
          <w:lang w:eastAsia="zh-CN"/>
        </w:rPr>
        <w:t>. J</w:t>
      </w:r>
      <w:r w:rsidRPr="00B258EE">
        <w:rPr>
          <w:sz w:val="20"/>
          <w:szCs w:val="20"/>
          <w:lang w:eastAsia="zh-CN"/>
        </w:rPr>
        <w:t xml:space="preserve"> </w:t>
      </w:r>
      <w:proofErr w:type="spellStart"/>
      <w:r w:rsidRPr="00B258EE">
        <w:rPr>
          <w:sz w:val="20"/>
          <w:szCs w:val="20"/>
          <w:lang w:eastAsia="zh-CN"/>
        </w:rPr>
        <w:t>C</w:t>
      </w:r>
      <w:r w:rsidR="00DB0F41" w:rsidRPr="00B258EE">
        <w:rPr>
          <w:sz w:val="20"/>
          <w:szCs w:val="20"/>
          <w:lang w:eastAsia="zh-CN"/>
        </w:rPr>
        <w:t>lin</w:t>
      </w:r>
      <w:proofErr w:type="spellEnd"/>
      <w:r w:rsidR="00DB0F41" w:rsidRPr="00B258EE">
        <w:rPr>
          <w:sz w:val="20"/>
          <w:szCs w:val="20"/>
          <w:lang w:eastAsia="zh-CN"/>
        </w:rPr>
        <w:t xml:space="preserve"> </w:t>
      </w:r>
      <w:proofErr w:type="spellStart"/>
      <w:r w:rsidR="00DB0F41" w:rsidRPr="00B258EE">
        <w:rPr>
          <w:sz w:val="20"/>
          <w:szCs w:val="20"/>
          <w:lang w:eastAsia="zh-CN"/>
        </w:rPr>
        <w:t>Oncol</w:t>
      </w:r>
      <w:proofErr w:type="spellEnd"/>
      <w:r w:rsidR="00DB0F41" w:rsidRPr="00B258EE">
        <w:rPr>
          <w:sz w:val="20"/>
          <w:szCs w:val="20"/>
          <w:lang w:eastAsia="zh-CN"/>
        </w:rPr>
        <w:t>, 16:1642-1649.</w:t>
      </w:r>
    </w:p>
    <w:p w:rsidR="009C702A" w:rsidRPr="00B258EE" w:rsidRDefault="009C702A" w:rsidP="009C702A">
      <w:pPr>
        <w:pStyle w:val="ListParagraph"/>
        <w:numPr>
          <w:ilvl w:val="0"/>
          <w:numId w:val="6"/>
        </w:numPr>
        <w:suppressAutoHyphens w:val="0"/>
        <w:snapToGrid w:val="0"/>
        <w:jc w:val="both"/>
        <w:rPr>
          <w:sz w:val="20"/>
          <w:szCs w:val="20"/>
          <w:lang w:eastAsia="zh-CN"/>
        </w:rPr>
      </w:pPr>
      <w:proofErr w:type="spellStart"/>
      <w:r w:rsidRPr="00B258EE">
        <w:rPr>
          <w:sz w:val="20"/>
          <w:szCs w:val="20"/>
          <w:lang w:eastAsia="zh-CN"/>
        </w:rPr>
        <w:t>T</w:t>
      </w:r>
      <w:r w:rsidR="004F5148" w:rsidRPr="00B258EE">
        <w:rPr>
          <w:sz w:val="20"/>
          <w:szCs w:val="20"/>
          <w:lang w:eastAsia="zh-CN"/>
        </w:rPr>
        <w:t>arone</w:t>
      </w:r>
      <w:proofErr w:type="spellEnd"/>
      <w:r w:rsidR="004F5148" w:rsidRPr="00B258EE">
        <w:rPr>
          <w:sz w:val="20"/>
          <w:szCs w:val="20"/>
          <w:lang w:eastAsia="zh-CN"/>
        </w:rPr>
        <w:t>, R. E. (2006). Breast cancer trends among</w:t>
      </w:r>
      <w:r w:rsidRPr="00B258EE">
        <w:rPr>
          <w:sz w:val="20"/>
          <w:szCs w:val="20"/>
          <w:lang w:eastAsia="zh-CN"/>
        </w:rPr>
        <w:t xml:space="preserve"> y</w:t>
      </w:r>
      <w:r w:rsidR="004F5148" w:rsidRPr="00B258EE">
        <w:rPr>
          <w:sz w:val="20"/>
          <w:szCs w:val="20"/>
          <w:lang w:eastAsia="zh-CN"/>
        </w:rPr>
        <w:t>oung women in the united states. Epidemiology</w:t>
      </w:r>
      <w:r w:rsidRPr="00B258EE">
        <w:rPr>
          <w:sz w:val="20"/>
          <w:szCs w:val="20"/>
          <w:lang w:eastAsia="zh-CN"/>
        </w:rPr>
        <w:t xml:space="preserve"> (</w:t>
      </w:r>
      <w:r w:rsidR="004F5148" w:rsidRPr="00B258EE">
        <w:rPr>
          <w:sz w:val="20"/>
          <w:szCs w:val="20"/>
          <w:lang w:eastAsia="zh-CN"/>
        </w:rPr>
        <w:t>Cambridge, Mass), 17:588-590.</w:t>
      </w:r>
    </w:p>
    <w:p w:rsidR="00743C30" w:rsidRPr="00B258EE" w:rsidRDefault="009C702A" w:rsidP="009C702A">
      <w:pPr>
        <w:pStyle w:val="ListParagraph"/>
        <w:numPr>
          <w:ilvl w:val="0"/>
          <w:numId w:val="6"/>
        </w:numPr>
        <w:suppressAutoHyphens w:val="0"/>
        <w:snapToGrid w:val="0"/>
        <w:ind w:left="425" w:hanging="425"/>
        <w:jc w:val="both"/>
        <w:rPr>
          <w:sz w:val="20"/>
          <w:szCs w:val="20"/>
        </w:rPr>
      </w:pPr>
      <w:proofErr w:type="spellStart"/>
      <w:r w:rsidRPr="00B258EE">
        <w:rPr>
          <w:sz w:val="20"/>
          <w:szCs w:val="20"/>
          <w:lang w:eastAsia="zh-CN"/>
        </w:rPr>
        <w:t>Z</w:t>
      </w:r>
      <w:r w:rsidR="00133554" w:rsidRPr="00B258EE">
        <w:rPr>
          <w:sz w:val="20"/>
          <w:szCs w:val="20"/>
          <w:lang w:eastAsia="zh-CN"/>
        </w:rPr>
        <w:t>abicki</w:t>
      </w:r>
      <w:proofErr w:type="spellEnd"/>
      <w:r w:rsidR="00133554" w:rsidRPr="00B258EE">
        <w:rPr>
          <w:sz w:val="20"/>
          <w:szCs w:val="20"/>
          <w:lang w:eastAsia="zh-CN"/>
        </w:rPr>
        <w:t xml:space="preserve">, k., Colbert, J. A., Dominguez, F. J., </w:t>
      </w:r>
      <w:proofErr w:type="spellStart"/>
      <w:r w:rsidR="00133554" w:rsidRPr="00B258EE">
        <w:rPr>
          <w:sz w:val="20"/>
          <w:szCs w:val="20"/>
          <w:lang w:eastAsia="zh-CN"/>
        </w:rPr>
        <w:t>Gadd</w:t>
      </w:r>
      <w:proofErr w:type="spellEnd"/>
      <w:r w:rsidR="00133554" w:rsidRPr="00B258EE">
        <w:rPr>
          <w:sz w:val="20"/>
          <w:szCs w:val="20"/>
          <w:lang w:eastAsia="zh-CN"/>
        </w:rPr>
        <w:t>,</w:t>
      </w:r>
      <w:r w:rsidRPr="00B258EE">
        <w:rPr>
          <w:sz w:val="20"/>
          <w:szCs w:val="20"/>
          <w:lang w:eastAsia="zh-CN"/>
        </w:rPr>
        <w:t xml:space="preserve"> M</w:t>
      </w:r>
      <w:r w:rsidR="00133554" w:rsidRPr="00B258EE">
        <w:rPr>
          <w:sz w:val="20"/>
          <w:szCs w:val="20"/>
          <w:lang w:eastAsia="zh-CN"/>
        </w:rPr>
        <w:t>. A., and Hughes, K. S</w:t>
      </w:r>
      <w:r w:rsidRPr="00B258EE">
        <w:rPr>
          <w:sz w:val="20"/>
          <w:szCs w:val="20"/>
          <w:lang w:eastAsia="zh-CN"/>
        </w:rPr>
        <w:t>. a</w:t>
      </w:r>
      <w:r w:rsidR="00133554" w:rsidRPr="00B258EE">
        <w:rPr>
          <w:sz w:val="20"/>
          <w:szCs w:val="20"/>
          <w:lang w:eastAsia="zh-CN"/>
        </w:rPr>
        <w:t>nd Jones, J. L. (2006).</w:t>
      </w:r>
      <w:r w:rsidRPr="00B258EE">
        <w:rPr>
          <w:sz w:val="20"/>
          <w:szCs w:val="20"/>
          <w:lang w:eastAsia="zh-CN"/>
        </w:rPr>
        <w:t xml:space="preserve"> B</w:t>
      </w:r>
      <w:r w:rsidR="00133554" w:rsidRPr="00B258EE">
        <w:rPr>
          <w:sz w:val="20"/>
          <w:szCs w:val="20"/>
          <w:lang w:eastAsia="zh-CN"/>
        </w:rPr>
        <w:t>reast cancer diagnosis in women 40 versus 50 to</w:t>
      </w:r>
      <w:r w:rsidRPr="00B258EE">
        <w:rPr>
          <w:sz w:val="20"/>
          <w:szCs w:val="20"/>
          <w:lang w:eastAsia="zh-CN"/>
        </w:rPr>
        <w:t xml:space="preserve"> 6</w:t>
      </w:r>
      <w:r w:rsidR="00133554" w:rsidRPr="00B258EE">
        <w:rPr>
          <w:sz w:val="20"/>
          <w:szCs w:val="20"/>
          <w:lang w:eastAsia="zh-CN"/>
        </w:rPr>
        <w:t>0 years: increasing size and stage disparity</w:t>
      </w:r>
      <w:r w:rsidRPr="00B258EE">
        <w:rPr>
          <w:sz w:val="20"/>
          <w:szCs w:val="20"/>
          <w:lang w:eastAsia="zh-CN"/>
        </w:rPr>
        <w:t xml:space="preserve"> c</w:t>
      </w:r>
      <w:r w:rsidR="00133554" w:rsidRPr="00B258EE">
        <w:rPr>
          <w:sz w:val="20"/>
          <w:szCs w:val="20"/>
          <w:lang w:eastAsia="zh-CN"/>
        </w:rPr>
        <w:t xml:space="preserve">ompared with older women over time. Ann </w:t>
      </w:r>
      <w:proofErr w:type="spellStart"/>
      <w:r w:rsidR="00133554" w:rsidRPr="00B258EE">
        <w:rPr>
          <w:sz w:val="20"/>
          <w:szCs w:val="20"/>
          <w:lang w:eastAsia="zh-CN"/>
        </w:rPr>
        <w:t>Surg</w:t>
      </w:r>
      <w:proofErr w:type="spellEnd"/>
      <w:r w:rsidRPr="00B258EE">
        <w:rPr>
          <w:sz w:val="20"/>
          <w:szCs w:val="20"/>
          <w:lang w:eastAsia="zh-CN"/>
        </w:rPr>
        <w:t xml:space="preserve"> </w:t>
      </w:r>
      <w:proofErr w:type="spellStart"/>
      <w:r w:rsidRPr="00B258EE">
        <w:rPr>
          <w:sz w:val="20"/>
          <w:szCs w:val="20"/>
          <w:lang w:eastAsia="zh-CN"/>
        </w:rPr>
        <w:t>O</w:t>
      </w:r>
      <w:r w:rsidR="00133554" w:rsidRPr="00B258EE">
        <w:rPr>
          <w:sz w:val="20"/>
          <w:szCs w:val="20"/>
          <w:lang w:eastAsia="zh-CN"/>
        </w:rPr>
        <w:t>ncol</w:t>
      </w:r>
      <w:proofErr w:type="spellEnd"/>
      <w:r w:rsidR="00133554" w:rsidRPr="00B258EE">
        <w:rPr>
          <w:sz w:val="20"/>
          <w:szCs w:val="20"/>
          <w:lang w:eastAsia="zh-CN"/>
        </w:rPr>
        <w:t>, 13:1072-1077.</w:t>
      </w:r>
      <w:r w:rsidR="00B258EE" w:rsidRPr="00B258EE">
        <w:rPr>
          <w:rFonts w:hint="eastAsia"/>
          <w:sz w:val="20"/>
          <w:szCs w:val="20"/>
          <w:lang w:eastAsia="zh-CN"/>
        </w:rPr>
        <w:t xml:space="preserve"> </w:t>
      </w:r>
    </w:p>
    <w:p w:rsidR="00743C30" w:rsidRPr="00B258EE" w:rsidRDefault="00743C30" w:rsidP="009C702A">
      <w:pPr>
        <w:suppressAutoHyphens w:val="0"/>
        <w:snapToGrid w:val="0"/>
        <w:ind w:left="425" w:hanging="425"/>
        <w:jc w:val="both"/>
        <w:rPr>
          <w:sz w:val="20"/>
          <w:szCs w:val="20"/>
        </w:rPr>
        <w:sectPr w:rsidR="00743C30" w:rsidRPr="00B258EE" w:rsidSect="00743C30">
          <w:footnotePr>
            <w:pos w:val="beneathText"/>
          </w:footnotePr>
          <w:type w:val="continuous"/>
          <w:pgSz w:w="12240" w:h="15840" w:code="1"/>
          <w:pgMar w:top="1440" w:right="1440" w:bottom="1440" w:left="1440" w:header="720" w:footer="720" w:gutter="0"/>
          <w:cols w:num="2" w:space="576"/>
          <w:docGrid w:linePitch="360"/>
        </w:sectPr>
      </w:pPr>
    </w:p>
    <w:p w:rsidR="004D0467" w:rsidRPr="00B258EE" w:rsidRDefault="004D0467" w:rsidP="009C702A">
      <w:pPr>
        <w:suppressAutoHyphens w:val="0"/>
        <w:snapToGrid w:val="0"/>
        <w:ind w:left="425" w:hanging="425"/>
        <w:jc w:val="both"/>
        <w:rPr>
          <w:sz w:val="20"/>
          <w:szCs w:val="20"/>
          <w:lang w:eastAsia="zh-CN"/>
        </w:rPr>
      </w:pPr>
    </w:p>
    <w:p w:rsidR="00743C30" w:rsidRPr="00B258EE" w:rsidRDefault="00743C30" w:rsidP="009C702A">
      <w:pPr>
        <w:suppressAutoHyphens w:val="0"/>
        <w:snapToGrid w:val="0"/>
        <w:ind w:left="425" w:hanging="425"/>
        <w:jc w:val="both"/>
        <w:rPr>
          <w:sz w:val="20"/>
          <w:szCs w:val="20"/>
        </w:rPr>
      </w:pPr>
    </w:p>
    <w:p w:rsidR="009C702A" w:rsidRPr="00B258EE" w:rsidRDefault="00743C30" w:rsidP="009C702A">
      <w:pPr>
        <w:suppressAutoHyphens w:val="0"/>
        <w:snapToGrid w:val="0"/>
        <w:ind w:left="425" w:hanging="425"/>
        <w:jc w:val="both"/>
        <w:rPr>
          <w:sz w:val="20"/>
          <w:szCs w:val="20"/>
        </w:rPr>
      </w:pPr>
      <w:r w:rsidRPr="00B258EE">
        <w:rPr>
          <w:sz w:val="20"/>
          <w:szCs w:val="20"/>
        </w:rPr>
        <w:t>6/22/2017</w:t>
      </w:r>
    </w:p>
    <w:sectPr w:rsidR="009C702A" w:rsidRPr="00B258EE" w:rsidSect="00743C30">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F6" w:rsidRDefault="009E17F6">
      <w:r>
        <w:separator/>
      </w:r>
    </w:p>
  </w:endnote>
  <w:endnote w:type="continuationSeparator" w:id="0">
    <w:p w:rsidR="009E17F6" w:rsidRDefault="009E1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30" w:rsidRDefault="00454A39" w:rsidP="00B3167C">
    <w:pPr>
      <w:pStyle w:val="Footer"/>
      <w:framePr w:wrap="around" w:vAnchor="text" w:hAnchor="margin" w:xAlign="center" w:y="1"/>
      <w:rPr>
        <w:rStyle w:val="PageNumber"/>
      </w:rPr>
    </w:pPr>
    <w:r>
      <w:rPr>
        <w:rStyle w:val="PageNumber"/>
      </w:rPr>
      <w:fldChar w:fldCharType="begin"/>
    </w:r>
    <w:r w:rsidR="00743C30">
      <w:rPr>
        <w:rStyle w:val="PageNumber"/>
      </w:rPr>
      <w:instrText xml:space="preserve">PAGE  </w:instrText>
    </w:r>
    <w:r>
      <w:rPr>
        <w:rStyle w:val="PageNumber"/>
      </w:rPr>
      <w:fldChar w:fldCharType="end"/>
    </w:r>
  </w:p>
  <w:p w:rsidR="00743C30" w:rsidRDefault="00743C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30" w:rsidRPr="00173AB4" w:rsidRDefault="00454A39" w:rsidP="00173AB4">
    <w:pPr>
      <w:jc w:val="center"/>
      <w:rPr>
        <w:sz w:val="20"/>
      </w:rPr>
    </w:pPr>
    <w:r w:rsidRPr="00173AB4">
      <w:rPr>
        <w:sz w:val="20"/>
      </w:rPr>
      <w:fldChar w:fldCharType="begin"/>
    </w:r>
    <w:r w:rsidR="00173AB4" w:rsidRPr="00173AB4">
      <w:rPr>
        <w:sz w:val="20"/>
      </w:rPr>
      <w:instrText xml:space="preserve"> page </w:instrText>
    </w:r>
    <w:r w:rsidRPr="00173AB4">
      <w:rPr>
        <w:sz w:val="20"/>
      </w:rPr>
      <w:fldChar w:fldCharType="separate"/>
    </w:r>
    <w:r w:rsidR="00B258EE">
      <w:rPr>
        <w:noProof/>
        <w:sz w:val="20"/>
      </w:rPr>
      <w:t>48</w:t>
    </w:r>
    <w:r w:rsidRPr="00173AB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30" w:rsidRDefault="00454A39" w:rsidP="00B3167C">
    <w:pPr>
      <w:pStyle w:val="Footer"/>
      <w:framePr w:wrap="around" w:vAnchor="text" w:hAnchor="margin" w:xAlign="center" w:y="1"/>
      <w:rPr>
        <w:rStyle w:val="PageNumber"/>
      </w:rPr>
    </w:pPr>
    <w:r>
      <w:rPr>
        <w:rStyle w:val="PageNumber"/>
      </w:rPr>
      <w:fldChar w:fldCharType="begin"/>
    </w:r>
    <w:r w:rsidR="00743C30">
      <w:rPr>
        <w:rStyle w:val="PageNumber"/>
      </w:rPr>
      <w:instrText xml:space="preserve">PAGE  </w:instrText>
    </w:r>
    <w:r>
      <w:rPr>
        <w:rStyle w:val="PageNumber"/>
      </w:rPr>
      <w:fldChar w:fldCharType="end"/>
    </w:r>
  </w:p>
  <w:p w:rsidR="00743C30" w:rsidRDefault="00743C3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30" w:rsidRPr="00173AB4" w:rsidRDefault="00454A39" w:rsidP="00173AB4">
    <w:pPr>
      <w:jc w:val="center"/>
      <w:rPr>
        <w:sz w:val="20"/>
      </w:rPr>
    </w:pPr>
    <w:r w:rsidRPr="00173AB4">
      <w:rPr>
        <w:sz w:val="20"/>
      </w:rPr>
      <w:fldChar w:fldCharType="begin"/>
    </w:r>
    <w:r w:rsidR="00173AB4" w:rsidRPr="00173AB4">
      <w:rPr>
        <w:sz w:val="20"/>
      </w:rPr>
      <w:instrText xml:space="preserve"> page </w:instrText>
    </w:r>
    <w:r w:rsidRPr="00173AB4">
      <w:rPr>
        <w:sz w:val="20"/>
      </w:rPr>
      <w:fldChar w:fldCharType="separate"/>
    </w:r>
    <w:r w:rsidR="00B258EE">
      <w:rPr>
        <w:noProof/>
        <w:sz w:val="20"/>
      </w:rPr>
      <w:t>54</w:t>
    </w:r>
    <w:r w:rsidRPr="00173AB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BE" w:rsidRDefault="00454A39" w:rsidP="00B3167C">
    <w:pPr>
      <w:pStyle w:val="Footer"/>
      <w:framePr w:wrap="around" w:vAnchor="text" w:hAnchor="margin" w:xAlign="center" w:y="1"/>
      <w:rPr>
        <w:rStyle w:val="PageNumber"/>
      </w:rPr>
    </w:pPr>
    <w:r>
      <w:rPr>
        <w:rStyle w:val="PageNumber"/>
      </w:rPr>
      <w:fldChar w:fldCharType="begin"/>
    </w:r>
    <w:r w:rsidR="006F2ABE">
      <w:rPr>
        <w:rStyle w:val="PageNumber"/>
      </w:rPr>
      <w:instrText xml:space="preserve">PAGE  </w:instrText>
    </w:r>
    <w:r>
      <w:rPr>
        <w:rStyle w:val="PageNumber"/>
      </w:rPr>
      <w:fldChar w:fldCharType="end"/>
    </w:r>
  </w:p>
  <w:p w:rsidR="006F2ABE" w:rsidRDefault="006F2AB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BE" w:rsidRDefault="00454A39">
    <w:pPr>
      <w:pStyle w:val="Footer"/>
      <w:jc w:val="center"/>
    </w:pPr>
    <w:r>
      <w:fldChar w:fldCharType="begin"/>
    </w:r>
    <w:r w:rsidR="006F2ABE">
      <w:instrText xml:space="preserve"> PAGE   \* MERGEFORMAT </w:instrText>
    </w:r>
    <w:r>
      <w:fldChar w:fldCharType="separate"/>
    </w:r>
    <w:r w:rsidR="009C702A">
      <w:rPr>
        <w:noProof/>
      </w:rPr>
      <w:t>8</w:t>
    </w:r>
    <w:r>
      <w:rPr>
        <w:noProof/>
      </w:rPr>
      <w:fldChar w:fldCharType="end"/>
    </w:r>
  </w:p>
  <w:p w:rsidR="006F2ABE" w:rsidRDefault="006F2ABE" w:rsidP="006E6AC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F6" w:rsidRDefault="009E17F6">
      <w:r>
        <w:separator/>
      </w:r>
    </w:p>
  </w:footnote>
  <w:footnote w:type="continuationSeparator" w:id="0">
    <w:p w:rsidR="009E17F6" w:rsidRDefault="009E1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B4" w:rsidRPr="00173AB4" w:rsidRDefault="00173AB4" w:rsidP="00173AB4">
    <w:pPr>
      <w:pBdr>
        <w:bottom w:val="thinThickMediumGap" w:sz="12" w:space="1" w:color="auto"/>
      </w:pBdr>
      <w:tabs>
        <w:tab w:val="left" w:pos="851"/>
        <w:tab w:val="right" w:pos="8364"/>
      </w:tabs>
      <w:adjustRightInd w:val="0"/>
      <w:snapToGrid w:val="0"/>
      <w:jc w:val="both"/>
      <w:rPr>
        <w:iCs/>
        <w:color w:val="0000FF"/>
        <w:sz w:val="20"/>
      </w:rPr>
    </w:pPr>
    <w:r w:rsidRPr="00173AB4">
      <w:rPr>
        <w:rFonts w:hint="eastAsia"/>
        <w:iCs/>
        <w:color w:val="000000"/>
        <w:sz w:val="20"/>
      </w:rPr>
      <w:tab/>
    </w:r>
    <w:r w:rsidRPr="00173AB4">
      <w:rPr>
        <w:iCs/>
        <w:color w:val="000000"/>
        <w:sz w:val="20"/>
      </w:rPr>
      <w:t xml:space="preserve">Cancer Biology </w:t>
    </w:r>
    <w:r w:rsidRPr="00173AB4">
      <w:rPr>
        <w:iCs/>
        <w:sz w:val="20"/>
      </w:rPr>
      <w:t>201</w:t>
    </w:r>
    <w:r w:rsidRPr="00173AB4">
      <w:rPr>
        <w:rFonts w:hint="eastAsia"/>
        <w:iCs/>
        <w:sz w:val="20"/>
      </w:rPr>
      <w:t>7</w:t>
    </w:r>
    <w:r w:rsidRPr="00173AB4">
      <w:rPr>
        <w:iCs/>
        <w:sz w:val="20"/>
      </w:rPr>
      <w:t>;</w:t>
    </w:r>
    <w:r w:rsidRPr="00173AB4">
      <w:rPr>
        <w:rFonts w:hint="eastAsia"/>
        <w:iCs/>
        <w:sz w:val="20"/>
      </w:rPr>
      <w:t>7</w:t>
    </w:r>
    <w:r w:rsidRPr="00173AB4">
      <w:rPr>
        <w:iCs/>
        <w:sz w:val="20"/>
      </w:rPr>
      <w:t>(</w:t>
    </w:r>
    <w:r w:rsidRPr="00173AB4">
      <w:rPr>
        <w:rFonts w:hint="eastAsia"/>
        <w:iCs/>
        <w:sz w:val="20"/>
      </w:rPr>
      <w:t>2</w:t>
    </w:r>
    <w:r w:rsidRPr="00173AB4">
      <w:rPr>
        <w:iCs/>
        <w:sz w:val="20"/>
      </w:rPr>
      <w:t xml:space="preserve">)  </w:t>
    </w:r>
    <w:r w:rsidRPr="00173AB4">
      <w:rPr>
        <w:rFonts w:hint="eastAsia"/>
        <w:iCs/>
        <w:sz w:val="20"/>
      </w:rPr>
      <w:t xml:space="preserve">   </w:t>
    </w:r>
    <w:r w:rsidRPr="00173AB4">
      <w:rPr>
        <w:rFonts w:hint="eastAsia"/>
        <w:iCs/>
        <w:sz w:val="20"/>
      </w:rPr>
      <w:tab/>
      <w:t xml:space="preserve">     </w:t>
    </w:r>
    <w:r w:rsidRPr="00173AB4">
      <w:rPr>
        <w:iCs/>
        <w:sz w:val="20"/>
      </w:rPr>
      <w:t xml:space="preserve"> </w:t>
    </w:r>
    <w:r w:rsidRPr="00173AB4">
      <w:rPr>
        <w:sz w:val="20"/>
      </w:rPr>
      <w:t xml:space="preserve">  </w:t>
    </w:r>
    <w:hyperlink r:id="rId1" w:history="1">
      <w:r w:rsidRPr="00173AB4">
        <w:rPr>
          <w:rStyle w:val="Hyperlink"/>
          <w:sz w:val="20"/>
        </w:rPr>
        <w:t>http://www.cancerbio.net</w:t>
      </w:r>
    </w:hyperlink>
  </w:p>
  <w:p w:rsidR="00173AB4" w:rsidRPr="00173AB4" w:rsidRDefault="00173AB4" w:rsidP="00173AB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B4" w:rsidRPr="00173AB4" w:rsidRDefault="00173AB4" w:rsidP="00173AB4">
    <w:pPr>
      <w:pBdr>
        <w:bottom w:val="thinThickMediumGap" w:sz="12" w:space="1" w:color="auto"/>
      </w:pBdr>
      <w:tabs>
        <w:tab w:val="left" w:pos="851"/>
        <w:tab w:val="right" w:pos="8364"/>
      </w:tabs>
      <w:adjustRightInd w:val="0"/>
      <w:snapToGrid w:val="0"/>
      <w:jc w:val="both"/>
      <w:rPr>
        <w:iCs/>
        <w:color w:val="0000FF"/>
        <w:sz w:val="20"/>
      </w:rPr>
    </w:pPr>
    <w:r w:rsidRPr="00173AB4">
      <w:rPr>
        <w:rFonts w:hint="eastAsia"/>
        <w:iCs/>
        <w:color w:val="000000"/>
        <w:sz w:val="20"/>
      </w:rPr>
      <w:tab/>
    </w:r>
    <w:r w:rsidRPr="00173AB4">
      <w:rPr>
        <w:iCs/>
        <w:color w:val="000000"/>
        <w:sz w:val="20"/>
      </w:rPr>
      <w:t xml:space="preserve">Cancer Biology </w:t>
    </w:r>
    <w:r w:rsidRPr="00173AB4">
      <w:rPr>
        <w:iCs/>
        <w:sz w:val="20"/>
      </w:rPr>
      <w:t>201</w:t>
    </w:r>
    <w:r w:rsidRPr="00173AB4">
      <w:rPr>
        <w:rFonts w:hint="eastAsia"/>
        <w:iCs/>
        <w:sz w:val="20"/>
      </w:rPr>
      <w:t>7</w:t>
    </w:r>
    <w:r w:rsidRPr="00173AB4">
      <w:rPr>
        <w:iCs/>
        <w:sz w:val="20"/>
      </w:rPr>
      <w:t>;</w:t>
    </w:r>
    <w:r w:rsidRPr="00173AB4">
      <w:rPr>
        <w:rFonts w:hint="eastAsia"/>
        <w:iCs/>
        <w:sz w:val="20"/>
      </w:rPr>
      <w:t>7</w:t>
    </w:r>
    <w:r w:rsidRPr="00173AB4">
      <w:rPr>
        <w:iCs/>
        <w:sz w:val="20"/>
      </w:rPr>
      <w:t>(</w:t>
    </w:r>
    <w:r w:rsidRPr="00173AB4">
      <w:rPr>
        <w:rFonts w:hint="eastAsia"/>
        <w:iCs/>
        <w:sz w:val="20"/>
      </w:rPr>
      <w:t>2</w:t>
    </w:r>
    <w:r w:rsidRPr="00173AB4">
      <w:rPr>
        <w:iCs/>
        <w:sz w:val="20"/>
      </w:rPr>
      <w:t xml:space="preserve">)  </w:t>
    </w:r>
    <w:r w:rsidRPr="00173AB4">
      <w:rPr>
        <w:rFonts w:hint="eastAsia"/>
        <w:iCs/>
        <w:sz w:val="20"/>
      </w:rPr>
      <w:t xml:space="preserve">   </w:t>
    </w:r>
    <w:r w:rsidRPr="00173AB4">
      <w:rPr>
        <w:rFonts w:hint="eastAsia"/>
        <w:iCs/>
        <w:sz w:val="20"/>
      </w:rPr>
      <w:tab/>
      <w:t xml:space="preserve">     </w:t>
    </w:r>
    <w:r w:rsidRPr="00173AB4">
      <w:rPr>
        <w:iCs/>
        <w:sz w:val="20"/>
      </w:rPr>
      <w:t xml:space="preserve"> </w:t>
    </w:r>
    <w:r w:rsidRPr="00173AB4">
      <w:rPr>
        <w:sz w:val="20"/>
      </w:rPr>
      <w:t xml:space="preserve">  </w:t>
    </w:r>
    <w:hyperlink r:id="rId1" w:history="1">
      <w:r w:rsidRPr="00173AB4">
        <w:rPr>
          <w:rStyle w:val="Hyperlink"/>
          <w:sz w:val="20"/>
        </w:rPr>
        <w:t>http://www.cancerbio.net</w:t>
      </w:r>
    </w:hyperlink>
  </w:p>
  <w:p w:rsidR="00173AB4" w:rsidRPr="00173AB4" w:rsidRDefault="00173AB4" w:rsidP="00173AB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BE" w:rsidRPr="00F46A5E" w:rsidRDefault="006F2ABE" w:rsidP="001E6DA9">
    <w:pPr>
      <w:pBdr>
        <w:bottom w:val="thinThickMediumGap" w:sz="12" w:space="1" w:color="auto"/>
      </w:pBdr>
      <w:jc w:val="center"/>
      <w:rPr>
        <w:iCs/>
        <w:sz w:val="20"/>
        <w:szCs w:val="20"/>
      </w:rPr>
    </w:pPr>
    <w:r w:rsidRPr="00F46A5E">
      <w:rPr>
        <w:iCs/>
        <w:color w:val="000000"/>
        <w:sz w:val="20"/>
        <w:szCs w:val="20"/>
      </w:rPr>
      <w:t>Life Science Journal</w:t>
    </w:r>
    <w:r w:rsidRPr="00F46A5E">
      <w:rPr>
        <w:iCs/>
        <w:sz w:val="20"/>
        <w:szCs w:val="20"/>
      </w:rPr>
      <w:t xml:space="preserve"> 201</w:t>
    </w:r>
    <w:r>
      <w:rPr>
        <w:iCs/>
        <w:sz w:val="20"/>
        <w:szCs w:val="20"/>
      </w:rPr>
      <w:t>7</w:t>
    </w:r>
    <w:r w:rsidRPr="00F46A5E">
      <w:rPr>
        <w:iCs/>
        <w:sz w:val="20"/>
        <w:szCs w:val="20"/>
      </w:rPr>
      <w:t>;</w:t>
    </w:r>
    <w:r>
      <w:rPr>
        <w:iCs/>
        <w:sz w:val="20"/>
        <w:szCs w:val="20"/>
      </w:rPr>
      <w:t>14</w:t>
    </w:r>
    <w:r w:rsidRPr="00F46A5E">
      <w:rPr>
        <w:iCs/>
        <w:sz w:val="20"/>
        <w:szCs w:val="20"/>
      </w:rPr>
      <w:t>(</w:t>
    </w:r>
    <w:r>
      <w:rPr>
        <w:iCs/>
        <w:sz w:val="20"/>
        <w:szCs w:val="20"/>
      </w:rPr>
      <w:t>x</w:t>
    </w:r>
    <w:r w:rsidRPr="00F46A5E">
      <w:rPr>
        <w:iCs/>
        <w:sz w:val="20"/>
        <w:szCs w:val="20"/>
      </w:rPr>
      <w:t xml:space="preserve">)                    </w:t>
    </w:r>
    <w:r>
      <w:rPr>
        <w:iCs/>
        <w:sz w:val="20"/>
        <w:szCs w:val="20"/>
      </w:rPr>
      <w:t xml:space="preserve">                         </w:t>
    </w:r>
    <w:r w:rsidRPr="00F46A5E">
      <w:rPr>
        <w:iCs/>
        <w:sz w:val="20"/>
        <w:szCs w:val="20"/>
      </w:rPr>
      <w:t xml:space="preserve">             </w:t>
    </w:r>
    <w:hyperlink r:id="rId1" w:history="1">
      <w:r w:rsidRPr="00F46A5E">
        <w:rPr>
          <w:rStyle w:val="Hyperlink"/>
          <w:sz w:val="20"/>
          <w:szCs w:val="20"/>
        </w:rPr>
        <w:t>http://www.lifesciencesite.com</w:t>
      </w:r>
    </w:hyperlink>
  </w:p>
  <w:p w:rsidR="006F2ABE" w:rsidRPr="00F46A5E" w:rsidRDefault="006F2ABE" w:rsidP="001E6DA9">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900A1D"/>
    <w:multiLevelType w:val="hybridMultilevel"/>
    <w:tmpl w:val="763662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41310E"/>
    <w:multiLevelType w:val="hybridMultilevel"/>
    <w:tmpl w:val="A31E52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9457"/>
  </w:hdrShapeDefaults>
  <w:footnotePr>
    <w:pos w:val="beneathText"/>
    <w:footnote w:id="-1"/>
    <w:footnote w:id="0"/>
  </w:footnotePr>
  <w:endnotePr>
    <w:endnote w:id="-1"/>
    <w:endnote w:id="0"/>
  </w:endnotePr>
  <w:compat>
    <w:useFELayout/>
  </w:compat>
  <w:rsids>
    <w:rsidRoot w:val="009459B3"/>
    <w:rsid w:val="00000358"/>
    <w:rsid w:val="00005C8E"/>
    <w:rsid w:val="000075A2"/>
    <w:rsid w:val="00011AE6"/>
    <w:rsid w:val="00012408"/>
    <w:rsid w:val="00037F25"/>
    <w:rsid w:val="0004452C"/>
    <w:rsid w:val="0006091F"/>
    <w:rsid w:val="0006405F"/>
    <w:rsid w:val="00080CE9"/>
    <w:rsid w:val="000827B7"/>
    <w:rsid w:val="000844D7"/>
    <w:rsid w:val="000856E6"/>
    <w:rsid w:val="00086790"/>
    <w:rsid w:val="00090A06"/>
    <w:rsid w:val="000A0250"/>
    <w:rsid w:val="000C364E"/>
    <w:rsid w:val="000E09DA"/>
    <w:rsid w:val="000E5C88"/>
    <w:rsid w:val="00133554"/>
    <w:rsid w:val="00135C77"/>
    <w:rsid w:val="001714B1"/>
    <w:rsid w:val="00173AB4"/>
    <w:rsid w:val="001817C7"/>
    <w:rsid w:val="00183764"/>
    <w:rsid w:val="001964D0"/>
    <w:rsid w:val="001A232F"/>
    <w:rsid w:val="001B41B8"/>
    <w:rsid w:val="001B650D"/>
    <w:rsid w:val="001C3D42"/>
    <w:rsid w:val="001E1DC0"/>
    <w:rsid w:val="001E6D17"/>
    <w:rsid w:val="001E6DA9"/>
    <w:rsid w:val="001E76E2"/>
    <w:rsid w:val="001F71BC"/>
    <w:rsid w:val="00205E97"/>
    <w:rsid w:val="00206841"/>
    <w:rsid w:val="002215FA"/>
    <w:rsid w:val="00245C21"/>
    <w:rsid w:val="002721F1"/>
    <w:rsid w:val="00281877"/>
    <w:rsid w:val="00282FA1"/>
    <w:rsid w:val="002B5613"/>
    <w:rsid w:val="002D3558"/>
    <w:rsid w:val="002D589A"/>
    <w:rsid w:val="002F20CD"/>
    <w:rsid w:val="002F49EF"/>
    <w:rsid w:val="00314F95"/>
    <w:rsid w:val="00322FAB"/>
    <w:rsid w:val="00345581"/>
    <w:rsid w:val="0034702D"/>
    <w:rsid w:val="003617A8"/>
    <w:rsid w:val="003679A0"/>
    <w:rsid w:val="003810C7"/>
    <w:rsid w:val="003843B7"/>
    <w:rsid w:val="0038615A"/>
    <w:rsid w:val="00394B65"/>
    <w:rsid w:val="003A08E0"/>
    <w:rsid w:val="003A2200"/>
    <w:rsid w:val="003A785E"/>
    <w:rsid w:val="003B55FF"/>
    <w:rsid w:val="003B651F"/>
    <w:rsid w:val="003C0116"/>
    <w:rsid w:val="003C4C28"/>
    <w:rsid w:val="003E7431"/>
    <w:rsid w:val="0043645D"/>
    <w:rsid w:val="00454A39"/>
    <w:rsid w:val="00454A59"/>
    <w:rsid w:val="00456753"/>
    <w:rsid w:val="00457D15"/>
    <w:rsid w:val="00467F13"/>
    <w:rsid w:val="004718EA"/>
    <w:rsid w:val="00471E57"/>
    <w:rsid w:val="00480715"/>
    <w:rsid w:val="0049143E"/>
    <w:rsid w:val="004B5F13"/>
    <w:rsid w:val="004C5E25"/>
    <w:rsid w:val="004C7899"/>
    <w:rsid w:val="004C7E2A"/>
    <w:rsid w:val="004D01D3"/>
    <w:rsid w:val="004D0467"/>
    <w:rsid w:val="004F4AFB"/>
    <w:rsid w:val="004F5148"/>
    <w:rsid w:val="00520D1A"/>
    <w:rsid w:val="0052512B"/>
    <w:rsid w:val="0052651F"/>
    <w:rsid w:val="00530A2F"/>
    <w:rsid w:val="00536656"/>
    <w:rsid w:val="00553F9B"/>
    <w:rsid w:val="00566622"/>
    <w:rsid w:val="00593132"/>
    <w:rsid w:val="005961F7"/>
    <w:rsid w:val="005A0418"/>
    <w:rsid w:val="005A21B0"/>
    <w:rsid w:val="005A3FC6"/>
    <w:rsid w:val="005A5E42"/>
    <w:rsid w:val="005C2F35"/>
    <w:rsid w:val="005D0765"/>
    <w:rsid w:val="005D1DA6"/>
    <w:rsid w:val="005E42D8"/>
    <w:rsid w:val="005F5A9D"/>
    <w:rsid w:val="005F5E04"/>
    <w:rsid w:val="00612A9F"/>
    <w:rsid w:val="00630762"/>
    <w:rsid w:val="0063352F"/>
    <w:rsid w:val="00636350"/>
    <w:rsid w:val="00642D15"/>
    <w:rsid w:val="00646891"/>
    <w:rsid w:val="0065209A"/>
    <w:rsid w:val="00655F8D"/>
    <w:rsid w:val="00657995"/>
    <w:rsid w:val="00690399"/>
    <w:rsid w:val="00694EBE"/>
    <w:rsid w:val="006B5399"/>
    <w:rsid w:val="006C23CD"/>
    <w:rsid w:val="006C3CBB"/>
    <w:rsid w:val="006D5C2E"/>
    <w:rsid w:val="006E2515"/>
    <w:rsid w:val="006E6ACB"/>
    <w:rsid w:val="006E7156"/>
    <w:rsid w:val="006F1706"/>
    <w:rsid w:val="006F2ABE"/>
    <w:rsid w:val="00707096"/>
    <w:rsid w:val="00707DB7"/>
    <w:rsid w:val="00723026"/>
    <w:rsid w:val="00730139"/>
    <w:rsid w:val="00742790"/>
    <w:rsid w:val="00743C30"/>
    <w:rsid w:val="00744442"/>
    <w:rsid w:val="007464F1"/>
    <w:rsid w:val="00771EF7"/>
    <w:rsid w:val="007725E7"/>
    <w:rsid w:val="0078507E"/>
    <w:rsid w:val="007B7734"/>
    <w:rsid w:val="007D1FF9"/>
    <w:rsid w:val="007D3D09"/>
    <w:rsid w:val="007D5FE9"/>
    <w:rsid w:val="007D6D78"/>
    <w:rsid w:val="007D746F"/>
    <w:rsid w:val="007E4AA9"/>
    <w:rsid w:val="007F5348"/>
    <w:rsid w:val="007F763B"/>
    <w:rsid w:val="00811529"/>
    <w:rsid w:val="00811977"/>
    <w:rsid w:val="008131CF"/>
    <w:rsid w:val="00814FA7"/>
    <w:rsid w:val="008233D0"/>
    <w:rsid w:val="0085007D"/>
    <w:rsid w:val="00867E93"/>
    <w:rsid w:val="00875C08"/>
    <w:rsid w:val="008A20AC"/>
    <w:rsid w:val="008A67B6"/>
    <w:rsid w:val="008C72FC"/>
    <w:rsid w:val="008E6947"/>
    <w:rsid w:val="008F201D"/>
    <w:rsid w:val="0090463C"/>
    <w:rsid w:val="0091208A"/>
    <w:rsid w:val="00914558"/>
    <w:rsid w:val="00935CF7"/>
    <w:rsid w:val="00940B33"/>
    <w:rsid w:val="0094140D"/>
    <w:rsid w:val="009459B3"/>
    <w:rsid w:val="00952EB8"/>
    <w:rsid w:val="00981243"/>
    <w:rsid w:val="00997A8E"/>
    <w:rsid w:val="009A19D6"/>
    <w:rsid w:val="009A3681"/>
    <w:rsid w:val="009A3D1A"/>
    <w:rsid w:val="009C702A"/>
    <w:rsid w:val="009D46CB"/>
    <w:rsid w:val="009E04DB"/>
    <w:rsid w:val="009E17F6"/>
    <w:rsid w:val="00A00AED"/>
    <w:rsid w:val="00A019BF"/>
    <w:rsid w:val="00A0637B"/>
    <w:rsid w:val="00A150EA"/>
    <w:rsid w:val="00A1557F"/>
    <w:rsid w:val="00A3476D"/>
    <w:rsid w:val="00A400D2"/>
    <w:rsid w:val="00A46BE9"/>
    <w:rsid w:val="00A85C3B"/>
    <w:rsid w:val="00A87A5A"/>
    <w:rsid w:val="00AD5A00"/>
    <w:rsid w:val="00B03AD2"/>
    <w:rsid w:val="00B154E7"/>
    <w:rsid w:val="00B258EE"/>
    <w:rsid w:val="00B26A49"/>
    <w:rsid w:val="00B3167C"/>
    <w:rsid w:val="00B36B45"/>
    <w:rsid w:val="00B60E8D"/>
    <w:rsid w:val="00B742D0"/>
    <w:rsid w:val="00B80C0E"/>
    <w:rsid w:val="00B918AE"/>
    <w:rsid w:val="00B94E19"/>
    <w:rsid w:val="00BD2125"/>
    <w:rsid w:val="00BD2A8D"/>
    <w:rsid w:val="00BE5D4B"/>
    <w:rsid w:val="00BF6579"/>
    <w:rsid w:val="00C0761F"/>
    <w:rsid w:val="00C101C9"/>
    <w:rsid w:val="00C22034"/>
    <w:rsid w:val="00C35AF9"/>
    <w:rsid w:val="00C44596"/>
    <w:rsid w:val="00C54592"/>
    <w:rsid w:val="00C60D61"/>
    <w:rsid w:val="00C701BF"/>
    <w:rsid w:val="00C92003"/>
    <w:rsid w:val="00C97879"/>
    <w:rsid w:val="00CC4387"/>
    <w:rsid w:val="00CD5A17"/>
    <w:rsid w:val="00CE7B2F"/>
    <w:rsid w:val="00CF24FB"/>
    <w:rsid w:val="00CF3830"/>
    <w:rsid w:val="00CF6616"/>
    <w:rsid w:val="00D012D5"/>
    <w:rsid w:val="00D0252C"/>
    <w:rsid w:val="00D04C27"/>
    <w:rsid w:val="00D13147"/>
    <w:rsid w:val="00D26F2E"/>
    <w:rsid w:val="00D3372D"/>
    <w:rsid w:val="00D3777A"/>
    <w:rsid w:val="00D56002"/>
    <w:rsid w:val="00D63D4A"/>
    <w:rsid w:val="00D93819"/>
    <w:rsid w:val="00DA0379"/>
    <w:rsid w:val="00DA2933"/>
    <w:rsid w:val="00DB0F41"/>
    <w:rsid w:val="00DB12BC"/>
    <w:rsid w:val="00DE4323"/>
    <w:rsid w:val="00DF6507"/>
    <w:rsid w:val="00DF7353"/>
    <w:rsid w:val="00E00CD4"/>
    <w:rsid w:val="00E015B9"/>
    <w:rsid w:val="00E04D5B"/>
    <w:rsid w:val="00E1206B"/>
    <w:rsid w:val="00E34501"/>
    <w:rsid w:val="00E34DBD"/>
    <w:rsid w:val="00E37BBC"/>
    <w:rsid w:val="00E52EA0"/>
    <w:rsid w:val="00E544C4"/>
    <w:rsid w:val="00E549C6"/>
    <w:rsid w:val="00E567B1"/>
    <w:rsid w:val="00E57761"/>
    <w:rsid w:val="00E617EB"/>
    <w:rsid w:val="00E73E1D"/>
    <w:rsid w:val="00E947B4"/>
    <w:rsid w:val="00EB50D2"/>
    <w:rsid w:val="00EB51A8"/>
    <w:rsid w:val="00EB51F4"/>
    <w:rsid w:val="00EC565A"/>
    <w:rsid w:val="00EC5C53"/>
    <w:rsid w:val="00ED4441"/>
    <w:rsid w:val="00ED4A29"/>
    <w:rsid w:val="00ED4ED9"/>
    <w:rsid w:val="00EE1CEE"/>
    <w:rsid w:val="00EE1F4B"/>
    <w:rsid w:val="00EE21EC"/>
    <w:rsid w:val="00F03305"/>
    <w:rsid w:val="00F2228B"/>
    <w:rsid w:val="00F57F83"/>
    <w:rsid w:val="00F62573"/>
    <w:rsid w:val="00F83A62"/>
    <w:rsid w:val="00FA6D77"/>
    <w:rsid w:val="00FB5B6A"/>
    <w:rsid w:val="00FB6987"/>
    <w:rsid w:val="00FC4906"/>
    <w:rsid w:val="00FC5731"/>
    <w:rsid w:val="00FE7EF9"/>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E04DB"/>
    <w:pPr>
      <w:keepNext/>
      <w:tabs>
        <w:tab w:val="num" w:pos="0"/>
      </w:tabs>
      <w:outlineLvl w:val="0"/>
    </w:pPr>
    <w:rPr>
      <w:b/>
      <w:bCs/>
      <w:sz w:val="32"/>
    </w:rPr>
  </w:style>
  <w:style w:type="paragraph" w:styleId="Heading2">
    <w:name w:val="heading 2"/>
    <w:basedOn w:val="Normal"/>
    <w:next w:val="Normal"/>
    <w:qFormat/>
    <w:rsid w:val="009E04DB"/>
    <w:pPr>
      <w:keepNext/>
      <w:tabs>
        <w:tab w:val="num" w:pos="0"/>
      </w:tabs>
      <w:jc w:val="both"/>
      <w:outlineLvl w:val="1"/>
    </w:pPr>
    <w:rPr>
      <w:b/>
      <w:sz w:val="28"/>
    </w:rPr>
  </w:style>
  <w:style w:type="paragraph" w:styleId="Heading3">
    <w:name w:val="heading 3"/>
    <w:basedOn w:val="Normal"/>
    <w:next w:val="Normal"/>
    <w:qFormat/>
    <w:rsid w:val="009E04DB"/>
    <w:pPr>
      <w:keepNext/>
      <w:tabs>
        <w:tab w:val="num" w:pos="0"/>
      </w:tabs>
      <w:spacing w:line="360" w:lineRule="auto"/>
      <w:jc w:val="both"/>
      <w:outlineLvl w:val="2"/>
    </w:pPr>
    <w:rPr>
      <w:b/>
      <w:bCs/>
    </w:rPr>
  </w:style>
  <w:style w:type="paragraph" w:styleId="Heading6">
    <w:name w:val="heading 6"/>
    <w:basedOn w:val="Normal"/>
    <w:next w:val="Normal"/>
    <w:qFormat/>
    <w:rsid w:val="009E04D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E04DB"/>
  </w:style>
  <w:style w:type="character" w:customStyle="1" w:styleId="WW-Absatz-Standardschriftart">
    <w:name w:val="WW-Absatz-Standardschriftart"/>
    <w:rsid w:val="009E04DB"/>
  </w:style>
  <w:style w:type="character" w:customStyle="1" w:styleId="WW-Absatz-Standardschriftart1">
    <w:name w:val="WW-Absatz-Standardschriftart1"/>
    <w:rsid w:val="009E04DB"/>
  </w:style>
  <w:style w:type="character" w:customStyle="1" w:styleId="WW-Absatz-Standardschriftart11">
    <w:name w:val="WW-Absatz-Standardschriftart11"/>
    <w:rsid w:val="009E04DB"/>
  </w:style>
  <w:style w:type="character" w:customStyle="1" w:styleId="WW-Absatz-Standardschriftart111">
    <w:name w:val="WW-Absatz-Standardschriftart111"/>
    <w:rsid w:val="009E04DB"/>
  </w:style>
  <w:style w:type="character" w:customStyle="1" w:styleId="WW-Absatz-Standardschriftart1111">
    <w:name w:val="WW-Absatz-Standardschriftart1111"/>
    <w:rsid w:val="009E04DB"/>
  </w:style>
  <w:style w:type="character" w:customStyle="1" w:styleId="WW-Absatz-Standardschriftart11111">
    <w:name w:val="WW-Absatz-Standardschriftart11111"/>
    <w:rsid w:val="009E04DB"/>
  </w:style>
  <w:style w:type="character" w:customStyle="1" w:styleId="WW-Absatz-Standardschriftart111111">
    <w:name w:val="WW-Absatz-Standardschriftart111111"/>
    <w:rsid w:val="009E04DB"/>
  </w:style>
  <w:style w:type="character" w:customStyle="1" w:styleId="WW-Absatz-Standardschriftart1111111">
    <w:name w:val="WW-Absatz-Standardschriftart1111111"/>
    <w:rsid w:val="009E04DB"/>
  </w:style>
  <w:style w:type="character" w:customStyle="1" w:styleId="WW-Absatz-Standardschriftart11111111">
    <w:name w:val="WW-Absatz-Standardschriftart11111111"/>
    <w:rsid w:val="009E04DB"/>
  </w:style>
  <w:style w:type="character" w:customStyle="1" w:styleId="WW-Absatz-Standardschriftart111111111">
    <w:name w:val="WW-Absatz-Standardschriftart111111111"/>
    <w:rsid w:val="009E04DB"/>
  </w:style>
  <w:style w:type="character" w:customStyle="1" w:styleId="WW-Absatz-Standardschriftart1111111111">
    <w:name w:val="WW-Absatz-Standardschriftart1111111111"/>
    <w:rsid w:val="009E04DB"/>
  </w:style>
  <w:style w:type="character" w:customStyle="1" w:styleId="WW-Absatz-Standardschriftart11111111111">
    <w:name w:val="WW-Absatz-Standardschriftart11111111111"/>
    <w:rsid w:val="009E04DB"/>
  </w:style>
  <w:style w:type="character" w:customStyle="1" w:styleId="WW-Absatz-Standardschriftart111111111111">
    <w:name w:val="WW-Absatz-Standardschriftart111111111111"/>
    <w:rsid w:val="009E04DB"/>
  </w:style>
  <w:style w:type="character" w:customStyle="1" w:styleId="WW-Absatz-Standardschriftart1111111111111">
    <w:name w:val="WW-Absatz-Standardschriftart1111111111111"/>
    <w:rsid w:val="009E04DB"/>
  </w:style>
  <w:style w:type="character" w:customStyle="1" w:styleId="WW-Absatz-Standardschriftart11111111111111">
    <w:name w:val="WW-Absatz-Standardschriftart11111111111111"/>
    <w:rsid w:val="009E04DB"/>
  </w:style>
  <w:style w:type="character" w:customStyle="1" w:styleId="WW-Absatz-Standardschriftart111111111111111">
    <w:name w:val="WW-Absatz-Standardschriftart111111111111111"/>
    <w:rsid w:val="009E04DB"/>
  </w:style>
  <w:style w:type="character" w:customStyle="1" w:styleId="WW-Absatz-Standardschriftart1111111111111111">
    <w:name w:val="WW-Absatz-Standardschriftart1111111111111111"/>
    <w:rsid w:val="009E04DB"/>
  </w:style>
  <w:style w:type="character" w:customStyle="1" w:styleId="WW8Num1z0">
    <w:name w:val="WW8Num1z0"/>
    <w:rsid w:val="009E04DB"/>
    <w:rPr>
      <w:rFonts w:ascii="Symbol" w:eastAsia="Times New Roman" w:hAnsi="Symbol" w:cs="Times New Roman"/>
    </w:rPr>
  </w:style>
  <w:style w:type="character" w:customStyle="1" w:styleId="WW8Num1z1">
    <w:name w:val="WW8Num1z1"/>
    <w:rsid w:val="009E04DB"/>
    <w:rPr>
      <w:rFonts w:ascii="Courier New" w:hAnsi="Courier New" w:cs="Courier New"/>
    </w:rPr>
  </w:style>
  <w:style w:type="character" w:customStyle="1" w:styleId="WW8Num1z2">
    <w:name w:val="WW8Num1z2"/>
    <w:rsid w:val="009E04DB"/>
    <w:rPr>
      <w:rFonts w:ascii="Wingdings" w:hAnsi="Wingdings"/>
    </w:rPr>
  </w:style>
  <w:style w:type="character" w:customStyle="1" w:styleId="WW8Num1z3">
    <w:name w:val="WW8Num1z3"/>
    <w:rsid w:val="009E04DB"/>
    <w:rPr>
      <w:rFonts w:ascii="Symbol" w:hAnsi="Symbol"/>
    </w:rPr>
  </w:style>
  <w:style w:type="character" w:styleId="PageNumber">
    <w:name w:val="page number"/>
    <w:basedOn w:val="DefaultParagraphFont"/>
    <w:rsid w:val="009E04DB"/>
  </w:style>
  <w:style w:type="character" w:styleId="Hyperlink">
    <w:name w:val="Hyperlink"/>
    <w:basedOn w:val="DefaultParagraphFont"/>
    <w:uiPriority w:val="99"/>
    <w:rsid w:val="009E04DB"/>
    <w:rPr>
      <w:color w:val="0000FF"/>
      <w:u w:val="single"/>
    </w:rPr>
  </w:style>
  <w:style w:type="character" w:styleId="FollowedHyperlink">
    <w:name w:val="FollowedHyperlink"/>
    <w:basedOn w:val="DefaultParagraphFont"/>
    <w:rsid w:val="009E04DB"/>
    <w:rPr>
      <w:color w:val="800080"/>
      <w:u w:val="single"/>
    </w:rPr>
  </w:style>
  <w:style w:type="character" w:customStyle="1" w:styleId="NumberingSymbols">
    <w:name w:val="Numbering Symbols"/>
    <w:rsid w:val="009E04DB"/>
  </w:style>
  <w:style w:type="paragraph" w:customStyle="1" w:styleId="Heading">
    <w:name w:val="Heading"/>
    <w:basedOn w:val="Normal"/>
    <w:next w:val="BodyText"/>
    <w:rsid w:val="009E04DB"/>
    <w:pPr>
      <w:keepNext/>
      <w:spacing w:before="240" w:after="120"/>
    </w:pPr>
    <w:rPr>
      <w:rFonts w:ascii="Nimbus Sans L" w:eastAsia="DejaVu Sans" w:hAnsi="Nimbus Sans L" w:cs="DejaVu Sans"/>
      <w:sz w:val="28"/>
      <w:szCs w:val="28"/>
    </w:rPr>
  </w:style>
  <w:style w:type="paragraph" w:styleId="BodyText">
    <w:name w:val="Body Text"/>
    <w:basedOn w:val="Normal"/>
    <w:rsid w:val="009E04DB"/>
    <w:pPr>
      <w:spacing w:line="360" w:lineRule="auto"/>
    </w:pPr>
  </w:style>
  <w:style w:type="paragraph" w:styleId="List">
    <w:name w:val="List"/>
    <w:basedOn w:val="BodyText"/>
    <w:rsid w:val="009E04DB"/>
  </w:style>
  <w:style w:type="paragraph" w:styleId="Caption">
    <w:name w:val="caption"/>
    <w:basedOn w:val="Normal"/>
    <w:qFormat/>
    <w:rsid w:val="009E04DB"/>
    <w:pPr>
      <w:suppressLineNumbers/>
      <w:spacing w:before="120" w:after="120"/>
    </w:pPr>
    <w:rPr>
      <w:i/>
      <w:iCs/>
    </w:rPr>
  </w:style>
  <w:style w:type="paragraph" w:customStyle="1" w:styleId="Index">
    <w:name w:val="Index"/>
    <w:basedOn w:val="Normal"/>
    <w:rsid w:val="009E04DB"/>
    <w:pPr>
      <w:suppressLineNumbers/>
    </w:pPr>
  </w:style>
  <w:style w:type="paragraph" w:styleId="Header">
    <w:name w:val="header"/>
    <w:basedOn w:val="Normal"/>
    <w:next w:val="Heading1"/>
    <w:link w:val="HeaderChar"/>
    <w:rsid w:val="009E04DB"/>
    <w:pPr>
      <w:tabs>
        <w:tab w:val="center" w:pos="4320"/>
        <w:tab w:val="right" w:pos="8640"/>
      </w:tabs>
    </w:pPr>
  </w:style>
  <w:style w:type="paragraph" w:styleId="BodyTextIndent3">
    <w:name w:val="Body Text Indent 3"/>
    <w:basedOn w:val="Normal"/>
    <w:rsid w:val="009E04DB"/>
    <w:pPr>
      <w:spacing w:line="360" w:lineRule="auto"/>
      <w:ind w:firstLine="720"/>
      <w:jc w:val="both"/>
    </w:pPr>
    <w:rPr>
      <w:b/>
      <w:bCs/>
    </w:rPr>
  </w:style>
  <w:style w:type="paragraph" w:styleId="BodyTextIndent">
    <w:name w:val="Body Text Indent"/>
    <w:basedOn w:val="Normal"/>
    <w:rsid w:val="009E04DB"/>
    <w:pPr>
      <w:ind w:left="540" w:hanging="720"/>
      <w:jc w:val="both"/>
    </w:pPr>
  </w:style>
  <w:style w:type="paragraph" w:styleId="BodyTextIndent2">
    <w:name w:val="Body Text Indent 2"/>
    <w:basedOn w:val="Normal"/>
    <w:rsid w:val="009E04DB"/>
    <w:pPr>
      <w:spacing w:line="360" w:lineRule="auto"/>
      <w:ind w:firstLine="720"/>
      <w:jc w:val="both"/>
    </w:pPr>
  </w:style>
  <w:style w:type="paragraph" w:styleId="BodyText2">
    <w:name w:val="Body Text 2"/>
    <w:basedOn w:val="Normal"/>
    <w:rsid w:val="009E04DB"/>
    <w:pPr>
      <w:spacing w:line="360" w:lineRule="auto"/>
      <w:jc w:val="both"/>
    </w:pPr>
  </w:style>
  <w:style w:type="paragraph" w:styleId="Footer">
    <w:name w:val="footer"/>
    <w:basedOn w:val="Normal"/>
    <w:link w:val="FooterChar"/>
    <w:uiPriority w:val="99"/>
    <w:rsid w:val="009E04DB"/>
    <w:pPr>
      <w:tabs>
        <w:tab w:val="center" w:pos="4320"/>
        <w:tab w:val="right" w:pos="8640"/>
      </w:tabs>
    </w:pPr>
    <w:rPr>
      <w:sz w:val="32"/>
    </w:rPr>
  </w:style>
  <w:style w:type="paragraph" w:customStyle="1" w:styleId="TableContents">
    <w:name w:val="Table Contents"/>
    <w:basedOn w:val="Normal"/>
    <w:rsid w:val="009E04DB"/>
    <w:pPr>
      <w:suppressLineNumbers/>
    </w:pPr>
  </w:style>
  <w:style w:type="paragraph" w:customStyle="1" w:styleId="TableHeading">
    <w:name w:val="Table Heading"/>
    <w:basedOn w:val="TableContents"/>
    <w:rsid w:val="009E04DB"/>
    <w:pPr>
      <w:jc w:val="center"/>
    </w:pPr>
    <w:rPr>
      <w:b/>
      <w:bCs/>
    </w:rPr>
  </w:style>
  <w:style w:type="paragraph" w:customStyle="1" w:styleId="Framecontents">
    <w:name w:val="Frame contents"/>
    <w:basedOn w:val="BodyText"/>
    <w:rsid w:val="009E04DB"/>
  </w:style>
  <w:style w:type="paragraph" w:customStyle="1" w:styleId="Text">
    <w:name w:val="Text"/>
    <w:basedOn w:val="Normal"/>
    <w:rsid w:val="009E04D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1E6DA9"/>
    <w:rPr>
      <w:sz w:val="24"/>
      <w:szCs w:val="24"/>
      <w:lang w:eastAsia="ar-SA"/>
    </w:rPr>
  </w:style>
  <w:style w:type="paragraph" w:styleId="BalloonText">
    <w:name w:val="Balloon Text"/>
    <w:basedOn w:val="Normal"/>
    <w:link w:val="BalloonTextChar"/>
    <w:uiPriority w:val="99"/>
    <w:semiHidden/>
    <w:unhideWhenUsed/>
    <w:rsid w:val="00630762"/>
    <w:rPr>
      <w:rFonts w:ascii="Tahoma" w:hAnsi="Tahoma" w:cs="Tahoma"/>
      <w:sz w:val="16"/>
      <w:szCs w:val="16"/>
    </w:rPr>
  </w:style>
  <w:style w:type="character" w:customStyle="1" w:styleId="BalloonTextChar">
    <w:name w:val="Balloon Text Char"/>
    <w:basedOn w:val="DefaultParagraphFont"/>
    <w:link w:val="BalloonText"/>
    <w:uiPriority w:val="99"/>
    <w:semiHidden/>
    <w:rsid w:val="00630762"/>
    <w:rPr>
      <w:rFonts w:ascii="Tahoma" w:hAnsi="Tahoma" w:cs="Tahoma"/>
      <w:sz w:val="16"/>
      <w:szCs w:val="16"/>
      <w:lang w:eastAsia="ar-SA"/>
    </w:rPr>
  </w:style>
  <w:style w:type="character" w:customStyle="1" w:styleId="FooterChar">
    <w:name w:val="Footer Char"/>
    <w:basedOn w:val="DefaultParagraphFont"/>
    <w:link w:val="Footer"/>
    <w:uiPriority w:val="99"/>
    <w:rsid w:val="00B154E7"/>
    <w:rPr>
      <w:sz w:val="32"/>
      <w:szCs w:val="24"/>
      <w:lang w:eastAsia="ar-SA"/>
    </w:rPr>
  </w:style>
  <w:style w:type="table" w:styleId="TableGrid">
    <w:name w:val="Table Grid"/>
    <w:basedOn w:val="TableNormal"/>
    <w:uiPriority w:val="59"/>
    <w:rsid w:val="0069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364E"/>
    <w:pPr>
      <w:ind w:left="720"/>
      <w:contextualSpacing/>
    </w:pPr>
  </w:style>
  <w:style w:type="paragraph" w:styleId="NoSpacing">
    <w:name w:val="No Spacing"/>
    <w:basedOn w:val="Normal"/>
    <w:link w:val="NoSpacingChar"/>
    <w:qFormat/>
    <w:rsid w:val="009C702A"/>
    <w:pPr>
      <w:suppressAutoHyphens w:val="0"/>
      <w:spacing w:before="100" w:beforeAutospacing="1" w:after="100" w:afterAutospacing="1"/>
    </w:pPr>
    <w:rPr>
      <w:rFonts w:eastAsia="宋体"/>
      <w:lang w:eastAsia="zh-CN"/>
    </w:rPr>
  </w:style>
  <w:style w:type="character" w:customStyle="1" w:styleId="NoSpacingChar">
    <w:name w:val="No Spacing Char"/>
    <w:basedOn w:val="DefaultParagraphFont"/>
    <w:link w:val="NoSpacing"/>
    <w:locked/>
    <w:rsid w:val="009C702A"/>
    <w:rPr>
      <w:rFonts w:eastAsia="宋体"/>
      <w:sz w:val="24"/>
      <w:szCs w:val="24"/>
    </w:rPr>
  </w:style>
  <w:style w:type="character" w:customStyle="1" w:styleId="msonormal0">
    <w:name w:val="msonormal0"/>
    <w:basedOn w:val="DefaultParagraphFont"/>
    <w:rsid w:val="009C7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32"/>
    </w:rPr>
  </w:style>
  <w:style w:type="paragraph" w:styleId="Heading2">
    <w:name w:val="heading 2"/>
    <w:basedOn w:val="Normal"/>
    <w:next w:val="Normal"/>
    <w:qFormat/>
    <w:pPr>
      <w:keepNext/>
      <w:tabs>
        <w:tab w:val="num" w:pos="0"/>
      </w:tabs>
      <w:jc w:val="both"/>
      <w:outlineLvl w:val="1"/>
    </w:pPr>
    <w:rPr>
      <w:b/>
      <w:sz w:val="28"/>
    </w:rPr>
  </w:style>
  <w:style w:type="paragraph" w:styleId="Heading3">
    <w:name w:val="heading 3"/>
    <w:basedOn w:val="Normal"/>
    <w:next w:val="Normal"/>
    <w:qFormat/>
    <w:pPr>
      <w:keepNext/>
      <w:tabs>
        <w:tab w:val="num" w:pos="0"/>
      </w:tabs>
      <w:spacing w:line="360" w:lineRule="auto"/>
      <w:jc w:val="both"/>
      <w:outlineLvl w:val="2"/>
    </w:pPr>
    <w:rPr>
      <w:b/>
      <w:bCs/>
    </w:rPr>
  </w:style>
  <w:style w:type="paragraph" w:styleId="Heading6">
    <w:name w:val="heading 6"/>
    <w:basedOn w:val="Normal"/>
    <w:next w:val="Normal"/>
    <w:qFormat/>
    <w:pPr>
      <w:keepNext/>
      <w:tabs>
        <w:tab w:val="num" w:pos="0"/>
      </w:tabs>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link w:val="FooterChar"/>
    <w:uiPriority w:val="99"/>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1E6DA9"/>
    <w:rPr>
      <w:sz w:val="24"/>
      <w:szCs w:val="24"/>
      <w:lang w:eastAsia="ar-SA"/>
    </w:rPr>
  </w:style>
  <w:style w:type="paragraph" w:styleId="BalloonText">
    <w:name w:val="Balloon Text"/>
    <w:basedOn w:val="Normal"/>
    <w:link w:val="BalloonTextChar"/>
    <w:uiPriority w:val="99"/>
    <w:semiHidden/>
    <w:unhideWhenUsed/>
    <w:rsid w:val="00630762"/>
    <w:rPr>
      <w:rFonts w:ascii="Tahoma" w:hAnsi="Tahoma" w:cs="Tahoma"/>
      <w:sz w:val="16"/>
      <w:szCs w:val="16"/>
    </w:rPr>
  </w:style>
  <w:style w:type="character" w:customStyle="1" w:styleId="BalloonTextChar">
    <w:name w:val="Balloon Text Char"/>
    <w:basedOn w:val="DefaultParagraphFont"/>
    <w:link w:val="BalloonText"/>
    <w:uiPriority w:val="99"/>
    <w:semiHidden/>
    <w:rsid w:val="00630762"/>
    <w:rPr>
      <w:rFonts w:ascii="Tahoma" w:hAnsi="Tahoma" w:cs="Tahoma"/>
      <w:sz w:val="16"/>
      <w:szCs w:val="16"/>
      <w:lang w:eastAsia="ar-SA"/>
    </w:rPr>
  </w:style>
  <w:style w:type="character" w:customStyle="1" w:styleId="FooterChar">
    <w:name w:val="Footer Char"/>
    <w:basedOn w:val="DefaultParagraphFont"/>
    <w:link w:val="Footer"/>
    <w:uiPriority w:val="99"/>
    <w:rsid w:val="00B154E7"/>
    <w:rPr>
      <w:sz w:val="32"/>
      <w:szCs w:val="24"/>
      <w:lang w:eastAsia="ar-SA"/>
    </w:rPr>
  </w:style>
  <w:style w:type="table" w:styleId="TableGrid">
    <w:name w:val="Table Grid"/>
    <w:basedOn w:val="TableNormal"/>
    <w:uiPriority w:val="59"/>
    <w:rsid w:val="0069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364E"/>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alotaibi@pnu.edu.sa"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www.cancer.org/cance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mailto:rmalotaibi@pnu.edu.sa"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hyperlink" Target="http://www.dx.doi.org/10.7537/marscbj070217.07"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029D-3BDB-4496-A6F0-317FFB12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3907</Words>
  <Characters>20654</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24512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458836</vt:i4>
      </vt:variant>
      <vt:variant>
        <vt:i4>6</vt:i4>
      </vt:variant>
      <vt:variant>
        <vt:i4>0</vt:i4>
      </vt:variant>
      <vt:variant>
        <vt:i4>5</vt:i4>
      </vt:variant>
      <vt:variant>
        <vt:lpwstr>http://www.dx.doi.org/10.7537/marslsj13xx16xx</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2017-06-25T04:51:00Z</dcterms:created>
  <dcterms:modified xsi:type="dcterms:W3CDTF">2017-06-25T13:57:00Z</dcterms:modified>
</cp:coreProperties>
</file>