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8A" w:rsidRPr="00E35F4D" w:rsidRDefault="0084688A" w:rsidP="002B2928">
      <w:pPr>
        <w:pStyle w:val="Heading1"/>
        <w:keepNext w:val="0"/>
        <w:snapToGrid w:val="0"/>
        <w:jc w:val="center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Induction </w:t>
      </w:r>
      <w:r w:rsidR="00E54B98" w:rsidRPr="00E35F4D">
        <w:rPr>
          <w:b/>
          <w:bCs/>
          <w:sz w:val="20"/>
          <w:szCs w:val="20"/>
        </w:rPr>
        <w:t>C</w:t>
      </w:r>
      <w:r w:rsidRPr="00E35F4D">
        <w:rPr>
          <w:b/>
          <w:bCs/>
          <w:sz w:val="20"/>
          <w:szCs w:val="20"/>
        </w:rPr>
        <w:t xml:space="preserve">hemotherapy </w:t>
      </w:r>
      <w:proofErr w:type="gramStart"/>
      <w:r w:rsidR="00E54B98" w:rsidRPr="00E35F4D">
        <w:rPr>
          <w:b/>
          <w:bCs/>
          <w:sz w:val="20"/>
          <w:szCs w:val="20"/>
        </w:rPr>
        <w:t>W</w:t>
      </w:r>
      <w:r w:rsidRPr="00E35F4D">
        <w:rPr>
          <w:b/>
          <w:bCs/>
          <w:sz w:val="20"/>
          <w:szCs w:val="20"/>
        </w:rPr>
        <w:t>ith</w:t>
      </w:r>
      <w:proofErr w:type="gramEnd"/>
      <w:r w:rsidRPr="00E35F4D">
        <w:rPr>
          <w:b/>
          <w:bCs/>
          <w:sz w:val="20"/>
          <w:szCs w:val="20"/>
        </w:rPr>
        <w:t xml:space="preserve"> </w:t>
      </w:r>
      <w:proofErr w:type="spellStart"/>
      <w:r w:rsidR="00E54B98" w:rsidRPr="00E35F4D">
        <w:rPr>
          <w:b/>
          <w:bCs/>
          <w:sz w:val="20"/>
          <w:szCs w:val="20"/>
        </w:rPr>
        <w:t>C</w:t>
      </w:r>
      <w:r w:rsidRPr="00E35F4D">
        <w:rPr>
          <w:b/>
          <w:bCs/>
          <w:sz w:val="20"/>
          <w:szCs w:val="20"/>
        </w:rPr>
        <w:t>apecitabine</w:t>
      </w:r>
      <w:proofErr w:type="spellEnd"/>
      <w:r w:rsidRPr="00E35F4D">
        <w:rPr>
          <w:b/>
          <w:bCs/>
          <w:sz w:val="20"/>
          <w:szCs w:val="20"/>
        </w:rPr>
        <w:t xml:space="preserve"> </w:t>
      </w:r>
      <w:r w:rsidR="00E54B98" w:rsidRPr="00E35F4D">
        <w:rPr>
          <w:b/>
          <w:bCs/>
          <w:sz w:val="20"/>
          <w:szCs w:val="20"/>
        </w:rPr>
        <w:t>A</w:t>
      </w:r>
      <w:r w:rsidRPr="00E35F4D">
        <w:rPr>
          <w:b/>
          <w:bCs/>
          <w:sz w:val="20"/>
          <w:szCs w:val="20"/>
        </w:rPr>
        <w:t xml:space="preserve">nd </w:t>
      </w:r>
      <w:proofErr w:type="spellStart"/>
      <w:r w:rsidR="00E54B98" w:rsidRPr="00E35F4D">
        <w:rPr>
          <w:b/>
          <w:bCs/>
          <w:sz w:val="20"/>
          <w:szCs w:val="20"/>
        </w:rPr>
        <w:t>Oxaliplatin</w:t>
      </w:r>
      <w:proofErr w:type="spellEnd"/>
      <w:r w:rsidR="00E54B98" w:rsidRPr="00E35F4D">
        <w:rPr>
          <w:b/>
          <w:bCs/>
          <w:sz w:val="20"/>
          <w:szCs w:val="20"/>
        </w:rPr>
        <w:t xml:space="preserve"> </w:t>
      </w:r>
      <w:r w:rsidR="00AA62AC" w:rsidRPr="00E35F4D">
        <w:rPr>
          <w:b/>
          <w:bCs/>
          <w:sz w:val="20"/>
          <w:szCs w:val="20"/>
        </w:rPr>
        <w:t xml:space="preserve">(CAPOX) </w:t>
      </w:r>
      <w:r w:rsidR="00E54B98" w:rsidRPr="00E35F4D">
        <w:rPr>
          <w:b/>
          <w:bCs/>
          <w:sz w:val="20"/>
          <w:szCs w:val="20"/>
        </w:rPr>
        <w:t>F</w:t>
      </w:r>
      <w:r w:rsidRPr="00E35F4D">
        <w:rPr>
          <w:b/>
          <w:bCs/>
          <w:sz w:val="20"/>
          <w:szCs w:val="20"/>
        </w:rPr>
        <w:t xml:space="preserve">ollowed </w:t>
      </w:r>
      <w:r w:rsidR="00E54B98" w:rsidRPr="00E35F4D">
        <w:rPr>
          <w:b/>
          <w:bCs/>
          <w:sz w:val="20"/>
          <w:szCs w:val="20"/>
        </w:rPr>
        <w:t>B</w:t>
      </w:r>
      <w:r w:rsidRPr="00E35F4D">
        <w:rPr>
          <w:b/>
          <w:bCs/>
          <w:sz w:val="20"/>
          <w:szCs w:val="20"/>
        </w:rPr>
        <w:t xml:space="preserve">y </w:t>
      </w:r>
      <w:r w:rsidR="00E54B98" w:rsidRPr="00E35F4D">
        <w:rPr>
          <w:b/>
          <w:bCs/>
          <w:sz w:val="20"/>
          <w:szCs w:val="20"/>
        </w:rPr>
        <w:t>C</w:t>
      </w:r>
      <w:r w:rsidR="00A065DC" w:rsidRPr="00E35F4D">
        <w:rPr>
          <w:b/>
          <w:bCs/>
          <w:sz w:val="20"/>
          <w:szCs w:val="20"/>
        </w:rPr>
        <w:t xml:space="preserve">oncomitant </w:t>
      </w:r>
      <w:proofErr w:type="spellStart"/>
      <w:r w:rsidR="00E54B98" w:rsidRPr="00E35F4D">
        <w:rPr>
          <w:b/>
          <w:bCs/>
          <w:sz w:val="20"/>
          <w:szCs w:val="20"/>
        </w:rPr>
        <w:t>C</w:t>
      </w:r>
      <w:r w:rsidRPr="00E35F4D">
        <w:rPr>
          <w:b/>
          <w:bCs/>
          <w:sz w:val="20"/>
          <w:szCs w:val="20"/>
        </w:rPr>
        <w:t>hemoradiotherapy</w:t>
      </w:r>
      <w:proofErr w:type="spellEnd"/>
      <w:r w:rsidRPr="00E35F4D">
        <w:rPr>
          <w:b/>
          <w:bCs/>
          <w:sz w:val="20"/>
          <w:szCs w:val="20"/>
        </w:rPr>
        <w:t xml:space="preserve"> </w:t>
      </w:r>
      <w:r w:rsidR="00E54B98" w:rsidRPr="00E35F4D">
        <w:rPr>
          <w:b/>
          <w:bCs/>
          <w:sz w:val="20"/>
          <w:szCs w:val="20"/>
        </w:rPr>
        <w:t>B</w:t>
      </w:r>
      <w:r w:rsidRPr="00E35F4D">
        <w:rPr>
          <w:b/>
          <w:bCs/>
          <w:sz w:val="20"/>
          <w:szCs w:val="20"/>
        </w:rPr>
        <w:t xml:space="preserve">efore </w:t>
      </w:r>
      <w:r w:rsidR="00E54B98" w:rsidRPr="00E35F4D">
        <w:rPr>
          <w:b/>
          <w:bCs/>
          <w:sz w:val="20"/>
          <w:szCs w:val="20"/>
        </w:rPr>
        <w:t>S</w:t>
      </w:r>
      <w:r w:rsidR="00660D1D" w:rsidRPr="00E35F4D">
        <w:rPr>
          <w:b/>
          <w:bCs/>
          <w:sz w:val="20"/>
          <w:szCs w:val="20"/>
        </w:rPr>
        <w:t xml:space="preserve">urgical </w:t>
      </w:r>
      <w:r w:rsidR="00E54B98" w:rsidRPr="00E35F4D">
        <w:rPr>
          <w:b/>
          <w:bCs/>
          <w:sz w:val="20"/>
          <w:szCs w:val="20"/>
        </w:rPr>
        <w:t>R</w:t>
      </w:r>
      <w:r w:rsidR="00660D1D" w:rsidRPr="00E35F4D">
        <w:rPr>
          <w:b/>
          <w:bCs/>
          <w:sz w:val="20"/>
          <w:szCs w:val="20"/>
        </w:rPr>
        <w:t xml:space="preserve">esection </w:t>
      </w:r>
      <w:r w:rsidR="00E54B98" w:rsidRPr="00E35F4D">
        <w:rPr>
          <w:b/>
          <w:bCs/>
          <w:sz w:val="20"/>
          <w:szCs w:val="20"/>
        </w:rPr>
        <w:t>I</w:t>
      </w:r>
      <w:r w:rsidRPr="00E35F4D">
        <w:rPr>
          <w:b/>
          <w:bCs/>
          <w:sz w:val="20"/>
          <w:szCs w:val="20"/>
        </w:rPr>
        <w:t xml:space="preserve">n </w:t>
      </w:r>
      <w:r w:rsidR="00E54B98" w:rsidRPr="00E35F4D">
        <w:rPr>
          <w:b/>
          <w:bCs/>
          <w:sz w:val="20"/>
          <w:szCs w:val="20"/>
        </w:rPr>
        <w:t>P</w:t>
      </w:r>
      <w:r w:rsidRPr="00E35F4D">
        <w:rPr>
          <w:b/>
          <w:bCs/>
          <w:sz w:val="20"/>
          <w:szCs w:val="20"/>
        </w:rPr>
        <w:t xml:space="preserve">atients </w:t>
      </w:r>
      <w:r w:rsidR="00E54B98" w:rsidRPr="00E35F4D">
        <w:rPr>
          <w:b/>
          <w:bCs/>
          <w:sz w:val="20"/>
          <w:szCs w:val="20"/>
        </w:rPr>
        <w:t>W</w:t>
      </w:r>
      <w:r w:rsidRPr="00E35F4D">
        <w:rPr>
          <w:b/>
          <w:bCs/>
          <w:sz w:val="20"/>
          <w:szCs w:val="20"/>
        </w:rPr>
        <w:t xml:space="preserve">ith </w:t>
      </w:r>
      <w:r w:rsidR="00E54B98" w:rsidRPr="00E35F4D">
        <w:rPr>
          <w:b/>
          <w:bCs/>
          <w:sz w:val="20"/>
          <w:szCs w:val="20"/>
        </w:rPr>
        <w:t>L</w:t>
      </w:r>
      <w:r w:rsidRPr="00E35F4D">
        <w:rPr>
          <w:b/>
          <w:bCs/>
          <w:sz w:val="20"/>
          <w:szCs w:val="20"/>
        </w:rPr>
        <w:t xml:space="preserve">ocally </w:t>
      </w:r>
      <w:r w:rsidR="00E54B98" w:rsidRPr="00E35F4D">
        <w:rPr>
          <w:b/>
          <w:bCs/>
          <w:sz w:val="20"/>
          <w:szCs w:val="20"/>
        </w:rPr>
        <w:t>A</w:t>
      </w:r>
      <w:r w:rsidRPr="00E35F4D">
        <w:rPr>
          <w:b/>
          <w:bCs/>
          <w:sz w:val="20"/>
          <w:szCs w:val="20"/>
        </w:rPr>
        <w:t xml:space="preserve">dvanced </w:t>
      </w:r>
      <w:r w:rsidR="00E54B98" w:rsidRPr="00E35F4D">
        <w:rPr>
          <w:b/>
          <w:bCs/>
          <w:sz w:val="20"/>
          <w:szCs w:val="20"/>
        </w:rPr>
        <w:t>R</w:t>
      </w:r>
      <w:r w:rsidRPr="00E35F4D">
        <w:rPr>
          <w:b/>
          <w:bCs/>
          <w:sz w:val="20"/>
          <w:szCs w:val="20"/>
        </w:rPr>
        <w:t xml:space="preserve">ectal </w:t>
      </w:r>
      <w:r w:rsidR="00E54B98" w:rsidRPr="00E35F4D">
        <w:rPr>
          <w:b/>
          <w:bCs/>
          <w:sz w:val="20"/>
          <w:szCs w:val="20"/>
        </w:rPr>
        <w:t>C</w:t>
      </w:r>
      <w:r w:rsidRPr="00E35F4D">
        <w:rPr>
          <w:b/>
          <w:bCs/>
          <w:sz w:val="20"/>
          <w:szCs w:val="20"/>
        </w:rPr>
        <w:t>ancer</w:t>
      </w:r>
    </w:p>
    <w:p w:rsidR="002E172D" w:rsidRPr="00E35F4D" w:rsidRDefault="002E172D" w:rsidP="002B2928">
      <w:pPr>
        <w:snapToGrid w:val="0"/>
        <w:jc w:val="center"/>
        <w:rPr>
          <w:b/>
          <w:bCs/>
          <w:sz w:val="20"/>
          <w:szCs w:val="20"/>
        </w:rPr>
      </w:pPr>
    </w:p>
    <w:p w:rsidR="002E172D" w:rsidRPr="00E35F4D" w:rsidRDefault="002E172D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  <w:proofErr w:type="gramStart"/>
      <w:r w:rsidRPr="00E35F4D">
        <w:rPr>
          <w:sz w:val="20"/>
          <w:szCs w:val="20"/>
        </w:rPr>
        <w:t>Mohamed El-</w:t>
      </w:r>
      <w:proofErr w:type="spellStart"/>
      <w:r w:rsidRPr="00E35F4D">
        <w:rPr>
          <w:sz w:val="20"/>
          <w:szCs w:val="20"/>
        </w:rPr>
        <w:t>Shebiney</w:t>
      </w:r>
      <w:proofErr w:type="spellEnd"/>
      <w:r w:rsidR="00A02928" w:rsidRPr="00E35F4D">
        <w:rPr>
          <w:sz w:val="20"/>
          <w:szCs w:val="20"/>
        </w:rPr>
        <w:t xml:space="preserve"> M.D.</w:t>
      </w:r>
      <w:r w:rsidRPr="00E35F4D">
        <w:rPr>
          <w:sz w:val="20"/>
          <w:szCs w:val="20"/>
        </w:rPr>
        <w:t xml:space="preserve"> and </w:t>
      </w:r>
      <w:proofErr w:type="spellStart"/>
      <w:r w:rsidRPr="00E35F4D">
        <w:rPr>
          <w:sz w:val="20"/>
          <w:szCs w:val="20"/>
        </w:rPr>
        <w:t>Alaa</w:t>
      </w:r>
      <w:proofErr w:type="spellEnd"/>
      <w:r w:rsidRPr="00E35F4D">
        <w:rPr>
          <w:sz w:val="20"/>
          <w:szCs w:val="20"/>
        </w:rPr>
        <w:t xml:space="preserve"> Maria</w:t>
      </w:r>
      <w:r w:rsidR="00A02928" w:rsidRPr="00E35F4D">
        <w:rPr>
          <w:sz w:val="20"/>
          <w:szCs w:val="20"/>
        </w:rPr>
        <w:t xml:space="preserve"> M.D.</w:t>
      </w:r>
      <w:proofErr w:type="gramEnd"/>
    </w:p>
    <w:p w:rsidR="002B2928" w:rsidRPr="00E35F4D" w:rsidRDefault="002B2928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2E172D" w:rsidRPr="00E35F4D" w:rsidRDefault="002E172D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proofErr w:type="gramStart"/>
      <w:r w:rsidRPr="00E35F4D">
        <w:rPr>
          <w:sz w:val="20"/>
          <w:szCs w:val="20"/>
        </w:rPr>
        <w:t>Clinical Oncology Department, Faculty of Medicine, Tanta University Hospital, Egypt.</w:t>
      </w:r>
      <w:proofErr w:type="gramEnd"/>
    </w:p>
    <w:p w:rsidR="002E172D" w:rsidRPr="00E35F4D" w:rsidRDefault="00D67F38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hyperlink r:id="rId8" w:history="1">
        <w:r w:rsidR="00BA7F57" w:rsidRPr="00E35F4D">
          <w:rPr>
            <w:rStyle w:val="Hyperlink"/>
            <w:color w:val="000000"/>
            <w:sz w:val="20"/>
            <w:szCs w:val="20"/>
            <w:shd w:val="clear" w:color="auto" w:fill="FFFFFF"/>
          </w:rPr>
          <w:t>alaamaria1@hotmail.com</w:t>
        </w:r>
      </w:hyperlink>
    </w:p>
    <w:p w:rsidR="00BA7F57" w:rsidRPr="00E35F4D" w:rsidRDefault="00BA7F57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</w:p>
    <w:p w:rsidR="00D6537E" w:rsidRPr="00E35F4D" w:rsidRDefault="002E172D" w:rsidP="002B2928">
      <w:p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SA"/>
        </w:rPr>
      </w:pPr>
      <w:r w:rsidRPr="00E35F4D">
        <w:rPr>
          <w:b/>
          <w:bCs/>
          <w:sz w:val="20"/>
          <w:szCs w:val="20"/>
        </w:rPr>
        <w:t>Abstract</w:t>
      </w:r>
      <w:r w:rsidR="00D6537E" w:rsidRPr="00E35F4D">
        <w:rPr>
          <w:b/>
          <w:bCs/>
          <w:sz w:val="20"/>
          <w:szCs w:val="20"/>
        </w:rPr>
        <w:t>:</w:t>
      </w:r>
      <w:r w:rsidRPr="00E35F4D">
        <w:rPr>
          <w:b/>
          <w:bCs/>
          <w:sz w:val="20"/>
          <w:szCs w:val="20"/>
        </w:rPr>
        <w:t xml:space="preserve"> Background:</w:t>
      </w:r>
      <w:r w:rsidR="002B2928" w:rsidRPr="00E35F4D">
        <w:rPr>
          <w:color w:val="131413"/>
          <w:sz w:val="20"/>
          <w:szCs w:val="20"/>
        </w:rPr>
        <w:t xml:space="preserve"> </w:t>
      </w:r>
      <w:r w:rsidR="00E90B2E" w:rsidRPr="00E35F4D">
        <w:rPr>
          <w:sz w:val="20"/>
          <w:szCs w:val="20"/>
          <w:lang w:bidi="ar-SA"/>
        </w:rPr>
        <w:t xml:space="preserve">Concomitant </w:t>
      </w:r>
      <w:proofErr w:type="spellStart"/>
      <w:r w:rsidR="002A05B5" w:rsidRPr="00E35F4D">
        <w:rPr>
          <w:sz w:val="20"/>
          <w:szCs w:val="20"/>
          <w:lang w:bidi="ar-SA"/>
        </w:rPr>
        <w:t>chemoradiotherapy</w:t>
      </w:r>
      <w:proofErr w:type="spellEnd"/>
      <w:r w:rsidR="002A05B5" w:rsidRPr="00E35F4D">
        <w:rPr>
          <w:sz w:val="20"/>
          <w:szCs w:val="20"/>
          <w:lang w:bidi="ar-SA"/>
        </w:rPr>
        <w:t xml:space="preserve"> (</w:t>
      </w:r>
      <w:r w:rsidR="00E90B2E" w:rsidRPr="00E35F4D">
        <w:rPr>
          <w:sz w:val="20"/>
          <w:szCs w:val="20"/>
          <w:lang w:bidi="ar-SA"/>
        </w:rPr>
        <w:t>CRT</w:t>
      </w:r>
      <w:r w:rsidR="002A05B5" w:rsidRPr="00E35F4D">
        <w:rPr>
          <w:sz w:val="20"/>
          <w:szCs w:val="20"/>
          <w:lang w:bidi="ar-SA"/>
        </w:rPr>
        <w:t>)</w:t>
      </w:r>
      <w:r w:rsidR="00E90B2E" w:rsidRPr="00E35F4D">
        <w:rPr>
          <w:sz w:val="20"/>
          <w:szCs w:val="20"/>
          <w:lang w:bidi="ar-SA"/>
        </w:rPr>
        <w:t xml:space="preserve"> followed by </w:t>
      </w:r>
      <w:r w:rsidR="002A05B5" w:rsidRPr="00E35F4D">
        <w:rPr>
          <w:sz w:val="20"/>
          <w:szCs w:val="20"/>
          <w:lang w:bidi="ar-SA"/>
        </w:rPr>
        <w:t xml:space="preserve">total </w:t>
      </w:r>
      <w:proofErr w:type="spellStart"/>
      <w:r w:rsidR="002A05B5" w:rsidRPr="00E35F4D">
        <w:rPr>
          <w:sz w:val="20"/>
          <w:szCs w:val="20"/>
          <w:lang w:bidi="ar-SA"/>
        </w:rPr>
        <w:t>mesorectal</w:t>
      </w:r>
      <w:proofErr w:type="spellEnd"/>
      <w:r w:rsidR="002A05B5" w:rsidRPr="00E35F4D">
        <w:rPr>
          <w:sz w:val="20"/>
          <w:szCs w:val="20"/>
          <w:lang w:bidi="ar-SA"/>
        </w:rPr>
        <w:t xml:space="preserve"> excision (TME)</w:t>
      </w:r>
      <w:r w:rsidR="00E90B2E" w:rsidRPr="00E35F4D">
        <w:rPr>
          <w:sz w:val="20"/>
          <w:szCs w:val="20"/>
          <w:lang w:bidi="ar-SA"/>
        </w:rPr>
        <w:t xml:space="preserve"> is standard treatment for locally advance</w:t>
      </w:r>
      <w:r w:rsidR="00E92C3E" w:rsidRPr="00E35F4D">
        <w:rPr>
          <w:sz w:val="20"/>
          <w:szCs w:val="20"/>
          <w:lang w:bidi="ar-SA"/>
        </w:rPr>
        <w:t xml:space="preserve">d rectal cancer. </w:t>
      </w:r>
      <w:r w:rsidR="00E90B2E" w:rsidRPr="00E35F4D">
        <w:rPr>
          <w:sz w:val="20"/>
          <w:szCs w:val="20"/>
          <w:lang w:bidi="ar-SA"/>
        </w:rPr>
        <w:t>Induction chemotherapy has the advantage of earlier administration of systemic therapy and may improve distant control.</w:t>
      </w:r>
      <w:r w:rsidR="002A05B5" w:rsidRPr="00E35F4D">
        <w:rPr>
          <w:sz w:val="20"/>
          <w:szCs w:val="20"/>
          <w:lang w:bidi="ar-SA"/>
        </w:rPr>
        <w:t xml:space="preserve"> </w:t>
      </w:r>
      <w:r w:rsidRPr="00E35F4D">
        <w:rPr>
          <w:b/>
          <w:bCs/>
          <w:sz w:val="20"/>
          <w:szCs w:val="20"/>
        </w:rPr>
        <w:t>Purpose:</w:t>
      </w:r>
      <w:r w:rsidR="005F7E5F" w:rsidRPr="00E35F4D">
        <w:rPr>
          <w:b/>
          <w:bCs/>
          <w:sz w:val="20"/>
          <w:szCs w:val="20"/>
          <w:lang w:bidi="ar-SA"/>
        </w:rPr>
        <w:t xml:space="preserve"> </w:t>
      </w:r>
      <w:r w:rsidR="005F7E5F" w:rsidRPr="00E35F4D">
        <w:rPr>
          <w:sz w:val="20"/>
          <w:szCs w:val="20"/>
          <w:lang w:bidi="ar-SA"/>
        </w:rPr>
        <w:t xml:space="preserve">The </w:t>
      </w:r>
      <w:r w:rsidR="007C0C15" w:rsidRPr="00E35F4D">
        <w:rPr>
          <w:sz w:val="20"/>
          <w:szCs w:val="20"/>
          <w:lang w:bidi="ar-SA"/>
        </w:rPr>
        <w:t>purpose</w:t>
      </w:r>
      <w:r w:rsidR="005F7E5F" w:rsidRPr="00E35F4D">
        <w:rPr>
          <w:sz w:val="20"/>
          <w:szCs w:val="20"/>
          <w:lang w:bidi="ar-SA"/>
        </w:rPr>
        <w:t xml:space="preserve"> of the current study</w:t>
      </w:r>
      <w:r w:rsidR="007C0C15" w:rsidRPr="00E35F4D">
        <w:rPr>
          <w:sz w:val="20"/>
          <w:szCs w:val="20"/>
          <w:lang w:bidi="ar-SA"/>
        </w:rPr>
        <w:t xml:space="preserve"> </w:t>
      </w:r>
      <w:r w:rsidR="005F7E5F" w:rsidRPr="00E35F4D">
        <w:rPr>
          <w:sz w:val="20"/>
          <w:szCs w:val="20"/>
          <w:lang w:bidi="ar-SA"/>
        </w:rPr>
        <w:t>was to assess the efficacy and toxicity</w:t>
      </w:r>
      <w:r w:rsidR="007C0C15" w:rsidRPr="00E35F4D">
        <w:rPr>
          <w:sz w:val="20"/>
          <w:szCs w:val="20"/>
        </w:rPr>
        <w:t xml:space="preserve"> of</w:t>
      </w:r>
      <w:r w:rsidRPr="00E35F4D">
        <w:rPr>
          <w:sz w:val="20"/>
          <w:szCs w:val="20"/>
        </w:rPr>
        <w:t xml:space="preserve"> </w:t>
      </w:r>
      <w:r w:rsidR="005F7E5F" w:rsidRPr="00E35F4D">
        <w:rPr>
          <w:sz w:val="20"/>
          <w:szCs w:val="20"/>
          <w:lang w:bidi="ar-SA"/>
        </w:rPr>
        <w:t xml:space="preserve">induction </w:t>
      </w:r>
      <w:r w:rsidR="002A05B5" w:rsidRPr="00E35F4D">
        <w:rPr>
          <w:sz w:val="20"/>
          <w:szCs w:val="20"/>
          <w:lang w:bidi="ar-SA"/>
        </w:rPr>
        <w:t>chemotherapy (</w:t>
      </w:r>
      <w:r w:rsidR="005F7E5F" w:rsidRPr="00E35F4D">
        <w:rPr>
          <w:sz w:val="20"/>
          <w:szCs w:val="20"/>
          <w:lang w:bidi="ar-SA"/>
        </w:rPr>
        <w:t>CAPOX</w:t>
      </w:r>
      <w:r w:rsidR="002A05B5" w:rsidRPr="00E35F4D">
        <w:rPr>
          <w:sz w:val="20"/>
          <w:szCs w:val="20"/>
          <w:lang w:bidi="ar-SA"/>
        </w:rPr>
        <w:t>)</w:t>
      </w:r>
      <w:r w:rsidR="005F7E5F" w:rsidRPr="00E35F4D">
        <w:rPr>
          <w:sz w:val="20"/>
          <w:szCs w:val="20"/>
          <w:lang w:bidi="ar-SA"/>
        </w:rPr>
        <w:t xml:space="preserve"> followed</w:t>
      </w:r>
      <w:r w:rsidR="007C0C15" w:rsidRPr="00E35F4D">
        <w:rPr>
          <w:sz w:val="20"/>
          <w:szCs w:val="20"/>
          <w:lang w:bidi="ar-SA"/>
        </w:rPr>
        <w:t xml:space="preserve"> </w:t>
      </w:r>
      <w:r w:rsidR="005F7E5F" w:rsidRPr="00E35F4D">
        <w:rPr>
          <w:sz w:val="20"/>
          <w:szCs w:val="20"/>
          <w:lang w:bidi="ar-SA"/>
        </w:rPr>
        <w:t xml:space="preserve">by </w:t>
      </w:r>
      <w:r w:rsidR="002D79D4" w:rsidRPr="00E35F4D">
        <w:rPr>
          <w:sz w:val="20"/>
          <w:szCs w:val="20"/>
        </w:rPr>
        <w:t>concomitant</w:t>
      </w:r>
      <w:r w:rsidR="002D79D4" w:rsidRPr="00E35F4D">
        <w:rPr>
          <w:sz w:val="20"/>
          <w:szCs w:val="20"/>
          <w:lang w:bidi="ar-SA"/>
        </w:rPr>
        <w:t xml:space="preserve"> </w:t>
      </w:r>
      <w:r w:rsidR="005F7E5F" w:rsidRPr="00E35F4D">
        <w:rPr>
          <w:sz w:val="20"/>
          <w:szCs w:val="20"/>
          <w:lang w:bidi="ar-SA"/>
        </w:rPr>
        <w:t xml:space="preserve">CRT </w:t>
      </w:r>
      <w:r w:rsidR="00E92C3E" w:rsidRPr="00E35F4D">
        <w:rPr>
          <w:sz w:val="20"/>
          <w:szCs w:val="20"/>
          <w:lang w:bidi="ar-SA"/>
        </w:rPr>
        <w:t>before</w:t>
      </w:r>
      <w:r w:rsidR="005F7E5F" w:rsidRPr="00E35F4D">
        <w:rPr>
          <w:sz w:val="20"/>
          <w:szCs w:val="20"/>
          <w:lang w:bidi="ar-SA"/>
        </w:rPr>
        <w:t xml:space="preserve"> surgery in patients</w:t>
      </w:r>
      <w:r w:rsidR="007C0C15" w:rsidRPr="00E35F4D">
        <w:rPr>
          <w:sz w:val="20"/>
          <w:szCs w:val="20"/>
          <w:lang w:bidi="ar-SA"/>
        </w:rPr>
        <w:t xml:space="preserve"> </w:t>
      </w:r>
      <w:r w:rsidR="005F7E5F" w:rsidRPr="00E35F4D">
        <w:rPr>
          <w:sz w:val="20"/>
          <w:szCs w:val="20"/>
          <w:lang w:bidi="ar-SA"/>
        </w:rPr>
        <w:t>with locally advanced rectal cancer.</w:t>
      </w:r>
      <w:r w:rsidR="002A05B5" w:rsidRPr="00E35F4D">
        <w:rPr>
          <w:sz w:val="20"/>
          <w:szCs w:val="20"/>
          <w:lang w:bidi="ar-SA"/>
        </w:rPr>
        <w:t xml:space="preserve"> </w:t>
      </w:r>
      <w:r w:rsidR="00E92C3E" w:rsidRPr="00E35F4D">
        <w:rPr>
          <w:b/>
          <w:bCs/>
          <w:sz w:val="20"/>
          <w:szCs w:val="20"/>
        </w:rPr>
        <w:t>Patients</w:t>
      </w:r>
      <w:r w:rsidRPr="00E35F4D">
        <w:rPr>
          <w:b/>
          <w:bCs/>
          <w:sz w:val="20"/>
          <w:szCs w:val="20"/>
        </w:rPr>
        <w:t xml:space="preserve"> and </w:t>
      </w:r>
      <w:r w:rsidR="00D6537E" w:rsidRPr="00E35F4D">
        <w:rPr>
          <w:b/>
          <w:bCs/>
          <w:sz w:val="20"/>
          <w:szCs w:val="20"/>
        </w:rPr>
        <w:t>M</w:t>
      </w:r>
      <w:r w:rsidRPr="00E35F4D">
        <w:rPr>
          <w:b/>
          <w:bCs/>
          <w:sz w:val="20"/>
          <w:szCs w:val="20"/>
        </w:rPr>
        <w:t>ethods:</w:t>
      </w:r>
      <w:r w:rsidRPr="00E35F4D">
        <w:rPr>
          <w:sz w:val="20"/>
          <w:szCs w:val="20"/>
        </w:rPr>
        <w:t xml:space="preserve"> </w:t>
      </w:r>
      <w:r w:rsidR="006866F8" w:rsidRPr="00E35F4D">
        <w:rPr>
          <w:sz w:val="20"/>
          <w:szCs w:val="20"/>
          <w:lang w:bidi="ar-SA"/>
        </w:rPr>
        <w:t xml:space="preserve">A total of 31 patients with locally advanced rectal cancer were randomly assigned to induction CAPOX followed by </w:t>
      </w:r>
      <w:r w:rsidR="00622D42" w:rsidRPr="00E35F4D">
        <w:rPr>
          <w:sz w:val="20"/>
          <w:szCs w:val="20"/>
        </w:rPr>
        <w:t>concomitant</w:t>
      </w:r>
      <w:r w:rsidR="00622D42" w:rsidRPr="00E35F4D">
        <w:rPr>
          <w:sz w:val="20"/>
          <w:szCs w:val="20"/>
          <w:lang w:bidi="ar-SA"/>
        </w:rPr>
        <w:t xml:space="preserve"> </w:t>
      </w:r>
      <w:proofErr w:type="spellStart"/>
      <w:r w:rsidR="00DA6673" w:rsidRPr="00E35F4D">
        <w:rPr>
          <w:sz w:val="20"/>
          <w:szCs w:val="20"/>
          <w:lang w:bidi="ar-SA"/>
        </w:rPr>
        <w:t>capecitabine</w:t>
      </w:r>
      <w:proofErr w:type="spellEnd"/>
      <w:r w:rsidR="00DA6673" w:rsidRPr="00E35F4D">
        <w:rPr>
          <w:sz w:val="20"/>
          <w:szCs w:val="20"/>
          <w:lang w:bidi="ar-SA"/>
        </w:rPr>
        <w:t>-RT</w:t>
      </w:r>
      <w:r w:rsidR="006866F8" w:rsidRPr="00E35F4D">
        <w:rPr>
          <w:sz w:val="20"/>
          <w:szCs w:val="20"/>
          <w:lang w:bidi="ar-SA"/>
        </w:rPr>
        <w:t xml:space="preserve"> and surgery</w:t>
      </w:r>
      <w:r w:rsidR="00DA6673" w:rsidRPr="00E35F4D">
        <w:rPr>
          <w:sz w:val="20"/>
          <w:szCs w:val="20"/>
          <w:lang w:bidi="ar-SA"/>
        </w:rPr>
        <w:t xml:space="preserve">, then </w:t>
      </w:r>
      <w:r w:rsidR="00622D42" w:rsidRPr="00E35F4D">
        <w:rPr>
          <w:sz w:val="20"/>
          <w:szCs w:val="20"/>
        </w:rPr>
        <w:t xml:space="preserve">the patients were received an additional </w:t>
      </w:r>
      <w:r w:rsidR="00152CF3" w:rsidRPr="00E35F4D">
        <w:rPr>
          <w:sz w:val="20"/>
          <w:szCs w:val="20"/>
        </w:rPr>
        <w:t>4 cycles</w:t>
      </w:r>
      <w:r w:rsidR="00622D42" w:rsidRPr="00E35F4D">
        <w:rPr>
          <w:sz w:val="20"/>
          <w:szCs w:val="20"/>
        </w:rPr>
        <w:t xml:space="preserve"> adjuvant </w:t>
      </w:r>
      <w:proofErr w:type="spellStart"/>
      <w:r w:rsidR="00622D42" w:rsidRPr="00E35F4D">
        <w:rPr>
          <w:sz w:val="20"/>
          <w:szCs w:val="20"/>
        </w:rPr>
        <w:t>capecitabine</w:t>
      </w:r>
      <w:proofErr w:type="spellEnd"/>
      <w:r w:rsidR="006866F8" w:rsidRPr="00E35F4D">
        <w:rPr>
          <w:sz w:val="20"/>
          <w:szCs w:val="20"/>
          <w:lang w:bidi="ar-SA"/>
        </w:rPr>
        <w:t xml:space="preserve">. The primary end point was </w:t>
      </w:r>
      <w:r w:rsidR="009A79CF" w:rsidRPr="00E35F4D">
        <w:rPr>
          <w:sz w:val="20"/>
          <w:szCs w:val="20"/>
        </w:rPr>
        <w:t xml:space="preserve">assessment of </w:t>
      </w:r>
      <w:r w:rsidR="002A05B5" w:rsidRPr="00E35F4D">
        <w:rPr>
          <w:sz w:val="20"/>
          <w:szCs w:val="20"/>
        </w:rPr>
        <w:t>pathological complete response (</w:t>
      </w:r>
      <w:proofErr w:type="spellStart"/>
      <w:r w:rsidR="009A79CF" w:rsidRPr="00E35F4D">
        <w:rPr>
          <w:sz w:val="20"/>
          <w:szCs w:val="20"/>
        </w:rPr>
        <w:t>pCR</w:t>
      </w:r>
      <w:proofErr w:type="spellEnd"/>
      <w:r w:rsidR="002A05B5" w:rsidRPr="00E35F4D">
        <w:rPr>
          <w:sz w:val="20"/>
          <w:szCs w:val="20"/>
        </w:rPr>
        <w:t>)</w:t>
      </w:r>
      <w:r w:rsidR="009A79CF" w:rsidRPr="00E35F4D">
        <w:rPr>
          <w:sz w:val="20"/>
          <w:szCs w:val="20"/>
        </w:rPr>
        <w:t xml:space="preserve"> and the feasibility of surgical resection with sphincter preservation.</w:t>
      </w:r>
      <w:r w:rsidR="002A05B5" w:rsidRPr="00E35F4D">
        <w:rPr>
          <w:sz w:val="20"/>
          <w:szCs w:val="20"/>
        </w:rPr>
        <w:t xml:space="preserve"> </w:t>
      </w:r>
      <w:r w:rsidRPr="00E35F4D">
        <w:rPr>
          <w:b/>
          <w:bCs/>
          <w:color w:val="131413"/>
          <w:sz w:val="20"/>
          <w:szCs w:val="20"/>
        </w:rPr>
        <w:t>Results</w:t>
      </w:r>
      <w:r w:rsidRPr="00E35F4D">
        <w:rPr>
          <w:b/>
          <w:bCs/>
          <w:sz w:val="20"/>
          <w:szCs w:val="20"/>
        </w:rPr>
        <w:t xml:space="preserve">: </w:t>
      </w:r>
      <w:r w:rsidR="00004C83" w:rsidRPr="00E35F4D">
        <w:rPr>
          <w:sz w:val="20"/>
          <w:szCs w:val="20"/>
          <w:lang w:bidi="ar-SA"/>
        </w:rPr>
        <w:t>All patients underwent surgery</w:t>
      </w:r>
      <w:r w:rsidR="00DA6673" w:rsidRPr="00E35F4D">
        <w:rPr>
          <w:sz w:val="20"/>
          <w:szCs w:val="20"/>
          <w:lang w:bidi="ar-SA"/>
        </w:rPr>
        <w:t xml:space="preserve"> with</w:t>
      </w:r>
      <w:r w:rsidR="00C75971" w:rsidRPr="00E35F4D">
        <w:rPr>
          <w:sz w:val="20"/>
          <w:szCs w:val="20"/>
          <w:lang w:bidi="ar-SA"/>
        </w:rPr>
        <w:t xml:space="preserve"> sphincter preservation procedure represented in </w:t>
      </w:r>
      <w:r w:rsidR="00146D56" w:rsidRPr="00E35F4D">
        <w:rPr>
          <w:sz w:val="20"/>
          <w:szCs w:val="20"/>
        </w:rPr>
        <w:t>64.5%</w:t>
      </w:r>
      <w:r w:rsidR="00146D56" w:rsidRPr="00E35F4D">
        <w:rPr>
          <w:sz w:val="20"/>
          <w:szCs w:val="20"/>
          <w:lang w:bidi="ar-SA"/>
        </w:rPr>
        <w:t xml:space="preserve"> of patients</w:t>
      </w:r>
      <w:r w:rsidR="00004C83" w:rsidRPr="00E35F4D">
        <w:rPr>
          <w:sz w:val="20"/>
          <w:szCs w:val="20"/>
          <w:lang w:bidi="ar-SA"/>
        </w:rPr>
        <w:t xml:space="preserve">. </w:t>
      </w:r>
      <w:r w:rsidR="00F97DD6" w:rsidRPr="00E35F4D">
        <w:rPr>
          <w:sz w:val="20"/>
          <w:szCs w:val="20"/>
          <w:lang w:bidi="ar-SA"/>
        </w:rPr>
        <w:t>Complete resection (R0)</w:t>
      </w:r>
      <w:r w:rsidR="00004C83" w:rsidRPr="00E35F4D">
        <w:rPr>
          <w:sz w:val="20"/>
          <w:szCs w:val="20"/>
          <w:lang w:bidi="ar-SA"/>
        </w:rPr>
        <w:t xml:space="preserve"> was </w:t>
      </w:r>
      <w:r w:rsidR="00DA6673" w:rsidRPr="00E35F4D">
        <w:rPr>
          <w:sz w:val="20"/>
          <w:szCs w:val="20"/>
          <w:lang w:bidi="ar-SA"/>
        </w:rPr>
        <w:t>recorded</w:t>
      </w:r>
      <w:r w:rsidR="00004C83" w:rsidRPr="00E35F4D">
        <w:rPr>
          <w:sz w:val="20"/>
          <w:szCs w:val="20"/>
          <w:lang w:bidi="ar-SA"/>
        </w:rPr>
        <w:t xml:space="preserve"> in </w:t>
      </w:r>
      <w:r w:rsidR="00D75720" w:rsidRPr="00E35F4D">
        <w:rPr>
          <w:sz w:val="20"/>
          <w:szCs w:val="20"/>
          <w:lang w:bidi="ar-SA"/>
        </w:rPr>
        <w:t>93.5</w:t>
      </w:r>
      <w:r w:rsidR="00E6730D" w:rsidRPr="00E35F4D">
        <w:rPr>
          <w:sz w:val="20"/>
          <w:szCs w:val="20"/>
          <w:lang w:bidi="ar-SA"/>
        </w:rPr>
        <w:t>%,</w:t>
      </w:r>
      <w:r w:rsidR="00004C83" w:rsidRPr="00E35F4D">
        <w:rPr>
          <w:sz w:val="20"/>
          <w:szCs w:val="20"/>
          <w:lang w:bidi="ar-SA"/>
        </w:rPr>
        <w:t xml:space="preserve"> T </w:t>
      </w:r>
      <w:proofErr w:type="spellStart"/>
      <w:r w:rsidR="00004C83" w:rsidRPr="00E35F4D">
        <w:rPr>
          <w:sz w:val="20"/>
          <w:szCs w:val="20"/>
          <w:lang w:bidi="ar-SA"/>
        </w:rPr>
        <w:t>downstaging</w:t>
      </w:r>
      <w:proofErr w:type="spellEnd"/>
      <w:r w:rsidR="00004C83" w:rsidRPr="00E35F4D">
        <w:rPr>
          <w:sz w:val="20"/>
          <w:szCs w:val="20"/>
          <w:lang w:bidi="ar-SA"/>
        </w:rPr>
        <w:t xml:space="preserve"> in </w:t>
      </w:r>
      <w:r w:rsidR="00ED007F" w:rsidRPr="00E35F4D">
        <w:rPr>
          <w:sz w:val="20"/>
          <w:szCs w:val="20"/>
        </w:rPr>
        <w:t>61.3</w:t>
      </w:r>
      <w:r w:rsidR="00004C83" w:rsidRPr="00E35F4D">
        <w:rPr>
          <w:sz w:val="20"/>
          <w:szCs w:val="20"/>
          <w:lang w:bidi="ar-SA"/>
        </w:rPr>
        <w:t>%</w:t>
      </w:r>
      <w:r w:rsidR="00ED007F" w:rsidRPr="00E35F4D">
        <w:rPr>
          <w:sz w:val="20"/>
          <w:szCs w:val="20"/>
          <w:lang w:bidi="ar-SA"/>
        </w:rPr>
        <w:t xml:space="preserve"> and N </w:t>
      </w:r>
      <w:proofErr w:type="spellStart"/>
      <w:r w:rsidR="00ED007F" w:rsidRPr="00E35F4D">
        <w:rPr>
          <w:sz w:val="20"/>
          <w:szCs w:val="20"/>
          <w:lang w:bidi="ar-SA"/>
        </w:rPr>
        <w:t>downstaging</w:t>
      </w:r>
      <w:proofErr w:type="spellEnd"/>
      <w:r w:rsidR="00ED007F" w:rsidRPr="00E35F4D">
        <w:rPr>
          <w:sz w:val="20"/>
          <w:szCs w:val="20"/>
          <w:lang w:bidi="ar-SA"/>
        </w:rPr>
        <w:t xml:space="preserve"> in 51.6</w:t>
      </w:r>
      <w:r w:rsidR="00FB3C75" w:rsidRPr="00E35F4D">
        <w:rPr>
          <w:sz w:val="20"/>
          <w:szCs w:val="20"/>
          <w:lang w:bidi="ar-SA"/>
        </w:rPr>
        <w:t xml:space="preserve">%. </w:t>
      </w:r>
      <w:r w:rsidR="00ED007F" w:rsidRPr="00E35F4D">
        <w:rPr>
          <w:sz w:val="20"/>
          <w:szCs w:val="20"/>
          <w:lang w:bidi="ar-SA"/>
        </w:rPr>
        <w:t>P</w:t>
      </w:r>
      <w:r w:rsidR="00004C83" w:rsidRPr="00E35F4D">
        <w:rPr>
          <w:sz w:val="20"/>
          <w:szCs w:val="20"/>
          <w:lang w:bidi="ar-SA"/>
        </w:rPr>
        <w:t xml:space="preserve">athological complete </w:t>
      </w:r>
      <w:r w:rsidR="006128B2" w:rsidRPr="00E35F4D">
        <w:rPr>
          <w:sz w:val="20"/>
          <w:szCs w:val="20"/>
          <w:lang w:bidi="ar-SA"/>
        </w:rPr>
        <w:t>response was</w:t>
      </w:r>
      <w:r w:rsidR="00004C83" w:rsidRPr="00E35F4D">
        <w:rPr>
          <w:sz w:val="20"/>
          <w:szCs w:val="20"/>
          <w:lang w:bidi="ar-SA"/>
        </w:rPr>
        <w:t xml:space="preserve"> </w:t>
      </w:r>
      <w:r w:rsidR="00DA6673" w:rsidRPr="00E35F4D">
        <w:rPr>
          <w:sz w:val="20"/>
          <w:szCs w:val="20"/>
          <w:lang w:bidi="ar-SA"/>
        </w:rPr>
        <w:t>recorded</w:t>
      </w:r>
      <w:r w:rsidR="00004C83" w:rsidRPr="00E35F4D">
        <w:rPr>
          <w:sz w:val="20"/>
          <w:szCs w:val="20"/>
          <w:lang w:bidi="ar-SA"/>
        </w:rPr>
        <w:t xml:space="preserve"> in </w:t>
      </w:r>
      <w:r w:rsidR="006128B2" w:rsidRPr="00E35F4D">
        <w:rPr>
          <w:sz w:val="20"/>
          <w:szCs w:val="20"/>
        </w:rPr>
        <w:t>19.4</w:t>
      </w:r>
      <w:r w:rsidR="00004C83" w:rsidRPr="00E35F4D">
        <w:rPr>
          <w:sz w:val="20"/>
          <w:szCs w:val="20"/>
          <w:lang w:bidi="ar-SA"/>
        </w:rPr>
        <w:t xml:space="preserve">%. </w:t>
      </w:r>
      <w:r w:rsidR="00D76DFB" w:rsidRPr="00E35F4D">
        <w:rPr>
          <w:sz w:val="20"/>
          <w:szCs w:val="20"/>
          <w:lang w:bidi="ar-SA"/>
        </w:rPr>
        <w:t>T</w:t>
      </w:r>
      <w:r w:rsidR="001F50AB" w:rsidRPr="00E35F4D">
        <w:rPr>
          <w:sz w:val="20"/>
          <w:szCs w:val="20"/>
          <w:lang w:bidi="ar-SA"/>
        </w:rPr>
        <w:t>wo</w:t>
      </w:r>
      <w:r w:rsidR="00004C83" w:rsidRPr="00E35F4D">
        <w:rPr>
          <w:sz w:val="20"/>
          <w:szCs w:val="20"/>
          <w:lang w:bidi="ar-SA"/>
        </w:rPr>
        <w:t xml:space="preserve">-year </w:t>
      </w:r>
      <w:r w:rsidR="00D76DFB" w:rsidRPr="00E35F4D">
        <w:rPr>
          <w:sz w:val="20"/>
          <w:szCs w:val="20"/>
          <w:lang w:bidi="ar-SA"/>
        </w:rPr>
        <w:t xml:space="preserve">OS </w:t>
      </w:r>
      <w:r w:rsidR="00004C83" w:rsidRPr="00E35F4D">
        <w:rPr>
          <w:sz w:val="20"/>
          <w:szCs w:val="20"/>
          <w:lang w:bidi="ar-SA"/>
        </w:rPr>
        <w:t xml:space="preserve">and </w:t>
      </w:r>
      <w:r w:rsidR="00D76DFB" w:rsidRPr="00E35F4D">
        <w:rPr>
          <w:sz w:val="20"/>
          <w:szCs w:val="20"/>
          <w:lang w:bidi="ar-SA"/>
        </w:rPr>
        <w:t xml:space="preserve">DFS rates </w:t>
      </w:r>
      <w:r w:rsidR="00004C83" w:rsidRPr="00E35F4D">
        <w:rPr>
          <w:sz w:val="20"/>
          <w:szCs w:val="20"/>
          <w:lang w:bidi="ar-SA"/>
        </w:rPr>
        <w:t xml:space="preserve">were </w:t>
      </w:r>
      <w:r w:rsidR="001F50AB" w:rsidRPr="00E35F4D">
        <w:rPr>
          <w:sz w:val="20"/>
          <w:szCs w:val="20"/>
          <w:lang w:bidi="ar-SA"/>
        </w:rPr>
        <w:t>83</w:t>
      </w:r>
      <w:r w:rsidR="00A14BAD" w:rsidRPr="00E35F4D">
        <w:rPr>
          <w:sz w:val="20"/>
          <w:szCs w:val="20"/>
        </w:rPr>
        <w:t>%</w:t>
      </w:r>
      <w:r w:rsidR="00004C83" w:rsidRPr="00E35F4D">
        <w:rPr>
          <w:sz w:val="20"/>
          <w:szCs w:val="20"/>
          <w:lang w:bidi="ar-SA"/>
        </w:rPr>
        <w:t xml:space="preserve"> and 67</w:t>
      </w:r>
      <w:r w:rsidR="00A14BAD" w:rsidRPr="00E35F4D">
        <w:rPr>
          <w:sz w:val="20"/>
          <w:szCs w:val="20"/>
          <w:lang w:bidi="ar-SA"/>
        </w:rPr>
        <w:t>.4</w:t>
      </w:r>
      <w:r w:rsidR="00004C83" w:rsidRPr="00E35F4D">
        <w:rPr>
          <w:sz w:val="20"/>
          <w:szCs w:val="20"/>
          <w:lang w:bidi="ar-SA"/>
        </w:rPr>
        <w:t xml:space="preserve">%, respectively. </w:t>
      </w:r>
      <w:r w:rsidR="00DB00A2" w:rsidRPr="00E35F4D">
        <w:rPr>
          <w:sz w:val="20"/>
          <w:szCs w:val="20"/>
          <w:lang w:bidi="ar-SA"/>
        </w:rPr>
        <w:t>Diarrhea was the most common g</w:t>
      </w:r>
      <w:r w:rsidR="00004C83" w:rsidRPr="00E35F4D">
        <w:rPr>
          <w:sz w:val="20"/>
          <w:szCs w:val="20"/>
          <w:lang w:bidi="ar-SA"/>
        </w:rPr>
        <w:t xml:space="preserve">rade 3/4 toxicity seen </w:t>
      </w:r>
      <w:r w:rsidR="00DB00A2" w:rsidRPr="00E35F4D">
        <w:rPr>
          <w:sz w:val="20"/>
          <w:szCs w:val="20"/>
          <w:lang w:bidi="ar-SA"/>
        </w:rPr>
        <w:t xml:space="preserve">during the induction and </w:t>
      </w:r>
      <w:r w:rsidR="00DB00A2" w:rsidRPr="00E35F4D">
        <w:rPr>
          <w:sz w:val="20"/>
          <w:szCs w:val="20"/>
        </w:rPr>
        <w:t>concomitant</w:t>
      </w:r>
      <w:r w:rsidR="00DB00A2" w:rsidRPr="00E35F4D">
        <w:rPr>
          <w:sz w:val="20"/>
          <w:szCs w:val="20"/>
          <w:lang w:bidi="ar-SA"/>
        </w:rPr>
        <w:t xml:space="preserve"> CRT phases</w:t>
      </w:r>
      <w:r w:rsidR="00004C83" w:rsidRPr="00E35F4D">
        <w:rPr>
          <w:sz w:val="20"/>
          <w:szCs w:val="20"/>
          <w:lang w:bidi="ar-SA"/>
        </w:rPr>
        <w:t>.</w:t>
      </w:r>
      <w:r w:rsidR="002A05B5" w:rsidRPr="00E35F4D">
        <w:rPr>
          <w:sz w:val="20"/>
          <w:szCs w:val="20"/>
          <w:lang w:bidi="ar-SA"/>
        </w:rPr>
        <w:t xml:space="preserve"> </w:t>
      </w:r>
      <w:r w:rsidRPr="00E35F4D">
        <w:rPr>
          <w:b/>
          <w:bCs/>
          <w:color w:val="131413"/>
          <w:sz w:val="20"/>
          <w:szCs w:val="20"/>
        </w:rPr>
        <w:t>Conclusions:</w:t>
      </w:r>
      <w:r w:rsidRPr="00E35F4D">
        <w:rPr>
          <w:sz w:val="20"/>
          <w:szCs w:val="20"/>
        </w:rPr>
        <w:t xml:space="preserve"> </w:t>
      </w:r>
      <w:r w:rsidR="00E03156" w:rsidRPr="00E35F4D">
        <w:rPr>
          <w:sz w:val="20"/>
          <w:szCs w:val="20"/>
          <w:lang w:bidi="ar-SA"/>
        </w:rPr>
        <w:t>O</w:t>
      </w:r>
      <w:r w:rsidR="00A30070" w:rsidRPr="00E35F4D">
        <w:rPr>
          <w:sz w:val="20"/>
          <w:szCs w:val="20"/>
          <w:lang w:bidi="ar-SA"/>
        </w:rPr>
        <w:t>ur results demonstrated that</w:t>
      </w:r>
      <w:r w:rsidR="00DA6673" w:rsidRPr="00E35F4D">
        <w:rPr>
          <w:sz w:val="20"/>
          <w:szCs w:val="20"/>
          <w:lang w:bidi="ar-SA"/>
        </w:rPr>
        <w:t>,</w:t>
      </w:r>
      <w:r w:rsidR="00A30070" w:rsidRPr="00E35F4D">
        <w:rPr>
          <w:sz w:val="20"/>
          <w:szCs w:val="20"/>
          <w:lang w:bidi="ar-SA"/>
        </w:rPr>
        <w:t xml:space="preserve"> </w:t>
      </w:r>
      <w:r w:rsidR="00DA6673" w:rsidRPr="00E35F4D">
        <w:rPr>
          <w:sz w:val="20"/>
          <w:szCs w:val="20"/>
          <w:lang w:bidi="ar-SA"/>
        </w:rPr>
        <w:t>induction</w:t>
      </w:r>
      <w:r w:rsidR="00A30070" w:rsidRPr="00E35F4D">
        <w:rPr>
          <w:sz w:val="20"/>
          <w:szCs w:val="20"/>
          <w:lang w:bidi="ar-SA"/>
        </w:rPr>
        <w:t xml:space="preserve"> </w:t>
      </w:r>
      <w:r w:rsidR="00A02928" w:rsidRPr="00E35F4D">
        <w:rPr>
          <w:sz w:val="20"/>
          <w:szCs w:val="20"/>
          <w:lang w:bidi="ar-SA"/>
        </w:rPr>
        <w:t xml:space="preserve">CAPOX followed by </w:t>
      </w:r>
      <w:proofErr w:type="spellStart"/>
      <w:r w:rsidR="00A02928" w:rsidRPr="00E35F4D">
        <w:rPr>
          <w:sz w:val="20"/>
          <w:szCs w:val="20"/>
          <w:lang w:bidi="ar-SA"/>
        </w:rPr>
        <w:t>capecitabine</w:t>
      </w:r>
      <w:proofErr w:type="spellEnd"/>
      <w:r w:rsidR="00A02928" w:rsidRPr="00E35F4D">
        <w:rPr>
          <w:sz w:val="20"/>
          <w:szCs w:val="20"/>
          <w:lang w:bidi="ar-SA"/>
        </w:rPr>
        <w:t xml:space="preserve">-RT </w:t>
      </w:r>
      <w:r w:rsidR="00A30070" w:rsidRPr="00E35F4D">
        <w:rPr>
          <w:sz w:val="20"/>
          <w:szCs w:val="20"/>
          <w:lang w:bidi="ar-SA"/>
        </w:rPr>
        <w:t xml:space="preserve">is feasible with tolerable toxicity and results in encouragingly high rates of </w:t>
      </w:r>
      <w:proofErr w:type="spellStart"/>
      <w:r w:rsidR="00A30070" w:rsidRPr="00E35F4D">
        <w:rPr>
          <w:sz w:val="20"/>
          <w:szCs w:val="20"/>
          <w:lang w:bidi="ar-SA"/>
        </w:rPr>
        <w:t>pCR</w:t>
      </w:r>
      <w:proofErr w:type="spellEnd"/>
      <w:r w:rsidR="00A30070" w:rsidRPr="00E35F4D">
        <w:rPr>
          <w:sz w:val="20"/>
          <w:szCs w:val="20"/>
          <w:lang w:bidi="ar-SA"/>
        </w:rPr>
        <w:t xml:space="preserve">, R0 resection, sphincter preservation and tumor </w:t>
      </w:r>
      <w:proofErr w:type="spellStart"/>
      <w:r w:rsidR="00A30070" w:rsidRPr="00E35F4D">
        <w:rPr>
          <w:sz w:val="20"/>
          <w:szCs w:val="20"/>
          <w:lang w:bidi="ar-SA"/>
        </w:rPr>
        <w:t>downstaging</w:t>
      </w:r>
      <w:proofErr w:type="spellEnd"/>
      <w:r w:rsidR="00A30070" w:rsidRPr="00E35F4D">
        <w:rPr>
          <w:sz w:val="20"/>
          <w:szCs w:val="20"/>
          <w:lang w:bidi="ar-SA"/>
        </w:rPr>
        <w:t xml:space="preserve"> in patients with locally advanced rectal cancer. Additional studies of this approach to examine more optimal regimens are warranted.</w:t>
      </w:r>
    </w:p>
    <w:p w:rsidR="002B2928" w:rsidRPr="00E35F4D" w:rsidRDefault="00D6537E" w:rsidP="002B2928">
      <w:pPr>
        <w:pStyle w:val="NoSpacing"/>
        <w:bidi w:val="0"/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E35F4D">
        <w:rPr>
          <w:rFonts w:ascii="Times New Roman" w:eastAsia="Times New Roman+FPEF" w:hAnsi="Times New Roman" w:cs="Times New Roman"/>
          <w:color w:val="000000"/>
          <w:sz w:val="20"/>
          <w:szCs w:val="20"/>
        </w:rPr>
        <w:t>[</w:t>
      </w:r>
      <w:r w:rsidRPr="00E35F4D">
        <w:rPr>
          <w:rFonts w:ascii="Times New Roman" w:hAnsi="Times New Roman" w:cs="Times New Roman"/>
          <w:sz w:val="20"/>
          <w:szCs w:val="20"/>
        </w:rPr>
        <w:t>Mohamed El-</w:t>
      </w:r>
      <w:proofErr w:type="spellStart"/>
      <w:r w:rsidRPr="00E35F4D">
        <w:rPr>
          <w:rFonts w:ascii="Times New Roman" w:hAnsi="Times New Roman" w:cs="Times New Roman"/>
          <w:sz w:val="20"/>
          <w:szCs w:val="20"/>
        </w:rPr>
        <w:t>Shebiney</w:t>
      </w:r>
      <w:proofErr w:type="spellEnd"/>
      <w:r w:rsidRPr="00E35F4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E35F4D">
        <w:rPr>
          <w:rFonts w:ascii="Times New Roman" w:hAnsi="Times New Roman" w:cs="Times New Roman"/>
          <w:sz w:val="20"/>
          <w:szCs w:val="20"/>
        </w:rPr>
        <w:t>Alaa</w:t>
      </w:r>
      <w:proofErr w:type="spellEnd"/>
      <w:r w:rsidRPr="00E35F4D">
        <w:rPr>
          <w:rFonts w:ascii="Times New Roman" w:hAnsi="Times New Roman" w:cs="Times New Roman"/>
          <w:sz w:val="20"/>
          <w:szCs w:val="20"/>
        </w:rPr>
        <w:t xml:space="preserve"> Maria</w:t>
      </w:r>
      <w:r w:rsidRPr="00E35F4D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  <w:proofErr w:type="gramEnd"/>
      <w:r w:rsidRPr="00E35F4D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Induction Chemotherapy With </w:t>
      </w:r>
      <w:proofErr w:type="spellStart"/>
      <w:r w:rsidRPr="00E35F4D">
        <w:rPr>
          <w:rFonts w:ascii="Times New Roman" w:hAnsi="Times New Roman" w:cs="Times New Roman"/>
          <w:b/>
          <w:bCs/>
          <w:sz w:val="20"/>
          <w:szCs w:val="20"/>
        </w:rPr>
        <w:t>Capecitabine</w:t>
      </w:r>
      <w:proofErr w:type="spellEnd"/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E35F4D">
        <w:rPr>
          <w:rFonts w:ascii="Times New Roman" w:hAnsi="Times New Roman" w:cs="Times New Roman"/>
          <w:b/>
          <w:bCs/>
          <w:sz w:val="20"/>
          <w:szCs w:val="20"/>
        </w:rPr>
        <w:t>Oxaliplatin</w:t>
      </w:r>
      <w:proofErr w:type="spellEnd"/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7F94"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(CAPOX) 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Followed By Concomitant </w:t>
      </w:r>
      <w:proofErr w:type="spellStart"/>
      <w:r w:rsidRPr="00E35F4D">
        <w:rPr>
          <w:rFonts w:ascii="Times New Roman" w:hAnsi="Times New Roman" w:cs="Times New Roman"/>
          <w:b/>
          <w:bCs/>
          <w:sz w:val="20"/>
          <w:szCs w:val="20"/>
        </w:rPr>
        <w:t>Chemoradiotherapy</w:t>
      </w:r>
      <w:proofErr w:type="spellEnd"/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 Before Surgical Resection In Patients With Locally Advanced Rectal Cancer</w:t>
      </w:r>
      <w:r w:rsidR="002B2928" w:rsidRPr="00E35F4D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2B2928" w:rsidRPr="00E35F4D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="002B2928" w:rsidRPr="00E35F4D">
        <w:rPr>
          <w:rFonts w:ascii="Times New Roman" w:hAnsi="Times New Roman" w:cs="Times New Roman"/>
          <w:sz w:val="20"/>
          <w:szCs w:val="20"/>
        </w:rPr>
        <w:t xml:space="preserve"> 201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>6</w:t>
      </w:r>
      <w:proofErr w:type="gramStart"/>
      <w:r w:rsidR="002B2928" w:rsidRPr="00E35F4D">
        <w:rPr>
          <w:rFonts w:ascii="Times New Roman" w:hAnsi="Times New Roman" w:cs="Times New Roman"/>
          <w:sz w:val="20"/>
          <w:szCs w:val="20"/>
        </w:rPr>
        <w:t>;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>6</w:t>
      </w:r>
      <w:proofErr w:type="gramEnd"/>
      <w:r w:rsidR="002B2928" w:rsidRPr="00E35F4D">
        <w:rPr>
          <w:rFonts w:ascii="Times New Roman" w:hAnsi="Times New Roman" w:cs="Times New Roman"/>
          <w:sz w:val="20"/>
          <w:szCs w:val="20"/>
        </w:rPr>
        <w:t>(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>4</w:t>
      </w:r>
      <w:r w:rsidR="002B2928" w:rsidRPr="00E35F4D">
        <w:rPr>
          <w:rFonts w:ascii="Times New Roman" w:hAnsi="Times New Roman" w:cs="Times New Roman"/>
          <w:sz w:val="20"/>
          <w:szCs w:val="20"/>
        </w:rPr>
        <w:t>):</w:t>
      </w:r>
      <w:r w:rsidR="00C94345" w:rsidRPr="00E35F4D">
        <w:rPr>
          <w:rFonts w:ascii="Times New Roman" w:hAnsi="Times New Roman" w:cs="Times New Roman"/>
          <w:noProof/>
          <w:color w:val="000000"/>
          <w:sz w:val="20"/>
          <w:szCs w:val="20"/>
        </w:rPr>
        <w:t>32</w:t>
      </w:r>
      <w:r w:rsidR="002B2928" w:rsidRPr="00E35F4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94345" w:rsidRPr="00E35F4D">
        <w:rPr>
          <w:rFonts w:ascii="Times New Roman" w:hAnsi="Times New Roman" w:cs="Times New Roman"/>
          <w:noProof/>
          <w:color w:val="000000"/>
          <w:sz w:val="20"/>
          <w:szCs w:val="20"/>
        </w:rPr>
        <w:t>40</w:t>
      </w:r>
      <w:r w:rsidR="002B2928" w:rsidRPr="00E35F4D">
        <w:rPr>
          <w:rFonts w:ascii="Times New Roman" w:hAnsi="Times New Roman" w:cs="Times New Roman"/>
          <w:sz w:val="20"/>
          <w:szCs w:val="20"/>
        </w:rPr>
        <w:t xml:space="preserve">]. </w:t>
      </w:r>
      <w:r w:rsidR="002B2928" w:rsidRPr="00E35F4D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="002B2928" w:rsidRPr="00E35F4D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="002B2928" w:rsidRPr="00E35F4D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="002B2928" w:rsidRPr="00E35F4D">
        <w:rPr>
          <w:rFonts w:ascii="Times New Roman" w:hAnsi="Times New Roman" w:cs="Times New Roman"/>
          <w:sz w:val="20"/>
          <w:szCs w:val="20"/>
        </w:rPr>
        <w:t>.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B2928" w:rsidRPr="00E35F4D">
        <w:rPr>
          <w:rFonts w:ascii="Times New Roman" w:hAnsi="Times New Roman" w:cs="Times New Roman" w:hint="eastAsia"/>
          <w:sz w:val="20"/>
          <w:szCs w:val="20"/>
          <w:lang w:eastAsia="zh-CN"/>
        </w:rPr>
        <w:t>5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gramStart"/>
      <w:r w:rsidR="002B2928" w:rsidRPr="00E35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="002B2928" w:rsidRPr="00E35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10" w:history="1">
        <w:r w:rsidR="002B2928" w:rsidRPr="00E35F4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2B2928" w:rsidRPr="00E35F4D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cbj0604</w:t>
        </w:r>
        <w:r w:rsidR="002B2928" w:rsidRPr="00E35F4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="002B2928" w:rsidRPr="00E35F4D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6.</w:t>
        </w:r>
        <w:r w:rsidR="002B2928" w:rsidRPr="00E35F4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2B2928" w:rsidRPr="00E35F4D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5</w:t>
        </w:r>
      </w:hyperlink>
      <w:r w:rsidR="002B2928" w:rsidRPr="00E35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6537E" w:rsidRPr="00E35F4D" w:rsidRDefault="00D6537E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</w:p>
    <w:p w:rsidR="002E172D" w:rsidRPr="00E35F4D" w:rsidRDefault="000D088B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proofErr w:type="spellStart"/>
      <w:r w:rsidRPr="00E35F4D">
        <w:rPr>
          <w:b/>
          <w:bCs/>
          <w:sz w:val="20"/>
          <w:szCs w:val="20"/>
        </w:rPr>
        <w:t>KeyWords</w:t>
      </w:r>
      <w:proofErr w:type="spellEnd"/>
      <w:r w:rsidRPr="00E35F4D">
        <w:rPr>
          <w:b/>
          <w:bCs/>
          <w:sz w:val="20"/>
          <w:szCs w:val="20"/>
        </w:rPr>
        <w:t xml:space="preserve">: </w:t>
      </w:r>
      <w:r w:rsidR="008D37AE" w:rsidRPr="00E35F4D">
        <w:rPr>
          <w:sz w:val="20"/>
          <w:szCs w:val="20"/>
        </w:rPr>
        <w:t xml:space="preserve">Rectal cancer, </w:t>
      </w:r>
      <w:r w:rsidR="00D6537E" w:rsidRPr="00E35F4D">
        <w:rPr>
          <w:sz w:val="20"/>
          <w:szCs w:val="20"/>
        </w:rPr>
        <w:t>i</w:t>
      </w:r>
      <w:r w:rsidR="008D37AE" w:rsidRPr="00E35F4D">
        <w:rPr>
          <w:sz w:val="20"/>
          <w:szCs w:val="20"/>
        </w:rPr>
        <w:t xml:space="preserve">nduction chemotherapy, </w:t>
      </w:r>
      <w:r w:rsidR="00D6537E" w:rsidRPr="00E35F4D">
        <w:rPr>
          <w:sz w:val="20"/>
          <w:szCs w:val="20"/>
        </w:rPr>
        <w:t>combined</w:t>
      </w:r>
      <w:r w:rsidR="008D37AE" w:rsidRPr="00E35F4D">
        <w:rPr>
          <w:sz w:val="20"/>
          <w:szCs w:val="20"/>
        </w:rPr>
        <w:t xml:space="preserve"> </w:t>
      </w:r>
      <w:proofErr w:type="spellStart"/>
      <w:r w:rsidR="008D37AE" w:rsidRPr="00E35F4D">
        <w:rPr>
          <w:sz w:val="20"/>
          <w:szCs w:val="20"/>
        </w:rPr>
        <w:t>chemoradiotherapy</w:t>
      </w:r>
      <w:proofErr w:type="spellEnd"/>
      <w:r w:rsidR="00096B42" w:rsidRPr="00E35F4D">
        <w:rPr>
          <w:sz w:val="20"/>
          <w:szCs w:val="20"/>
        </w:rPr>
        <w:t>, sphincter preservation.</w:t>
      </w:r>
    </w:p>
    <w:p w:rsidR="002B2928" w:rsidRPr="00E35F4D" w:rsidRDefault="002B2928" w:rsidP="002B2928">
      <w:pPr>
        <w:snapToGrid w:val="0"/>
        <w:jc w:val="both"/>
        <w:rPr>
          <w:b/>
          <w:bCs/>
          <w:sz w:val="20"/>
          <w:szCs w:val="20"/>
        </w:rPr>
      </w:pPr>
    </w:p>
    <w:p w:rsidR="002B2928" w:rsidRPr="00E35F4D" w:rsidRDefault="002B2928" w:rsidP="002B2928">
      <w:pPr>
        <w:snapToGrid w:val="0"/>
        <w:jc w:val="both"/>
        <w:rPr>
          <w:b/>
          <w:bCs/>
          <w:sz w:val="20"/>
          <w:szCs w:val="20"/>
        </w:rPr>
        <w:sectPr w:rsidR="002B2928" w:rsidRPr="00E35F4D" w:rsidSect="00C94345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32"/>
          <w:cols w:space="708"/>
          <w:bidi/>
          <w:docGrid w:linePitch="360"/>
        </w:sectPr>
      </w:pPr>
    </w:p>
    <w:p w:rsidR="00DC5AEC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lastRenderedPageBreak/>
        <w:t xml:space="preserve">1. </w:t>
      </w:r>
      <w:r w:rsidR="00DC5AEC" w:rsidRPr="00E35F4D">
        <w:rPr>
          <w:b/>
          <w:bCs/>
          <w:sz w:val="20"/>
          <w:szCs w:val="20"/>
        </w:rPr>
        <w:t>Introduction</w:t>
      </w:r>
    </w:p>
    <w:p w:rsidR="00DE44E4" w:rsidRPr="00E35F4D" w:rsidRDefault="00C12209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Generally, t</w:t>
      </w:r>
      <w:r w:rsidR="00E23F0C" w:rsidRPr="00E35F4D">
        <w:rPr>
          <w:sz w:val="20"/>
          <w:szCs w:val="20"/>
          <w:lang w:bidi="ar-SA"/>
        </w:rPr>
        <w:t>reat</w:t>
      </w:r>
      <w:r w:rsidR="008833D2" w:rsidRPr="00E35F4D">
        <w:rPr>
          <w:sz w:val="20"/>
          <w:szCs w:val="20"/>
          <w:lang w:bidi="ar-SA"/>
        </w:rPr>
        <w:t>ing l</w:t>
      </w:r>
      <w:r w:rsidR="00E23F0C" w:rsidRPr="00E35F4D">
        <w:rPr>
          <w:sz w:val="20"/>
          <w:szCs w:val="20"/>
          <w:lang w:bidi="ar-SA"/>
        </w:rPr>
        <w:t>ocally advanced rectal cancer includes</w:t>
      </w:r>
      <w:r w:rsidR="00DC5AEC" w:rsidRPr="00E35F4D">
        <w:rPr>
          <w:sz w:val="20"/>
          <w:szCs w:val="20"/>
          <w:lang w:bidi="ar-SA"/>
        </w:rPr>
        <w:t xml:space="preserve"> radiotherapy</w:t>
      </w:r>
      <w:r w:rsidR="003C5DBA" w:rsidRPr="00E35F4D">
        <w:rPr>
          <w:sz w:val="20"/>
          <w:szCs w:val="20"/>
          <w:lang w:bidi="ar-SA"/>
        </w:rPr>
        <w:t xml:space="preserve"> (RT)</w:t>
      </w:r>
      <w:r w:rsidR="00DC5AEC" w:rsidRPr="00E35F4D">
        <w:rPr>
          <w:sz w:val="20"/>
          <w:szCs w:val="20"/>
          <w:lang w:bidi="ar-SA"/>
        </w:rPr>
        <w:t>, chemotherapy</w:t>
      </w:r>
      <w:r w:rsidR="003C5DBA" w:rsidRPr="00E35F4D">
        <w:rPr>
          <w:sz w:val="20"/>
          <w:szCs w:val="20"/>
          <w:lang w:bidi="ar-SA"/>
        </w:rPr>
        <w:t xml:space="preserve"> (CT)</w:t>
      </w:r>
      <w:r w:rsidR="00DC5AEC" w:rsidRPr="00E35F4D">
        <w:rPr>
          <w:sz w:val="20"/>
          <w:szCs w:val="20"/>
          <w:lang w:bidi="ar-SA"/>
        </w:rPr>
        <w:t xml:space="preserve">, </w:t>
      </w:r>
      <w:proofErr w:type="spellStart"/>
      <w:r w:rsidR="00DC5AEC" w:rsidRPr="00E35F4D">
        <w:rPr>
          <w:sz w:val="20"/>
          <w:szCs w:val="20"/>
          <w:lang w:bidi="ar-SA"/>
        </w:rPr>
        <w:t>chemoradiotherapy</w:t>
      </w:r>
      <w:proofErr w:type="spellEnd"/>
      <w:r w:rsidR="007D0270" w:rsidRPr="00E35F4D">
        <w:rPr>
          <w:sz w:val="20"/>
          <w:szCs w:val="20"/>
          <w:lang w:bidi="ar-SA"/>
        </w:rPr>
        <w:t xml:space="preserve"> (CRT)</w:t>
      </w:r>
      <w:r w:rsidR="00DC5AEC" w:rsidRPr="00E35F4D">
        <w:rPr>
          <w:sz w:val="20"/>
          <w:szCs w:val="20"/>
          <w:lang w:bidi="ar-SA"/>
        </w:rPr>
        <w:t xml:space="preserve">, surgery, and </w:t>
      </w:r>
      <w:r w:rsidR="00177CEB" w:rsidRPr="00E35F4D">
        <w:rPr>
          <w:sz w:val="20"/>
          <w:szCs w:val="20"/>
          <w:lang w:bidi="ar-SA"/>
        </w:rPr>
        <w:t>subsequent</w:t>
      </w:r>
      <w:r w:rsidR="00DC5AEC" w:rsidRPr="00E35F4D">
        <w:rPr>
          <w:sz w:val="20"/>
          <w:szCs w:val="20"/>
          <w:lang w:bidi="ar-SA"/>
        </w:rPr>
        <w:t xml:space="preserve"> incorporation of molecularly targeted agents. </w:t>
      </w:r>
      <w:r w:rsidR="00A765DD" w:rsidRPr="00E35F4D">
        <w:rPr>
          <w:sz w:val="20"/>
          <w:szCs w:val="20"/>
          <w:lang w:bidi="ar-SA"/>
        </w:rPr>
        <w:t xml:space="preserve">With multimodality treatment, </w:t>
      </w:r>
      <w:r w:rsidR="00DC5AEC" w:rsidRPr="00E35F4D">
        <w:rPr>
          <w:sz w:val="20"/>
          <w:szCs w:val="20"/>
          <w:lang w:bidi="ar-SA"/>
        </w:rPr>
        <w:t>local</w:t>
      </w:r>
      <w:r w:rsidR="00583DB6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 xml:space="preserve">recurrence rates </w:t>
      </w:r>
      <w:r w:rsidR="00A765DD" w:rsidRPr="00E35F4D">
        <w:rPr>
          <w:sz w:val="20"/>
          <w:szCs w:val="20"/>
          <w:lang w:bidi="ar-SA"/>
        </w:rPr>
        <w:t xml:space="preserve">became </w:t>
      </w:r>
      <w:r w:rsidR="00DC5AEC" w:rsidRPr="00E35F4D">
        <w:rPr>
          <w:sz w:val="20"/>
          <w:szCs w:val="20"/>
          <w:lang w:bidi="ar-SA"/>
        </w:rPr>
        <w:t>less than 10%</w:t>
      </w:r>
      <w:r w:rsidR="00A765DD" w:rsidRPr="00E35F4D">
        <w:rPr>
          <w:sz w:val="20"/>
          <w:szCs w:val="20"/>
          <w:lang w:bidi="ar-SA"/>
        </w:rPr>
        <w:t xml:space="preserve"> with t</w:t>
      </w:r>
      <w:r w:rsidR="00DC5AEC" w:rsidRPr="00E35F4D">
        <w:rPr>
          <w:sz w:val="20"/>
          <w:szCs w:val="20"/>
          <w:lang w:bidi="ar-SA"/>
        </w:rPr>
        <w:t>he predominant</w:t>
      </w:r>
      <w:r w:rsidR="00583DB6" w:rsidRPr="00E35F4D">
        <w:rPr>
          <w:sz w:val="20"/>
          <w:szCs w:val="20"/>
          <w:lang w:bidi="ar-SA"/>
        </w:rPr>
        <w:t xml:space="preserve"> </w:t>
      </w:r>
      <w:r w:rsidR="00A765DD" w:rsidRPr="00E35F4D">
        <w:rPr>
          <w:sz w:val="20"/>
          <w:szCs w:val="20"/>
          <w:lang w:bidi="ar-SA"/>
        </w:rPr>
        <w:t xml:space="preserve">mode of failure </w:t>
      </w:r>
      <w:r w:rsidR="00DC5AEC" w:rsidRPr="00E35F4D">
        <w:rPr>
          <w:sz w:val="20"/>
          <w:szCs w:val="20"/>
          <w:lang w:bidi="ar-SA"/>
        </w:rPr>
        <w:t>is the development of distant</w:t>
      </w:r>
      <w:r w:rsidR="00583DB6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>metastases (30–35%). Therefore, the addi</w:t>
      </w:r>
      <w:r w:rsidR="00A765DD" w:rsidRPr="00E35F4D">
        <w:rPr>
          <w:sz w:val="20"/>
          <w:szCs w:val="20"/>
          <w:lang w:bidi="ar-SA"/>
        </w:rPr>
        <w:t>tion of</w:t>
      </w:r>
      <w:r w:rsidR="00583DB6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 xml:space="preserve">induction CT is not </w:t>
      </w:r>
      <w:r w:rsidR="00A765DD" w:rsidRPr="00E35F4D">
        <w:rPr>
          <w:sz w:val="20"/>
          <w:szCs w:val="20"/>
          <w:lang w:bidi="ar-SA"/>
        </w:rPr>
        <w:t xml:space="preserve">aimed </w:t>
      </w:r>
      <w:r w:rsidR="00DC5AEC" w:rsidRPr="00E35F4D">
        <w:rPr>
          <w:sz w:val="20"/>
          <w:szCs w:val="20"/>
          <w:lang w:bidi="ar-SA"/>
        </w:rPr>
        <w:t>to improve local efficacy, but to better</w:t>
      </w:r>
      <w:r w:rsidR="00583DB6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 xml:space="preserve">control distant disease </w:t>
      </w:r>
      <w:r w:rsidR="00DC5AEC" w:rsidRPr="00E35F4D">
        <w:rPr>
          <w:b/>
          <w:bCs/>
          <w:sz w:val="20"/>
          <w:szCs w:val="20"/>
          <w:lang w:bidi="ar-SA"/>
        </w:rPr>
        <w:t>[</w:t>
      </w:r>
      <w:r w:rsidR="00595D20" w:rsidRPr="00E35F4D">
        <w:rPr>
          <w:b/>
          <w:bCs/>
          <w:sz w:val="20"/>
          <w:szCs w:val="20"/>
          <w:lang w:bidi="ar-SA"/>
        </w:rPr>
        <w:t>1</w:t>
      </w:r>
      <w:r w:rsidR="00DC5AEC" w:rsidRPr="00E35F4D">
        <w:rPr>
          <w:b/>
          <w:bCs/>
          <w:sz w:val="20"/>
          <w:szCs w:val="20"/>
          <w:lang w:bidi="ar-SA"/>
        </w:rPr>
        <w:t xml:space="preserve">, </w:t>
      </w:r>
      <w:r w:rsidR="00595D20" w:rsidRPr="00E35F4D">
        <w:rPr>
          <w:b/>
          <w:bCs/>
          <w:sz w:val="20"/>
          <w:szCs w:val="20"/>
          <w:lang w:bidi="ar-SA"/>
        </w:rPr>
        <w:t>2</w:t>
      </w:r>
      <w:r w:rsidR="00DC5AEC" w:rsidRPr="00E35F4D">
        <w:rPr>
          <w:b/>
          <w:bCs/>
          <w:sz w:val="20"/>
          <w:szCs w:val="20"/>
          <w:lang w:bidi="ar-SA"/>
        </w:rPr>
        <w:t>].</w:t>
      </w:r>
    </w:p>
    <w:p w:rsidR="00605E92" w:rsidRPr="00E35F4D" w:rsidRDefault="00C12209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The adjuvant treatment of rectal cancer has been shown to be inferior to t</w:t>
      </w:r>
      <w:r w:rsidR="00DC5AEC" w:rsidRPr="00E35F4D">
        <w:rPr>
          <w:sz w:val="20"/>
          <w:szCs w:val="20"/>
          <w:lang w:bidi="ar-SA"/>
        </w:rPr>
        <w:t xml:space="preserve">he </w:t>
      </w:r>
      <w:proofErr w:type="spellStart"/>
      <w:r w:rsidR="00DC5AEC" w:rsidRPr="00E35F4D">
        <w:rPr>
          <w:sz w:val="20"/>
          <w:szCs w:val="20"/>
          <w:lang w:bidi="ar-SA"/>
        </w:rPr>
        <w:t>neoadjuvant</w:t>
      </w:r>
      <w:proofErr w:type="spellEnd"/>
      <w:r w:rsidR="00DC5AEC" w:rsidRPr="00E35F4D">
        <w:rPr>
          <w:sz w:val="20"/>
          <w:szCs w:val="20"/>
          <w:lang w:bidi="ar-SA"/>
        </w:rPr>
        <w:t xml:space="preserve"> RT/CRT for </w:t>
      </w:r>
      <w:r w:rsidR="005A0320" w:rsidRPr="00E35F4D">
        <w:rPr>
          <w:sz w:val="20"/>
          <w:szCs w:val="20"/>
          <w:lang w:bidi="ar-SA"/>
        </w:rPr>
        <w:t xml:space="preserve">a </w:t>
      </w:r>
      <w:r w:rsidR="00DC5AEC" w:rsidRPr="00E35F4D">
        <w:rPr>
          <w:sz w:val="20"/>
          <w:szCs w:val="20"/>
          <w:lang w:bidi="ar-SA"/>
        </w:rPr>
        <w:t>variety</w:t>
      </w:r>
      <w:r w:rsidR="00583DB6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 xml:space="preserve">of endpoints </w:t>
      </w:r>
      <w:r w:rsidR="00DC5AEC" w:rsidRPr="00E35F4D">
        <w:rPr>
          <w:b/>
          <w:bCs/>
          <w:sz w:val="20"/>
          <w:szCs w:val="20"/>
          <w:lang w:bidi="ar-SA"/>
        </w:rPr>
        <w:t>[</w:t>
      </w:r>
      <w:r w:rsidR="00796FD9" w:rsidRPr="00E35F4D">
        <w:rPr>
          <w:b/>
          <w:bCs/>
          <w:sz w:val="20"/>
          <w:szCs w:val="20"/>
          <w:lang w:bidi="ar-SA"/>
        </w:rPr>
        <w:t>3</w:t>
      </w:r>
      <w:r w:rsidR="00DC5AEC" w:rsidRPr="00E35F4D">
        <w:rPr>
          <w:b/>
          <w:bCs/>
          <w:sz w:val="20"/>
          <w:szCs w:val="20"/>
          <w:lang w:bidi="ar-SA"/>
        </w:rPr>
        <w:t xml:space="preserve">, </w:t>
      </w:r>
      <w:r w:rsidR="00796FD9" w:rsidRPr="00E35F4D">
        <w:rPr>
          <w:b/>
          <w:bCs/>
          <w:sz w:val="20"/>
          <w:szCs w:val="20"/>
          <w:lang w:bidi="ar-SA"/>
        </w:rPr>
        <w:t>4</w:t>
      </w:r>
      <w:r w:rsidR="005409BD" w:rsidRPr="00E35F4D">
        <w:rPr>
          <w:b/>
          <w:bCs/>
          <w:sz w:val="20"/>
          <w:szCs w:val="20"/>
          <w:lang w:bidi="ar-SA"/>
        </w:rPr>
        <w:t>].</w:t>
      </w:r>
      <w:r w:rsidR="00DC5AEC" w:rsidRPr="00E35F4D">
        <w:rPr>
          <w:sz w:val="20"/>
          <w:szCs w:val="20"/>
          <w:lang w:bidi="ar-SA"/>
        </w:rPr>
        <w:t xml:space="preserve"> Approximately 50% of patients </w:t>
      </w:r>
      <w:r w:rsidR="004B6786" w:rsidRPr="00E35F4D">
        <w:rPr>
          <w:sz w:val="20"/>
          <w:szCs w:val="20"/>
          <w:lang w:bidi="ar-SA"/>
        </w:rPr>
        <w:t xml:space="preserve">did not </w:t>
      </w:r>
      <w:r w:rsidR="00DC5AEC" w:rsidRPr="00E35F4D">
        <w:rPr>
          <w:sz w:val="20"/>
          <w:szCs w:val="20"/>
          <w:lang w:bidi="ar-SA"/>
        </w:rPr>
        <w:t>receive</w:t>
      </w:r>
      <w:r w:rsidR="00583DB6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>the planned adjuvant CT dose</w:t>
      </w:r>
      <w:r w:rsidR="00605E92" w:rsidRPr="00E35F4D">
        <w:rPr>
          <w:sz w:val="20"/>
          <w:szCs w:val="20"/>
          <w:lang w:bidi="ar-SA"/>
        </w:rPr>
        <w:t xml:space="preserve"> commonly due to toxicity and patient refusal </w:t>
      </w:r>
      <w:r w:rsidR="00605E92" w:rsidRPr="00E35F4D">
        <w:rPr>
          <w:b/>
          <w:bCs/>
          <w:sz w:val="20"/>
          <w:szCs w:val="20"/>
          <w:lang w:bidi="ar-SA"/>
        </w:rPr>
        <w:t>[</w:t>
      </w:r>
      <w:r w:rsidR="00DC5AEC" w:rsidRPr="00E35F4D">
        <w:rPr>
          <w:b/>
          <w:bCs/>
          <w:sz w:val="20"/>
          <w:szCs w:val="20"/>
          <w:lang w:bidi="ar-SA"/>
        </w:rPr>
        <w:t>5</w:t>
      </w:r>
      <w:r w:rsidRPr="00E35F4D">
        <w:rPr>
          <w:b/>
          <w:bCs/>
          <w:sz w:val="20"/>
          <w:szCs w:val="20"/>
          <w:lang w:bidi="ar-SA"/>
        </w:rPr>
        <w:t>-</w:t>
      </w:r>
      <w:r w:rsidR="00F35A0F" w:rsidRPr="00E35F4D">
        <w:rPr>
          <w:b/>
          <w:bCs/>
          <w:sz w:val="20"/>
          <w:szCs w:val="20"/>
          <w:lang w:bidi="ar-SA"/>
        </w:rPr>
        <w:t>7</w:t>
      </w:r>
      <w:r w:rsidR="00DC5AEC" w:rsidRPr="00E35F4D">
        <w:rPr>
          <w:b/>
          <w:bCs/>
          <w:sz w:val="20"/>
          <w:szCs w:val="20"/>
          <w:lang w:bidi="ar-SA"/>
        </w:rPr>
        <w:t>]</w:t>
      </w:r>
      <w:r w:rsidR="00605E92" w:rsidRPr="00E35F4D">
        <w:rPr>
          <w:b/>
          <w:bCs/>
          <w:sz w:val="20"/>
          <w:szCs w:val="20"/>
          <w:lang w:bidi="ar-SA"/>
        </w:rPr>
        <w:t>.</w:t>
      </w:r>
    </w:p>
    <w:p w:rsidR="00F35A0F" w:rsidRPr="00E35F4D" w:rsidRDefault="00C12209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It has been shown that induction of primary CT for rectal cancer offers many advantages including; more </w:t>
      </w:r>
      <w:r w:rsidR="00A765DD" w:rsidRPr="00E35F4D">
        <w:rPr>
          <w:sz w:val="20"/>
          <w:szCs w:val="20"/>
          <w:lang w:bidi="ar-SA"/>
        </w:rPr>
        <w:t xml:space="preserve">better treatment compliance, ability to deliver full systemic doses of CT with </w:t>
      </w:r>
      <w:r w:rsidR="00DC5AEC" w:rsidRPr="00E35F4D">
        <w:rPr>
          <w:sz w:val="20"/>
          <w:szCs w:val="20"/>
          <w:lang w:bidi="ar-SA"/>
        </w:rPr>
        <w:t xml:space="preserve">possibility of tumor </w:t>
      </w:r>
      <w:r w:rsidR="00A765DD" w:rsidRPr="00E35F4D">
        <w:rPr>
          <w:sz w:val="20"/>
          <w:szCs w:val="20"/>
          <w:lang w:bidi="ar-SA"/>
        </w:rPr>
        <w:t xml:space="preserve">shrinking that </w:t>
      </w:r>
      <w:r w:rsidR="00DC5AEC" w:rsidRPr="00E35F4D">
        <w:rPr>
          <w:sz w:val="20"/>
          <w:szCs w:val="20"/>
          <w:lang w:bidi="ar-SA"/>
        </w:rPr>
        <w:t>facilitat</w:t>
      </w:r>
      <w:r w:rsidR="00A765DD" w:rsidRPr="00E35F4D">
        <w:rPr>
          <w:sz w:val="20"/>
          <w:szCs w:val="20"/>
          <w:lang w:bidi="ar-SA"/>
        </w:rPr>
        <w:t>e</w:t>
      </w:r>
      <w:r w:rsidR="00DC5AEC" w:rsidRPr="00E35F4D">
        <w:rPr>
          <w:sz w:val="20"/>
          <w:szCs w:val="20"/>
          <w:lang w:bidi="ar-SA"/>
        </w:rPr>
        <w:t xml:space="preserve"> more effective local treatment. T</w:t>
      </w:r>
      <w:r w:rsidR="00A765DD" w:rsidRPr="00E35F4D">
        <w:rPr>
          <w:sz w:val="20"/>
          <w:szCs w:val="20"/>
          <w:lang w:bidi="ar-SA"/>
        </w:rPr>
        <w:t>he t</w:t>
      </w:r>
      <w:r w:rsidR="00DC5AEC" w:rsidRPr="00E35F4D">
        <w:rPr>
          <w:sz w:val="20"/>
          <w:szCs w:val="20"/>
          <w:lang w:bidi="ar-SA"/>
        </w:rPr>
        <w:t>umor shrinkage potentially improve</w:t>
      </w:r>
      <w:r w:rsidR="00A765DD" w:rsidRPr="00E35F4D">
        <w:rPr>
          <w:sz w:val="20"/>
          <w:szCs w:val="20"/>
          <w:lang w:bidi="ar-SA"/>
        </w:rPr>
        <w:t>s</w:t>
      </w:r>
      <w:r w:rsidR="00DC5AEC" w:rsidRPr="00E35F4D">
        <w:rPr>
          <w:sz w:val="20"/>
          <w:szCs w:val="20"/>
          <w:lang w:bidi="ar-SA"/>
        </w:rPr>
        <w:t xml:space="preserve"> tumor </w:t>
      </w:r>
      <w:proofErr w:type="spellStart"/>
      <w:r w:rsidR="00DC5AEC" w:rsidRPr="00E35F4D">
        <w:rPr>
          <w:sz w:val="20"/>
          <w:szCs w:val="20"/>
          <w:lang w:bidi="ar-SA"/>
        </w:rPr>
        <w:t>vascularity</w:t>
      </w:r>
      <w:proofErr w:type="spellEnd"/>
      <w:r w:rsidR="00A765DD" w:rsidRPr="00E35F4D">
        <w:rPr>
          <w:sz w:val="20"/>
          <w:szCs w:val="20"/>
          <w:lang w:bidi="ar-SA"/>
        </w:rPr>
        <w:t xml:space="preserve"> with eventually </w:t>
      </w:r>
      <w:r w:rsidR="00DC5AEC" w:rsidRPr="00E35F4D">
        <w:rPr>
          <w:sz w:val="20"/>
          <w:szCs w:val="20"/>
          <w:lang w:bidi="ar-SA"/>
        </w:rPr>
        <w:t>improv</w:t>
      </w:r>
      <w:r w:rsidR="006A3373" w:rsidRPr="00E35F4D">
        <w:rPr>
          <w:sz w:val="20"/>
          <w:szCs w:val="20"/>
          <w:lang w:bidi="ar-SA"/>
        </w:rPr>
        <w:t>ing</w:t>
      </w:r>
      <w:r w:rsidR="00DC5AEC" w:rsidRPr="00E35F4D">
        <w:rPr>
          <w:sz w:val="20"/>
          <w:szCs w:val="20"/>
          <w:lang w:bidi="ar-SA"/>
        </w:rPr>
        <w:t xml:space="preserve"> oxygenation and </w:t>
      </w:r>
      <w:r w:rsidR="006A3373" w:rsidRPr="00E35F4D">
        <w:rPr>
          <w:sz w:val="20"/>
          <w:szCs w:val="20"/>
          <w:lang w:bidi="ar-SA"/>
        </w:rPr>
        <w:t xml:space="preserve">increase </w:t>
      </w:r>
      <w:r w:rsidR="009A5DD9" w:rsidRPr="00E35F4D">
        <w:rPr>
          <w:sz w:val="20"/>
          <w:szCs w:val="20"/>
          <w:lang w:bidi="ar-SA"/>
        </w:rPr>
        <w:t xml:space="preserve">the </w:t>
      </w:r>
      <w:proofErr w:type="spellStart"/>
      <w:r w:rsidR="00DC5AEC" w:rsidRPr="00E35F4D">
        <w:rPr>
          <w:sz w:val="20"/>
          <w:szCs w:val="20"/>
          <w:lang w:bidi="ar-SA"/>
        </w:rPr>
        <w:t>intratumoral</w:t>
      </w:r>
      <w:proofErr w:type="spellEnd"/>
      <w:r w:rsidR="00234663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 xml:space="preserve">concentration of </w:t>
      </w:r>
      <w:proofErr w:type="spellStart"/>
      <w:r w:rsidR="00DC5AEC" w:rsidRPr="00E35F4D">
        <w:rPr>
          <w:sz w:val="20"/>
          <w:szCs w:val="20"/>
          <w:lang w:bidi="ar-SA"/>
        </w:rPr>
        <w:t>cytotoxic</w:t>
      </w:r>
      <w:proofErr w:type="spellEnd"/>
      <w:r w:rsidR="00DC5AEC" w:rsidRPr="00E35F4D">
        <w:rPr>
          <w:sz w:val="20"/>
          <w:szCs w:val="20"/>
          <w:lang w:bidi="ar-SA"/>
        </w:rPr>
        <w:t xml:space="preserve"> drugs </w:t>
      </w:r>
      <w:r w:rsidR="00DC5AEC" w:rsidRPr="00E35F4D">
        <w:rPr>
          <w:b/>
          <w:bCs/>
          <w:sz w:val="20"/>
          <w:szCs w:val="20"/>
          <w:lang w:bidi="ar-SA"/>
        </w:rPr>
        <w:t>[</w:t>
      </w:r>
      <w:r w:rsidR="00886F20" w:rsidRPr="00E35F4D">
        <w:rPr>
          <w:b/>
          <w:bCs/>
          <w:sz w:val="20"/>
          <w:szCs w:val="20"/>
          <w:lang w:bidi="ar-SA"/>
        </w:rPr>
        <w:t>8</w:t>
      </w:r>
      <w:r w:rsidR="00DC5AEC" w:rsidRPr="00E35F4D">
        <w:rPr>
          <w:b/>
          <w:bCs/>
          <w:sz w:val="20"/>
          <w:szCs w:val="20"/>
          <w:lang w:bidi="ar-SA"/>
        </w:rPr>
        <w:t xml:space="preserve">, </w:t>
      </w:r>
      <w:r w:rsidR="00886F20" w:rsidRPr="00E35F4D">
        <w:rPr>
          <w:b/>
          <w:bCs/>
          <w:sz w:val="20"/>
          <w:szCs w:val="20"/>
          <w:lang w:bidi="ar-SA"/>
        </w:rPr>
        <w:t>9</w:t>
      </w:r>
      <w:r w:rsidR="00DC5AEC" w:rsidRPr="00E35F4D">
        <w:rPr>
          <w:b/>
          <w:bCs/>
          <w:sz w:val="20"/>
          <w:szCs w:val="20"/>
          <w:lang w:bidi="ar-SA"/>
        </w:rPr>
        <w:t>].</w:t>
      </w:r>
    </w:p>
    <w:p w:rsidR="0073696F" w:rsidRPr="00E35F4D" w:rsidRDefault="006A3373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lastRenderedPageBreak/>
        <w:t xml:space="preserve">Additionally, </w:t>
      </w:r>
      <w:r w:rsidR="00DC5AEC" w:rsidRPr="00E35F4D">
        <w:rPr>
          <w:sz w:val="20"/>
          <w:szCs w:val="20"/>
          <w:lang w:bidi="ar-SA"/>
        </w:rPr>
        <w:t xml:space="preserve">induction CT </w:t>
      </w:r>
      <w:r w:rsidRPr="00E35F4D">
        <w:rPr>
          <w:sz w:val="20"/>
          <w:szCs w:val="20"/>
          <w:lang w:bidi="ar-SA"/>
        </w:rPr>
        <w:t xml:space="preserve">has </w:t>
      </w:r>
      <w:r w:rsidR="00DC5AEC" w:rsidRPr="00E35F4D">
        <w:rPr>
          <w:sz w:val="20"/>
          <w:szCs w:val="20"/>
          <w:lang w:bidi="ar-SA"/>
        </w:rPr>
        <w:t>the potential to eradicate</w:t>
      </w:r>
      <w:r w:rsidR="00234663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 xml:space="preserve">distant </w:t>
      </w:r>
      <w:proofErr w:type="spellStart"/>
      <w:r w:rsidR="00DC5AEC" w:rsidRPr="00E35F4D">
        <w:rPr>
          <w:sz w:val="20"/>
          <w:szCs w:val="20"/>
          <w:lang w:bidi="ar-SA"/>
        </w:rPr>
        <w:t>micrometastases</w:t>
      </w:r>
      <w:proofErr w:type="spellEnd"/>
      <w:r w:rsidR="0025043B" w:rsidRPr="00E35F4D">
        <w:rPr>
          <w:color w:val="FF0000"/>
          <w:sz w:val="20"/>
          <w:szCs w:val="20"/>
          <w:lang w:bidi="ar-SA"/>
        </w:rPr>
        <w:t xml:space="preserve"> </w:t>
      </w:r>
      <w:r w:rsidR="0025043B" w:rsidRPr="00E35F4D">
        <w:rPr>
          <w:sz w:val="20"/>
          <w:szCs w:val="20"/>
          <w:lang w:bidi="ar-SA"/>
        </w:rPr>
        <w:t>early</w:t>
      </w:r>
      <w:r w:rsidR="00DC5AEC" w:rsidRPr="00E35F4D">
        <w:rPr>
          <w:sz w:val="20"/>
          <w:szCs w:val="20"/>
          <w:lang w:bidi="ar-SA"/>
        </w:rPr>
        <w:t xml:space="preserve">. On the other hand, </w:t>
      </w:r>
      <w:r w:rsidR="005409BD" w:rsidRPr="00E35F4D">
        <w:rPr>
          <w:sz w:val="20"/>
          <w:szCs w:val="20"/>
          <w:lang w:bidi="ar-SA"/>
        </w:rPr>
        <w:t>it</w:t>
      </w:r>
      <w:r w:rsidR="00DC5AEC" w:rsidRPr="00E35F4D">
        <w:rPr>
          <w:sz w:val="20"/>
          <w:szCs w:val="20"/>
          <w:lang w:bidi="ar-SA"/>
        </w:rPr>
        <w:t xml:space="preserve"> may be associated</w:t>
      </w:r>
      <w:r w:rsidR="002A5FBB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 xml:space="preserve">with </w:t>
      </w:r>
      <w:r w:rsidR="001D6B17" w:rsidRPr="00E35F4D">
        <w:rPr>
          <w:sz w:val="20"/>
          <w:szCs w:val="20"/>
          <w:lang w:bidi="ar-SA"/>
        </w:rPr>
        <w:t xml:space="preserve">a delay of definitive surgery, possibly reduced compliance to CRT, and </w:t>
      </w:r>
      <w:r w:rsidR="00DC5AEC" w:rsidRPr="00E35F4D">
        <w:rPr>
          <w:sz w:val="20"/>
          <w:szCs w:val="20"/>
          <w:lang w:bidi="ar-SA"/>
        </w:rPr>
        <w:t>induction</w:t>
      </w:r>
      <w:r w:rsidR="002A5FBB" w:rsidRPr="00E35F4D">
        <w:rPr>
          <w:sz w:val="20"/>
          <w:szCs w:val="20"/>
          <w:lang w:bidi="ar-SA"/>
        </w:rPr>
        <w:t xml:space="preserve"> </w:t>
      </w:r>
      <w:r w:rsidR="00DC5AEC" w:rsidRPr="00E35F4D">
        <w:rPr>
          <w:sz w:val="20"/>
          <w:szCs w:val="20"/>
          <w:lang w:bidi="ar-SA"/>
        </w:rPr>
        <w:t xml:space="preserve">of accelerated repopulation, </w:t>
      </w:r>
      <w:r w:rsidR="00DC5AEC" w:rsidRPr="00E35F4D">
        <w:rPr>
          <w:b/>
          <w:bCs/>
          <w:sz w:val="20"/>
          <w:szCs w:val="20"/>
          <w:lang w:bidi="ar-SA"/>
        </w:rPr>
        <w:t>[</w:t>
      </w:r>
      <w:r w:rsidR="00FF2290" w:rsidRPr="00E35F4D">
        <w:rPr>
          <w:b/>
          <w:bCs/>
          <w:sz w:val="20"/>
          <w:szCs w:val="20"/>
          <w:lang w:bidi="ar-SA"/>
        </w:rPr>
        <w:t>10</w:t>
      </w:r>
      <w:r w:rsidR="00DC5AEC" w:rsidRPr="00E35F4D">
        <w:rPr>
          <w:b/>
          <w:bCs/>
          <w:sz w:val="20"/>
          <w:szCs w:val="20"/>
          <w:lang w:bidi="ar-SA"/>
        </w:rPr>
        <w:t>]</w:t>
      </w:r>
      <w:r w:rsidR="00DC5AEC" w:rsidRPr="00E35F4D">
        <w:rPr>
          <w:sz w:val="20"/>
          <w:szCs w:val="20"/>
          <w:lang w:bidi="ar-SA"/>
        </w:rPr>
        <w:t>.</w:t>
      </w:r>
    </w:p>
    <w:p w:rsidR="00C54366" w:rsidRPr="00E35F4D" w:rsidRDefault="001D6B17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Chau</w:t>
      </w:r>
      <w:proofErr w:type="spellEnd"/>
      <w:r w:rsidRPr="00E35F4D">
        <w:rPr>
          <w:sz w:val="20"/>
          <w:szCs w:val="20"/>
          <w:lang w:bidi="ar-SA"/>
        </w:rPr>
        <w:t xml:space="preserve"> et al. reported that in patients </w:t>
      </w:r>
      <w:r w:rsidR="00D90ACD" w:rsidRPr="00E35F4D">
        <w:rPr>
          <w:sz w:val="20"/>
          <w:szCs w:val="20"/>
          <w:lang w:bidi="ar-SA"/>
        </w:rPr>
        <w:t xml:space="preserve">with poor-risk rectal cancer </w:t>
      </w:r>
      <w:r w:rsidRPr="00E35F4D">
        <w:rPr>
          <w:sz w:val="20"/>
          <w:szCs w:val="20"/>
          <w:lang w:bidi="ar-SA"/>
        </w:rPr>
        <w:t xml:space="preserve">treated </w:t>
      </w:r>
      <w:r w:rsidR="00D90ACD" w:rsidRPr="00E35F4D">
        <w:rPr>
          <w:sz w:val="20"/>
          <w:szCs w:val="20"/>
          <w:lang w:bidi="ar-SA"/>
        </w:rPr>
        <w:t>at</w:t>
      </w:r>
      <w:r w:rsidRPr="00E35F4D">
        <w:rPr>
          <w:sz w:val="20"/>
          <w:szCs w:val="20"/>
          <w:lang w:bidi="ar-SA"/>
        </w:rPr>
        <w:t xml:space="preserve"> </w:t>
      </w:r>
      <w:r w:rsidR="00C54366" w:rsidRPr="00E35F4D">
        <w:rPr>
          <w:sz w:val="20"/>
          <w:szCs w:val="20"/>
          <w:lang w:bidi="ar-SA"/>
        </w:rPr>
        <w:t>the Royal Marsden Hospital</w:t>
      </w:r>
      <w:r w:rsidR="00D90ACD" w:rsidRPr="00E35F4D">
        <w:rPr>
          <w:sz w:val="20"/>
          <w:szCs w:val="20"/>
          <w:lang w:bidi="ar-SA"/>
        </w:rPr>
        <w:t>,</w:t>
      </w:r>
      <w:r w:rsidR="009D788C" w:rsidRPr="00E35F4D">
        <w:rPr>
          <w:sz w:val="20"/>
          <w:szCs w:val="20"/>
          <w:lang w:bidi="ar-SA"/>
        </w:rPr>
        <w:t xml:space="preserve"> </w:t>
      </w:r>
      <w:r w:rsidR="00C54366" w:rsidRPr="00E35F4D">
        <w:rPr>
          <w:sz w:val="20"/>
          <w:szCs w:val="20"/>
          <w:lang w:bidi="ar-SA"/>
        </w:rPr>
        <w:t xml:space="preserve">induction </w:t>
      </w:r>
      <w:proofErr w:type="spellStart"/>
      <w:r w:rsidR="00C54366" w:rsidRPr="00E35F4D">
        <w:rPr>
          <w:sz w:val="20"/>
          <w:szCs w:val="20"/>
          <w:lang w:bidi="ar-SA"/>
        </w:rPr>
        <w:t>capecitabine</w:t>
      </w:r>
      <w:proofErr w:type="spellEnd"/>
      <w:r w:rsidR="00C54366" w:rsidRPr="00E35F4D">
        <w:rPr>
          <w:sz w:val="20"/>
          <w:szCs w:val="20"/>
          <w:lang w:bidi="ar-SA"/>
        </w:rPr>
        <w:t>/</w:t>
      </w:r>
      <w:proofErr w:type="spellStart"/>
      <w:r w:rsidR="00C54366" w:rsidRPr="00E35F4D">
        <w:rPr>
          <w:sz w:val="20"/>
          <w:szCs w:val="20"/>
          <w:lang w:bidi="ar-SA"/>
        </w:rPr>
        <w:t>oxaliplatin</w:t>
      </w:r>
      <w:proofErr w:type="spellEnd"/>
      <w:r w:rsidR="00A16960" w:rsidRPr="00E35F4D">
        <w:rPr>
          <w:sz w:val="20"/>
          <w:szCs w:val="20"/>
          <w:lang w:bidi="ar-SA"/>
        </w:rPr>
        <w:t xml:space="preserve"> (CAPOX)</w:t>
      </w:r>
      <w:r w:rsidR="00C54366" w:rsidRPr="00E35F4D">
        <w:rPr>
          <w:sz w:val="20"/>
          <w:szCs w:val="20"/>
          <w:lang w:bidi="ar-SA"/>
        </w:rPr>
        <w:t xml:space="preserve"> before concomitant CRT (</w:t>
      </w:r>
      <w:proofErr w:type="spellStart"/>
      <w:r w:rsidR="00C54366" w:rsidRPr="00E35F4D">
        <w:rPr>
          <w:sz w:val="20"/>
          <w:szCs w:val="20"/>
          <w:lang w:bidi="ar-SA"/>
        </w:rPr>
        <w:t>capecitabine</w:t>
      </w:r>
      <w:proofErr w:type="spellEnd"/>
      <w:r w:rsidR="00C54366" w:rsidRPr="00E35F4D">
        <w:rPr>
          <w:sz w:val="20"/>
          <w:szCs w:val="20"/>
          <w:lang w:bidi="ar-SA"/>
        </w:rPr>
        <w:t xml:space="preserve">/radiotherapy) and </w:t>
      </w:r>
      <w:r w:rsidR="00170683" w:rsidRPr="00E35F4D">
        <w:rPr>
          <w:sz w:val="20"/>
          <w:szCs w:val="20"/>
          <w:lang w:bidi="ar-SA"/>
        </w:rPr>
        <w:t xml:space="preserve">total </w:t>
      </w:r>
      <w:proofErr w:type="spellStart"/>
      <w:r w:rsidR="00170683" w:rsidRPr="00E35F4D">
        <w:rPr>
          <w:sz w:val="20"/>
          <w:szCs w:val="20"/>
          <w:lang w:bidi="ar-SA"/>
        </w:rPr>
        <w:t>mesorectal</w:t>
      </w:r>
      <w:proofErr w:type="spellEnd"/>
      <w:r w:rsidR="00170683" w:rsidRPr="00E35F4D">
        <w:rPr>
          <w:sz w:val="20"/>
          <w:szCs w:val="20"/>
          <w:lang w:bidi="ar-SA"/>
        </w:rPr>
        <w:t xml:space="preserve"> excision (</w:t>
      </w:r>
      <w:r w:rsidR="00C54366" w:rsidRPr="00E35F4D">
        <w:rPr>
          <w:sz w:val="20"/>
          <w:szCs w:val="20"/>
          <w:lang w:bidi="ar-SA"/>
        </w:rPr>
        <w:t>TME</w:t>
      </w:r>
      <w:r w:rsidR="00170683" w:rsidRPr="00E35F4D">
        <w:rPr>
          <w:sz w:val="20"/>
          <w:szCs w:val="20"/>
          <w:lang w:bidi="ar-SA"/>
        </w:rPr>
        <w:t>)</w:t>
      </w:r>
      <w:r w:rsidR="00C54366" w:rsidRPr="00E35F4D">
        <w:rPr>
          <w:sz w:val="20"/>
          <w:szCs w:val="20"/>
          <w:lang w:bidi="ar-SA"/>
        </w:rPr>
        <w:t xml:space="preserve"> results in </w:t>
      </w:r>
      <w:r w:rsidR="007C56F1" w:rsidRPr="00E35F4D">
        <w:rPr>
          <w:sz w:val="20"/>
          <w:szCs w:val="20"/>
          <w:lang w:bidi="ar-SA"/>
        </w:rPr>
        <w:t xml:space="preserve">no tumor progression during induction CT, </w:t>
      </w:r>
      <w:r w:rsidR="00C54366" w:rsidRPr="00E35F4D">
        <w:rPr>
          <w:sz w:val="20"/>
          <w:szCs w:val="20"/>
          <w:lang w:bidi="ar-SA"/>
        </w:rPr>
        <w:t xml:space="preserve">rapid symptomatic response, </w:t>
      </w:r>
      <w:r w:rsidR="007C56F1" w:rsidRPr="00E35F4D">
        <w:rPr>
          <w:sz w:val="20"/>
          <w:szCs w:val="20"/>
          <w:lang w:bidi="ar-SA"/>
        </w:rPr>
        <w:t>significant tumor regression</w:t>
      </w:r>
      <w:r w:rsidR="00C54366" w:rsidRPr="00E35F4D">
        <w:rPr>
          <w:sz w:val="20"/>
          <w:szCs w:val="20"/>
          <w:lang w:bidi="ar-SA"/>
        </w:rPr>
        <w:t xml:space="preserve">, 99% complete resection (R0), and 24% </w:t>
      </w:r>
      <w:r w:rsidR="00C12209" w:rsidRPr="00E35F4D">
        <w:rPr>
          <w:sz w:val="20"/>
          <w:szCs w:val="20"/>
          <w:lang w:bidi="ar-SA"/>
        </w:rPr>
        <w:t>pathological complete response (</w:t>
      </w:r>
      <w:proofErr w:type="spellStart"/>
      <w:r w:rsidR="00C54366" w:rsidRPr="00E35F4D">
        <w:rPr>
          <w:sz w:val="20"/>
          <w:szCs w:val="20"/>
          <w:lang w:bidi="ar-SA"/>
        </w:rPr>
        <w:t>pCR</w:t>
      </w:r>
      <w:proofErr w:type="spellEnd"/>
      <w:r w:rsidR="00C12209" w:rsidRPr="00E35F4D">
        <w:rPr>
          <w:sz w:val="20"/>
          <w:szCs w:val="20"/>
          <w:lang w:bidi="ar-SA"/>
        </w:rPr>
        <w:t>)</w:t>
      </w:r>
      <w:r w:rsidR="00C54366" w:rsidRPr="00E35F4D">
        <w:rPr>
          <w:sz w:val="20"/>
          <w:szCs w:val="20"/>
          <w:lang w:bidi="ar-SA"/>
        </w:rPr>
        <w:t xml:space="preserve"> rates</w:t>
      </w:r>
      <w:r w:rsidR="00D371B8" w:rsidRPr="00E35F4D">
        <w:rPr>
          <w:sz w:val="20"/>
          <w:szCs w:val="20"/>
          <w:lang w:bidi="ar-SA"/>
        </w:rPr>
        <w:t xml:space="preserve"> </w:t>
      </w:r>
      <w:r w:rsidR="00D371B8" w:rsidRPr="00E35F4D">
        <w:rPr>
          <w:b/>
          <w:bCs/>
          <w:sz w:val="20"/>
          <w:szCs w:val="20"/>
          <w:lang w:bidi="ar-SA"/>
        </w:rPr>
        <w:t>[11]</w:t>
      </w:r>
      <w:r w:rsidR="00C54366" w:rsidRPr="00E35F4D">
        <w:rPr>
          <w:b/>
          <w:bCs/>
          <w:sz w:val="20"/>
          <w:szCs w:val="20"/>
          <w:lang w:bidi="ar-SA"/>
        </w:rPr>
        <w:t>.</w:t>
      </w:r>
    </w:p>
    <w:p w:rsidR="00E444C0" w:rsidRPr="00E35F4D" w:rsidRDefault="00DC5AEC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Chau</w:t>
      </w:r>
      <w:proofErr w:type="spellEnd"/>
      <w:r w:rsidRPr="00E35F4D">
        <w:rPr>
          <w:sz w:val="20"/>
          <w:szCs w:val="20"/>
          <w:lang w:bidi="ar-SA"/>
        </w:rPr>
        <w:t xml:space="preserve"> et al. examined the use</w:t>
      </w:r>
      <w:r w:rsidR="00B01180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of 4 cycles of induction CAPOX </w:t>
      </w:r>
      <w:r w:rsidR="00014FE5" w:rsidRPr="00E35F4D">
        <w:rPr>
          <w:sz w:val="20"/>
          <w:szCs w:val="20"/>
          <w:lang w:bidi="ar-SA"/>
        </w:rPr>
        <w:t>in</w:t>
      </w:r>
      <w:r w:rsidRPr="00E35F4D">
        <w:rPr>
          <w:sz w:val="20"/>
          <w:szCs w:val="20"/>
          <w:lang w:bidi="ar-SA"/>
        </w:rPr>
        <w:t xml:space="preserve"> 3 weeks</w:t>
      </w:r>
      <w:r w:rsidR="00014FE5" w:rsidRPr="00E35F4D">
        <w:rPr>
          <w:sz w:val="20"/>
          <w:szCs w:val="20"/>
          <w:lang w:bidi="ar-SA"/>
        </w:rPr>
        <w:t xml:space="preserve"> cycles</w:t>
      </w:r>
      <w:r w:rsidR="00484122" w:rsidRPr="00E35F4D">
        <w:rPr>
          <w:sz w:val="20"/>
          <w:szCs w:val="20"/>
          <w:lang w:bidi="ar-SA"/>
        </w:rPr>
        <w:t>,</w:t>
      </w:r>
      <w:r w:rsidRPr="00E35F4D">
        <w:rPr>
          <w:sz w:val="20"/>
          <w:szCs w:val="20"/>
          <w:lang w:bidi="ar-SA"/>
        </w:rPr>
        <w:t xml:space="preserve"> followed by CRT (54</w:t>
      </w:r>
      <w:r w:rsidR="00D639B1" w:rsidRPr="00E35F4D">
        <w:rPr>
          <w:sz w:val="20"/>
          <w:szCs w:val="20"/>
          <w:lang w:bidi="ar-SA"/>
        </w:rPr>
        <w:t xml:space="preserve"> </w:t>
      </w:r>
      <w:proofErr w:type="spellStart"/>
      <w:r w:rsidRPr="00E35F4D">
        <w:rPr>
          <w:sz w:val="20"/>
          <w:szCs w:val="20"/>
          <w:lang w:bidi="ar-SA"/>
        </w:rPr>
        <w:t>Gy</w:t>
      </w:r>
      <w:proofErr w:type="spellEnd"/>
      <w:r w:rsidR="00C9367B" w:rsidRPr="00E35F4D">
        <w:rPr>
          <w:sz w:val="20"/>
          <w:szCs w:val="20"/>
          <w:lang w:bidi="ar-SA"/>
        </w:rPr>
        <w:t>/</w:t>
      </w:r>
      <w:r w:rsidRPr="00E35F4D">
        <w:rPr>
          <w:sz w:val="20"/>
          <w:szCs w:val="20"/>
          <w:lang w:bidi="ar-SA"/>
        </w:rPr>
        <w:t xml:space="preserve">6 weeks </w:t>
      </w:r>
      <w:r w:rsidR="00014FE5" w:rsidRPr="00E35F4D">
        <w:rPr>
          <w:sz w:val="20"/>
          <w:szCs w:val="20"/>
          <w:lang w:bidi="ar-SA"/>
        </w:rPr>
        <w:t xml:space="preserve">concomitant </w:t>
      </w:r>
      <w:r w:rsidRPr="00E35F4D">
        <w:rPr>
          <w:sz w:val="20"/>
          <w:szCs w:val="20"/>
          <w:lang w:bidi="ar-SA"/>
        </w:rPr>
        <w:t>with</w:t>
      </w:r>
      <w:r w:rsidR="00B01180" w:rsidRPr="00E35F4D">
        <w:rPr>
          <w:sz w:val="20"/>
          <w:szCs w:val="20"/>
          <w:lang w:bidi="ar-SA"/>
        </w:rPr>
        <w:t xml:space="preserve"> </w:t>
      </w:r>
      <w:proofErr w:type="spellStart"/>
      <w:r w:rsidRPr="00E35F4D">
        <w:rPr>
          <w:sz w:val="20"/>
          <w:szCs w:val="20"/>
          <w:lang w:bidi="ar-SA"/>
        </w:rPr>
        <w:t>capecitabine</w:t>
      </w:r>
      <w:proofErr w:type="spellEnd"/>
      <w:r w:rsidRPr="00E35F4D">
        <w:rPr>
          <w:sz w:val="20"/>
          <w:szCs w:val="20"/>
          <w:lang w:bidi="ar-SA"/>
        </w:rPr>
        <w:t xml:space="preserve">), followed by </w:t>
      </w:r>
      <w:r w:rsidR="00170683" w:rsidRPr="00E35F4D">
        <w:rPr>
          <w:sz w:val="20"/>
          <w:szCs w:val="20"/>
          <w:lang w:bidi="ar-SA"/>
        </w:rPr>
        <w:t>TME</w:t>
      </w:r>
      <w:r w:rsidRPr="00E35F4D">
        <w:rPr>
          <w:sz w:val="20"/>
          <w:szCs w:val="20"/>
          <w:lang w:bidi="ar-SA"/>
        </w:rPr>
        <w:t xml:space="preserve">, and 12 weeks of adjuvant </w:t>
      </w:r>
      <w:proofErr w:type="spellStart"/>
      <w:r w:rsidRPr="00E35F4D">
        <w:rPr>
          <w:sz w:val="20"/>
          <w:szCs w:val="20"/>
          <w:lang w:bidi="ar-SA"/>
        </w:rPr>
        <w:t>capecitabine</w:t>
      </w:r>
      <w:proofErr w:type="spellEnd"/>
      <w:r w:rsidRPr="00E35F4D">
        <w:rPr>
          <w:sz w:val="20"/>
          <w:szCs w:val="20"/>
          <w:lang w:bidi="ar-SA"/>
        </w:rPr>
        <w:t>. Radiological response rates after induction CT and</w:t>
      </w:r>
      <w:r w:rsidR="00B01180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CRT were 74% and 89%, respectively. </w:t>
      </w:r>
      <w:r w:rsidR="00D639B1" w:rsidRPr="00E35F4D">
        <w:rPr>
          <w:sz w:val="20"/>
          <w:szCs w:val="20"/>
          <w:lang w:bidi="ar-SA"/>
        </w:rPr>
        <w:t xml:space="preserve">A 20% </w:t>
      </w:r>
      <w:proofErr w:type="spellStart"/>
      <w:r w:rsidR="00D639B1" w:rsidRPr="00E35F4D">
        <w:rPr>
          <w:sz w:val="20"/>
          <w:szCs w:val="20"/>
          <w:lang w:bidi="ar-SA"/>
        </w:rPr>
        <w:t>pCR</w:t>
      </w:r>
      <w:proofErr w:type="spellEnd"/>
      <w:r w:rsidR="00D639B1" w:rsidRPr="00E35F4D">
        <w:rPr>
          <w:sz w:val="20"/>
          <w:szCs w:val="20"/>
          <w:lang w:bidi="ar-SA"/>
        </w:rPr>
        <w:t xml:space="preserve"> was reported with 3</w:t>
      </w:r>
      <w:r w:rsidRPr="00E35F4D">
        <w:rPr>
          <w:sz w:val="20"/>
          <w:szCs w:val="20"/>
          <w:lang w:bidi="ar-SA"/>
        </w:rPr>
        <w:t>-year progression</w:t>
      </w:r>
      <w:r w:rsidR="00B01180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>free</w:t>
      </w:r>
      <w:r w:rsidR="00B01180" w:rsidRPr="00E35F4D">
        <w:rPr>
          <w:sz w:val="20"/>
          <w:szCs w:val="20"/>
          <w:lang w:bidi="ar-SA"/>
        </w:rPr>
        <w:t xml:space="preserve"> </w:t>
      </w:r>
      <w:r w:rsidR="00D639B1" w:rsidRPr="00E35F4D">
        <w:rPr>
          <w:sz w:val="20"/>
          <w:szCs w:val="20"/>
          <w:lang w:bidi="ar-SA"/>
        </w:rPr>
        <w:t xml:space="preserve">survival (PFS) </w:t>
      </w:r>
      <w:r w:rsidRPr="00E35F4D">
        <w:rPr>
          <w:sz w:val="20"/>
          <w:szCs w:val="20"/>
          <w:lang w:bidi="ar-SA"/>
        </w:rPr>
        <w:t xml:space="preserve">and overall </w:t>
      </w:r>
      <w:r w:rsidR="003A5E91" w:rsidRPr="00E35F4D">
        <w:rPr>
          <w:sz w:val="20"/>
          <w:szCs w:val="20"/>
          <w:lang w:bidi="ar-SA"/>
        </w:rPr>
        <w:t>survival</w:t>
      </w:r>
      <w:r w:rsidR="00A16960" w:rsidRPr="00E35F4D">
        <w:rPr>
          <w:sz w:val="20"/>
          <w:szCs w:val="20"/>
          <w:lang w:bidi="ar-SA"/>
        </w:rPr>
        <w:t xml:space="preserve"> (OS)</w:t>
      </w:r>
      <w:r w:rsidR="003A5E91" w:rsidRPr="00E35F4D">
        <w:rPr>
          <w:sz w:val="20"/>
          <w:szCs w:val="20"/>
          <w:lang w:bidi="ar-SA"/>
        </w:rPr>
        <w:t xml:space="preserve"> were</w:t>
      </w:r>
      <w:r w:rsidRPr="00E35F4D">
        <w:rPr>
          <w:sz w:val="20"/>
          <w:szCs w:val="20"/>
          <w:lang w:bidi="ar-SA"/>
        </w:rPr>
        <w:t xml:space="preserve"> 68% and 83%, respectively</w:t>
      </w:r>
      <w:r w:rsidR="00B01180" w:rsidRPr="00E35F4D">
        <w:rPr>
          <w:sz w:val="20"/>
          <w:szCs w:val="20"/>
          <w:lang w:bidi="ar-SA"/>
        </w:rPr>
        <w:t xml:space="preserve"> </w:t>
      </w:r>
      <w:r w:rsidRPr="00E35F4D">
        <w:rPr>
          <w:b/>
          <w:bCs/>
          <w:sz w:val="20"/>
          <w:szCs w:val="20"/>
          <w:lang w:bidi="ar-SA"/>
        </w:rPr>
        <w:t>[</w:t>
      </w:r>
      <w:r w:rsidR="008329D4" w:rsidRPr="00E35F4D">
        <w:rPr>
          <w:b/>
          <w:bCs/>
          <w:sz w:val="20"/>
          <w:szCs w:val="20"/>
          <w:lang w:bidi="ar-SA"/>
        </w:rPr>
        <w:t>12</w:t>
      </w:r>
      <w:r w:rsidRPr="00E35F4D">
        <w:rPr>
          <w:b/>
          <w:bCs/>
          <w:sz w:val="20"/>
          <w:szCs w:val="20"/>
          <w:lang w:bidi="ar-SA"/>
        </w:rPr>
        <w:t>].</w:t>
      </w:r>
    </w:p>
    <w:p w:rsidR="00B30BB0" w:rsidRPr="00E35F4D" w:rsidRDefault="00EE6858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On the basis of these encouraging results, </w:t>
      </w:r>
      <w:r w:rsidR="00177CEB" w:rsidRPr="00E35F4D">
        <w:rPr>
          <w:sz w:val="20"/>
          <w:szCs w:val="20"/>
          <w:lang w:bidi="ar-SA"/>
        </w:rPr>
        <w:t>this</w:t>
      </w:r>
      <w:r w:rsidRPr="00E35F4D">
        <w:rPr>
          <w:sz w:val="20"/>
          <w:szCs w:val="20"/>
          <w:lang w:bidi="ar-SA"/>
        </w:rPr>
        <w:t xml:space="preserve"> phase II trial </w:t>
      </w:r>
      <w:r w:rsidR="00177CEB" w:rsidRPr="00E35F4D">
        <w:rPr>
          <w:sz w:val="20"/>
          <w:szCs w:val="20"/>
          <w:lang w:bidi="ar-SA"/>
        </w:rPr>
        <w:t xml:space="preserve">was designed </w:t>
      </w:r>
      <w:r w:rsidRPr="00E35F4D">
        <w:rPr>
          <w:sz w:val="20"/>
          <w:szCs w:val="20"/>
          <w:lang w:bidi="ar-SA"/>
        </w:rPr>
        <w:t xml:space="preserve">to </w:t>
      </w:r>
      <w:r w:rsidR="00261916" w:rsidRPr="00E35F4D">
        <w:rPr>
          <w:sz w:val="20"/>
          <w:szCs w:val="20"/>
          <w:lang w:bidi="ar-SA"/>
        </w:rPr>
        <w:t xml:space="preserve">evaluate the efficacy </w:t>
      </w:r>
      <w:r w:rsidR="00261916" w:rsidRPr="00E35F4D">
        <w:rPr>
          <w:sz w:val="20"/>
          <w:szCs w:val="20"/>
          <w:lang w:bidi="ar-SA"/>
        </w:rPr>
        <w:lastRenderedPageBreak/>
        <w:t>and saf</w:t>
      </w:r>
      <w:r w:rsidR="00484122" w:rsidRPr="00E35F4D">
        <w:rPr>
          <w:sz w:val="20"/>
          <w:szCs w:val="20"/>
          <w:lang w:bidi="ar-SA"/>
        </w:rPr>
        <w:t>e</w:t>
      </w:r>
      <w:r w:rsidR="00261916" w:rsidRPr="00E35F4D">
        <w:rPr>
          <w:sz w:val="20"/>
          <w:szCs w:val="20"/>
          <w:lang w:bidi="ar-SA"/>
        </w:rPr>
        <w:t>ty of</w:t>
      </w:r>
      <w:r w:rsidRPr="00E35F4D">
        <w:rPr>
          <w:sz w:val="20"/>
          <w:szCs w:val="20"/>
          <w:lang w:bidi="ar-SA"/>
        </w:rPr>
        <w:t xml:space="preserve"> this approach</w:t>
      </w:r>
      <w:r w:rsidR="00261916" w:rsidRPr="00E35F4D">
        <w:rPr>
          <w:sz w:val="20"/>
          <w:szCs w:val="20"/>
          <w:lang w:bidi="ar-SA"/>
        </w:rPr>
        <w:t xml:space="preserve"> using</w:t>
      </w:r>
      <w:r w:rsidRPr="00E35F4D">
        <w:rPr>
          <w:sz w:val="20"/>
          <w:szCs w:val="20"/>
          <w:lang w:bidi="ar-SA"/>
        </w:rPr>
        <w:t xml:space="preserve"> </w:t>
      </w:r>
      <w:r w:rsidR="00261916" w:rsidRPr="00E35F4D">
        <w:rPr>
          <w:sz w:val="20"/>
          <w:szCs w:val="20"/>
          <w:lang w:bidi="ar-SA"/>
        </w:rPr>
        <w:t xml:space="preserve">CAPOX as induction </w:t>
      </w:r>
      <w:r w:rsidR="00170683" w:rsidRPr="00E35F4D">
        <w:rPr>
          <w:sz w:val="20"/>
          <w:szCs w:val="20"/>
          <w:lang w:bidi="ar-SA"/>
        </w:rPr>
        <w:t>CT</w:t>
      </w:r>
      <w:r w:rsidR="00261916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>with preoperative</w:t>
      </w:r>
      <w:r w:rsidR="001C4264" w:rsidRPr="00E35F4D">
        <w:rPr>
          <w:sz w:val="20"/>
          <w:szCs w:val="20"/>
          <w:lang w:bidi="ar-SA"/>
        </w:rPr>
        <w:t xml:space="preserve"> concomitant</w:t>
      </w:r>
      <w:r w:rsidR="003A5E91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CRT </w:t>
      </w:r>
      <w:r w:rsidR="003F371B" w:rsidRPr="00E35F4D">
        <w:rPr>
          <w:sz w:val="20"/>
          <w:szCs w:val="20"/>
        </w:rPr>
        <w:t xml:space="preserve">with </w:t>
      </w:r>
      <w:proofErr w:type="spellStart"/>
      <w:r w:rsidR="003F371B" w:rsidRPr="00E35F4D">
        <w:rPr>
          <w:sz w:val="20"/>
          <w:szCs w:val="20"/>
        </w:rPr>
        <w:t>capecitabine</w:t>
      </w:r>
      <w:proofErr w:type="spellEnd"/>
      <w:r w:rsidR="00BF53C3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>followed by surgery and adjuvant CT</w:t>
      </w:r>
      <w:r w:rsidR="004B6786" w:rsidRPr="00E35F4D">
        <w:rPr>
          <w:sz w:val="20"/>
          <w:szCs w:val="20"/>
          <w:lang w:bidi="ar-SA"/>
        </w:rPr>
        <w:t xml:space="preserve"> in treating </w:t>
      </w:r>
      <w:r w:rsidR="000F47C9" w:rsidRPr="00E35F4D">
        <w:rPr>
          <w:sz w:val="20"/>
          <w:szCs w:val="20"/>
          <w:lang w:bidi="ar-SA"/>
        </w:rPr>
        <w:t xml:space="preserve">stages II &amp; III </w:t>
      </w:r>
      <w:r w:rsidR="004B6786" w:rsidRPr="00E35F4D">
        <w:rPr>
          <w:sz w:val="20"/>
          <w:szCs w:val="20"/>
          <w:lang w:bidi="ar-SA"/>
        </w:rPr>
        <w:t>rectal cancer patients</w:t>
      </w:r>
      <w:r w:rsidRPr="00E35F4D">
        <w:rPr>
          <w:sz w:val="20"/>
          <w:szCs w:val="20"/>
          <w:lang w:bidi="ar-SA"/>
        </w:rPr>
        <w:t>.</w:t>
      </w:r>
    </w:p>
    <w:p w:rsidR="009B1AE2" w:rsidRPr="00E35F4D" w:rsidRDefault="009B1AE2" w:rsidP="002B2928">
      <w:pPr>
        <w:snapToGrid w:val="0"/>
        <w:jc w:val="both"/>
        <w:rPr>
          <w:b/>
          <w:bCs/>
          <w:sz w:val="20"/>
          <w:szCs w:val="20"/>
        </w:rPr>
      </w:pPr>
    </w:p>
    <w:p w:rsidR="00971498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2. </w:t>
      </w:r>
      <w:r w:rsidR="00E515E1" w:rsidRPr="00E35F4D">
        <w:rPr>
          <w:b/>
          <w:bCs/>
          <w:sz w:val="20"/>
          <w:szCs w:val="20"/>
        </w:rPr>
        <w:t>Patients</w:t>
      </w:r>
      <w:r w:rsidR="00971498" w:rsidRPr="00E35F4D">
        <w:rPr>
          <w:b/>
          <w:bCs/>
          <w:sz w:val="20"/>
          <w:szCs w:val="20"/>
        </w:rPr>
        <w:t xml:space="preserve"> and </w:t>
      </w:r>
      <w:r w:rsidRPr="00E35F4D">
        <w:rPr>
          <w:b/>
          <w:bCs/>
          <w:sz w:val="20"/>
          <w:szCs w:val="20"/>
        </w:rPr>
        <w:t>M</w:t>
      </w:r>
      <w:r w:rsidR="00971498" w:rsidRPr="00E35F4D">
        <w:rPr>
          <w:b/>
          <w:bCs/>
          <w:sz w:val="20"/>
          <w:szCs w:val="20"/>
        </w:rPr>
        <w:t>ethods</w:t>
      </w:r>
    </w:p>
    <w:p w:rsidR="00F521C2" w:rsidRPr="00E35F4D" w:rsidRDefault="00971498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</w:rPr>
        <w:t>This is a</w:t>
      </w:r>
      <w:r w:rsidRPr="00E35F4D">
        <w:rPr>
          <w:rFonts w:eastAsia="Scala"/>
          <w:sz w:val="20"/>
          <w:szCs w:val="20"/>
        </w:rPr>
        <w:t xml:space="preserve"> </w:t>
      </w:r>
      <w:r w:rsidRPr="00E35F4D">
        <w:rPr>
          <w:sz w:val="20"/>
          <w:szCs w:val="20"/>
        </w:rPr>
        <w:t>prospective phase II si</w:t>
      </w:r>
      <w:r w:rsidR="00D4227E" w:rsidRPr="00E35F4D">
        <w:rPr>
          <w:sz w:val="20"/>
          <w:szCs w:val="20"/>
        </w:rPr>
        <w:t>n</w:t>
      </w:r>
      <w:r w:rsidRPr="00E35F4D">
        <w:rPr>
          <w:sz w:val="20"/>
          <w:szCs w:val="20"/>
        </w:rPr>
        <w:t>gle arm study</w:t>
      </w:r>
      <w:r w:rsidR="001C4264" w:rsidRPr="00E35F4D">
        <w:rPr>
          <w:sz w:val="20"/>
          <w:szCs w:val="20"/>
        </w:rPr>
        <w:t xml:space="preserve"> </w:t>
      </w:r>
      <w:r w:rsidR="00D639B1" w:rsidRPr="00E35F4D">
        <w:rPr>
          <w:sz w:val="20"/>
          <w:szCs w:val="20"/>
        </w:rPr>
        <w:t xml:space="preserve">performed </w:t>
      </w:r>
      <w:r w:rsidRPr="00E35F4D">
        <w:rPr>
          <w:sz w:val="20"/>
          <w:szCs w:val="20"/>
          <w:lang w:bidi="ar-SA"/>
        </w:rPr>
        <w:t xml:space="preserve">at </w:t>
      </w:r>
      <w:r w:rsidRPr="00E35F4D">
        <w:rPr>
          <w:sz w:val="20"/>
          <w:szCs w:val="20"/>
        </w:rPr>
        <w:t xml:space="preserve">Clinical Oncology </w:t>
      </w:r>
      <w:r w:rsidRPr="00E35F4D">
        <w:rPr>
          <w:color w:val="000000"/>
          <w:sz w:val="20"/>
          <w:szCs w:val="20"/>
        </w:rPr>
        <w:t>Department</w:t>
      </w:r>
      <w:r w:rsidR="00D639B1" w:rsidRPr="00E35F4D">
        <w:rPr>
          <w:color w:val="000000"/>
          <w:sz w:val="20"/>
          <w:szCs w:val="20"/>
        </w:rPr>
        <w:t>,</w:t>
      </w:r>
      <w:r w:rsidRPr="00E35F4D">
        <w:rPr>
          <w:color w:val="000000"/>
          <w:sz w:val="20"/>
          <w:szCs w:val="20"/>
        </w:rPr>
        <w:t xml:space="preserve"> Tanta University hospital</w:t>
      </w:r>
      <w:r w:rsidR="00D639B1" w:rsidRPr="00E35F4D">
        <w:rPr>
          <w:color w:val="000000"/>
          <w:sz w:val="20"/>
          <w:szCs w:val="20"/>
        </w:rPr>
        <w:t xml:space="preserve">, </w:t>
      </w:r>
      <w:r w:rsidR="00123D50" w:rsidRPr="00E35F4D">
        <w:rPr>
          <w:color w:val="000000"/>
          <w:sz w:val="20"/>
          <w:szCs w:val="20"/>
        </w:rPr>
        <w:t>throughout the</w:t>
      </w:r>
      <w:r w:rsidRPr="00E35F4D">
        <w:rPr>
          <w:color w:val="000000"/>
          <w:sz w:val="20"/>
          <w:szCs w:val="20"/>
          <w:lang w:bidi="ar-SA"/>
        </w:rPr>
        <w:t xml:space="preserve"> period between </w:t>
      </w:r>
      <w:r w:rsidR="00D41DD6" w:rsidRPr="00E35F4D">
        <w:rPr>
          <w:color w:val="000000"/>
          <w:sz w:val="20"/>
          <w:szCs w:val="20"/>
          <w:lang w:bidi="ar-SA"/>
        </w:rPr>
        <w:t>June</w:t>
      </w:r>
      <w:r w:rsidR="00947DE8"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color w:val="000000"/>
          <w:sz w:val="20"/>
          <w:szCs w:val="20"/>
          <w:lang w:bidi="ar-SA"/>
        </w:rPr>
        <w:t>201</w:t>
      </w:r>
      <w:r w:rsidR="00C15778" w:rsidRPr="00E35F4D">
        <w:rPr>
          <w:color w:val="000000"/>
          <w:sz w:val="20"/>
          <w:szCs w:val="20"/>
          <w:lang w:bidi="ar-SA"/>
        </w:rPr>
        <w:t>3</w:t>
      </w:r>
      <w:r w:rsidRPr="00E35F4D">
        <w:rPr>
          <w:color w:val="000000"/>
          <w:sz w:val="20"/>
          <w:szCs w:val="20"/>
          <w:lang w:bidi="ar-SA"/>
        </w:rPr>
        <w:t xml:space="preserve"> and</w:t>
      </w:r>
      <w:r w:rsidRPr="00E35F4D">
        <w:rPr>
          <w:sz w:val="20"/>
          <w:szCs w:val="20"/>
          <w:lang w:bidi="ar-SA"/>
        </w:rPr>
        <w:t xml:space="preserve"> </w:t>
      </w:r>
      <w:r w:rsidR="00AA62AC" w:rsidRPr="00E35F4D">
        <w:rPr>
          <w:sz w:val="20"/>
          <w:szCs w:val="20"/>
          <w:lang w:bidi="ar-SA"/>
        </w:rPr>
        <w:t>December</w:t>
      </w:r>
      <w:r w:rsidR="00947DE8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>201</w:t>
      </w:r>
      <w:r w:rsidR="00C15778" w:rsidRPr="00E35F4D">
        <w:rPr>
          <w:sz w:val="20"/>
          <w:szCs w:val="20"/>
          <w:lang w:bidi="ar-SA"/>
        </w:rPr>
        <w:t>5</w:t>
      </w:r>
      <w:r w:rsidR="00DE33A0" w:rsidRPr="00E35F4D">
        <w:rPr>
          <w:sz w:val="20"/>
          <w:szCs w:val="20"/>
          <w:lang w:bidi="ar-SA"/>
        </w:rPr>
        <w:t>. Thirty-one</w:t>
      </w:r>
      <w:r w:rsidR="00D639B1" w:rsidRPr="00E35F4D">
        <w:rPr>
          <w:sz w:val="20"/>
          <w:szCs w:val="20"/>
          <w:lang w:bidi="ar-SA"/>
        </w:rPr>
        <w:t xml:space="preserve"> patients with locally advanced </w:t>
      </w:r>
      <w:r w:rsidR="00484122" w:rsidRPr="00E35F4D">
        <w:rPr>
          <w:sz w:val="20"/>
          <w:szCs w:val="20"/>
          <w:lang w:bidi="ar-SA"/>
        </w:rPr>
        <w:t xml:space="preserve">rectal </w:t>
      </w:r>
      <w:proofErr w:type="spellStart"/>
      <w:r w:rsidR="00D639B1" w:rsidRPr="00E35F4D">
        <w:rPr>
          <w:sz w:val="20"/>
          <w:szCs w:val="20"/>
          <w:lang w:bidi="ar-SA"/>
        </w:rPr>
        <w:t>adenocarcinoma</w:t>
      </w:r>
      <w:proofErr w:type="spellEnd"/>
      <w:r w:rsidR="00D639B1" w:rsidRPr="00E35F4D">
        <w:rPr>
          <w:sz w:val="20"/>
          <w:szCs w:val="20"/>
          <w:lang w:bidi="ar-SA"/>
        </w:rPr>
        <w:t xml:space="preserve"> were enrolled</w:t>
      </w:r>
      <w:r w:rsidR="00F521C2" w:rsidRPr="00E35F4D">
        <w:rPr>
          <w:sz w:val="20"/>
          <w:szCs w:val="20"/>
          <w:lang w:bidi="ar-SA"/>
        </w:rPr>
        <w:t xml:space="preserve"> with a</w:t>
      </w:r>
      <w:r w:rsidRPr="00E35F4D">
        <w:rPr>
          <w:sz w:val="20"/>
          <w:szCs w:val="20"/>
          <w:lang w:bidi="ar-SA"/>
        </w:rPr>
        <w:t xml:space="preserve"> minimum follow</w:t>
      </w:r>
      <w:r w:rsidR="00DE33A0" w:rsidRPr="00E35F4D">
        <w:rPr>
          <w:sz w:val="20"/>
          <w:szCs w:val="20"/>
          <w:lang w:bidi="ar-SA"/>
        </w:rPr>
        <w:t>-</w:t>
      </w:r>
      <w:r w:rsidRPr="00E35F4D">
        <w:rPr>
          <w:sz w:val="20"/>
          <w:szCs w:val="20"/>
          <w:lang w:bidi="ar-SA"/>
        </w:rPr>
        <w:t>up period of 6 months.</w:t>
      </w:r>
    </w:p>
    <w:p w:rsidR="00971498" w:rsidRPr="00E35F4D" w:rsidRDefault="00F521C2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All patients were informed of the nature of the study and had consent</w:t>
      </w:r>
      <w:r w:rsidR="00484122" w:rsidRPr="00E35F4D">
        <w:rPr>
          <w:sz w:val="20"/>
          <w:szCs w:val="20"/>
          <w:lang w:bidi="ar-SA"/>
        </w:rPr>
        <w:t>ed</w:t>
      </w:r>
      <w:r w:rsidRPr="00E35F4D">
        <w:rPr>
          <w:sz w:val="20"/>
          <w:szCs w:val="20"/>
          <w:lang w:bidi="ar-SA"/>
        </w:rPr>
        <w:t xml:space="preserve"> for admission in</w:t>
      </w:r>
      <w:r w:rsidR="00484122" w:rsidRPr="00E35F4D">
        <w:rPr>
          <w:sz w:val="20"/>
          <w:szCs w:val="20"/>
          <w:lang w:bidi="ar-SA"/>
        </w:rPr>
        <w:t>to</w:t>
      </w:r>
      <w:r w:rsidRPr="00E35F4D">
        <w:rPr>
          <w:sz w:val="20"/>
          <w:szCs w:val="20"/>
          <w:lang w:bidi="ar-SA"/>
        </w:rPr>
        <w:t xml:space="preserve"> the study.</w:t>
      </w:r>
    </w:p>
    <w:p w:rsidR="00971498" w:rsidRPr="00E35F4D" w:rsidRDefault="00CC06CA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>E</w:t>
      </w:r>
      <w:r w:rsidR="00971498" w:rsidRPr="00E35F4D">
        <w:rPr>
          <w:b/>
          <w:bCs/>
          <w:sz w:val="20"/>
          <w:szCs w:val="20"/>
        </w:rPr>
        <w:t>ligibility criteria</w:t>
      </w:r>
    </w:p>
    <w:p w:rsidR="00971498" w:rsidRPr="00E35F4D" w:rsidRDefault="00AD0897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 xml:space="preserve">Eligibility criteria included </w:t>
      </w:r>
      <w:r w:rsidR="00022D85" w:rsidRPr="00E35F4D">
        <w:rPr>
          <w:sz w:val="20"/>
          <w:szCs w:val="20"/>
          <w:lang w:bidi="ar-SA"/>
        </w:rPr>
        <w:t xml:space="preserve">(a) </w:t>
      </w:r>
      <w:r w:rsidRPr="00E35F4D">
        <w:rPr>
          <w:sz w:val="20"/>
          <w:szCs w:val="20"/>
          <w:lang w:bidi="ar-SA"/>
        </w:rPr>
        <w:t>age 18 to 7</w:t>
      </w:r>
      <w:r w:rsidR="00263D17" w:rsidRPr="00E35F4D">
        <w:rPr>
          <w:sz w:val="20"/>
          <w:szCs w:val="20"/>
          <w:lang w:bidi="ar-SA"/>
        </w:rPr>
        <w:t>0</w:t>
      </w:r>
      <w:r w:rsidRPr="00E35F4D">
        <w:rPr>
          <w:sz w:val="20"/>
          <w:szCs w:val="20"/>
          <w:lang w:bidi="ar-SA"/>
        </w:rPr>
        <w:t xml:space="preserve"> years</w:t>
      </w:r>
      <w:r w:rsidR="00022D85" w:rsidRPr="00E35F4D">
        <w:rPr>
          <w:sz w:val="20"/>
          <w:szCs w:val="20"/>
          <w:lang w:bidi="ar-SA"/>
        </w:rPr>
        <w:t>;</w:t>
      </w:r>
      <w:r w:rsidRPr="00E35F4D">
        <w:rPr>
          <w:sz w:val="20"/>
          <w:szCs w:val="20"/>
          <w:lang w:bidi="ar-SA"/>
        </w:rPr>
        <w:t xml:space="preserve"> </w:t>
      </w:r>
      <w:r w:rsidR="00022D85" w:rsidRPr="00E35F4D">
        <w:rPr>
          <w:sz w:val="20"/>
          <w:szCs w:val="20"/>
          <w:lang w:bidi="ar-SA"/>
        </w:rPr>
        <w:t xml:space="preserve">(b) </w:t>
      </w:r>
      <w:proofErr w:type="spellStart"/>
      <w:r w:rsidRPr="00E35F4D">
        <w:rPr>
          <w:sz w:val="20"/>
          <w:szCs w:val="20"/>
          <w:lang w:bidi="ar-SA"/>
        </w:rPr>
        <w:t>histopathologically</w:t>
      </w:r>
      <w:proofErr w:type="spellEnd"/>
      <w:r w:rsidRPr="00E35F4D">
        <w:rPr>
          <w:sz w:val="20"/>
          <w:szCs w:val="20"/>
          <w:lang w:bidi="ar-SA"/>
        </w:rPr>
        <w:t xml:space="preserve"> confirmed rectal </w:t>
      </w:r>
      <w:proofErr w:type="spellStart"/>
      <w:r w:rsidRPr="00E35F4D">
        <w:rPr>
          <w:sz w:val="20"/>
          <w:szCs w:val="20"/>
          <w:lang w:bidi="ar-SA"/>
        </w:rPr>
        <w:t>adenocarcinoma</w:t>
      </w:r>
      <w:proofErr w:type="spellEnd"/>
      <w:r w:rsidR="00EB0B23" w:rsidRPr="00E35F4D">
        <w:rPr>
          <w:sz w:val="20"/>
          <w:szCs w:val="20"/>
          <w:lang w:bidi="ar-SA"/>
        </w:rPr>
        <w:t>;</w:t>
      </w:r>
      <w:r w:rsidR="00022D85" w:rsidRPr="00E35F4D">
        <w:rPr>
          <w:sz w:val="20"/>
          <w:szCs w:val="20"/>
          <w:lang w:bidi="ar-SA"/>
        </w:rPr>
        <w:t xml:space="preserve"> </w:t>
      </w:r>
      <w:r w:rsidR="00EB0B23" w:rsidRPr="00E35F4D">
        <w:rPr>
          <w:sz w:val="20"/>
          <w:szCs w:val="20"/>
          <w:lang w:bidi="ar-SA"/>
        </w:rPr>
        <w:t>(c)</w:t>
      </w:r>
      <w:r w:rsidR="00635104" w:rsidRPr="00E35F4D">
        <w:rPr>
          <w:sz w:val="20"/>
          <w:szCs w:val="20"/>
          <w:lang w:bidi="ar-SA"/>
        </w:rPr>
        <w:t xml:space="preserve"> T3‐4 N0 or </w:t>
      </w:r>
      <w:r w:rsidR="00635104" w:rsidRPr="00E35F4D">
        <w:rPr>
          <w:color w:val="000000"/>
          <w:sz w:val="20"/>
          <w:szCs w:val="20"/>
          <w:lang w:bidi="ar-SA"/>
        </w:rPr>
        <w:t>any T</w:t>
      </w:r>
      <w:r w:rsidR="00635104" w:rsidRPr="00E35F4D">
        <w:rPr>
          <w:sz w:val="20"/>
          <w:szCs w:val="20"/>
          <w:lang w:bidi="ar-SA"/>
        </w:rPr>
        <w:t xml:space="preserve"> </w:t>
      </w:r>
      <w:proofErr w:type="spellStart"/>
      <w:r w:rsidR="00635104" w:rsidRPr="00E35F4D">
        <w:rPr>
          <w:sz w:val="20"/>
          <w:szCs w:val="20"/>
          <w:lang w:bidi="ar-SA"/>
        </w:rPr>
        <w:t>N+ve</w:t>
      </w:r>
      <w:proofErr w:type="spellEnd"/>
      <w:r w:rsidR="00DD06EC" w:rsidRPr="00E35F4D">
        <w:rPr>
          <w:sz w:val="20"/>
          <w:szCs w:val="20"/>
          <w:lang w:bidi="ar-SA"/>
        </w:rPr>
        <w:t>;</w:t>
      </w:r>
      <w:r w:rsidR="00971498" w:rsidRPr="00E35F4D">
        <w:rPr>
          <w:sz w:val="20"/>
          <w:szCs w:val="20"/>
          <w:lang w:bidi="ar-SA"/>
        </w:rPr>
        <w:t xml:space="preserve"> (d) Eastern Cooperative Oncology Group </w:t>
      </w:r>
      <w:r w:rsidR="00D24F48" w:rsidRPr="00E35F4D">
        <w:rPr>
          <w:sz w:val="20"/>
          <w:szCs w:val="20"/>
          <w:lang w:bidi="ar-SA"/>
        </w:rPr>
        <w:t xml:space="preserve">(ECOG) </w:t>
      </w:r>
      <w:r w:rsidR="00971498" w:rsidRPr="00E35F4D">
        <w:rPr>
          <w:sz w:val="20"/>
          <w:szCs w:val="20"/>
          <w:lang w:bidi="ar-SA"/>
        </w:rPr>
        <w:t>p</w:t>
      </w:r>
      <w:r w:rsidR="008833D2" w:rsidRPr="00E35F4D">
        <w:rPr>
          <w:sz w:val="20"/>
          <w:szCs w:val="20"/>
          <w:lang w:bidi="ar-SA"/>
        </w:rPr>
        <w:t xml:space="preserve">erformance status </w:t>
      </w:r>
      <w:r w:rsidR="00606B22" w:rsidRPr="00E35F4D">
        <w:rPr>
          <w:sz w:val="20"/>
          <w:szCs w:val="20"/>
          <w:lang w:bidi="ar-SA"/>
        </w:rPr>
        <w:t>≤</w:t>
      </w:r>
      <w:r w:rsidR="008833D2" w:rsidRPr="00E35F4D">
        <w:rPr>
          <w:sz w:val="20"/>
          <w:szCs w:val="20"/>
          <w:lang w:bidi="ar-SA"/>
        </w:rPr>
        <w:t>2</w:t>
      </w:r>
      <w:r w:rsidR="00971498" w:rsidRPr="00E35F4D">
        <w:rPr>
          <w:sz w:val="20"/>
          <w:szCs w:val="20"/>
          <w:lang w:bidi="ar-SA"/>
        </w:rPr>
        <w:t>; (e) adequate bone marrow reserve (</w:t>
      </w:r>
      <w:r w:rsidR="00C12209" w:rsidRPr="00E35F4D">
        <w:rPr>
          <w:sz w:val="20"/>
          <w:szCs w:val="20"/>
          <w:lang w:bidi="ar-SA"/>
        </w:rPr>
        <w:t>hemoglobin ≥10 mg/dl, platelet count ≥100,000/mm</w:t>
      </w:r>
      <w:r w:rsidR="00C12209" w:rsidRPr="00E35F4D">
        <w:rPr>
          <w:sz w:val="20"/>
          <w:szCs w:val="20"/>
          <w:vertAlign w:val="superscript"/>
          <w:lang w:bidi="ar-SA"/>
        </w:rPr>
        <w:t>3</w:t>
      </w:r>
      <w:r w:rsidR="00C12209" w:rsidRPr="00E35F4D">
        <w:rPr>
          <w:sz w:val="20"/>
          <w:szCs w:val="20"/>
          <w:lang w:bidi="ar-SA"/>
        </w:rPr>
        <w:t>,</w:t>
      </w:r>
      <w:r w:rsidR="00CE6975" w:rsidRPr="00E35F4D">
        <w:rPr>
          <w:sz w:val="20"/>
          <w:szCs w:val="20"/>
          <w:lang w:bidi="ar-SA"/>
        </w:rPr>
        <w:t xml:space="preserve"> </w:t>
      </w:r>
      <w:proofErr w:type="spellStart"/>
      <w:r w:rsidR="00C12209" w:rsidRPr="00E35F4D">
        <w:rPr>
          <w:sz w:val="20"/>
          <w:szCs w:val="20"/>
          <w:lang w:bidi="ar-SA"/>
        </w:rPr>
        <w:t>leuocytic</w:t>
      </w:r>
      <w:proofErr w:type="spellEnd"/>
      <w:r w:rsidR="00971498" w:rsidRPr="00E35F4D">
        <w:rPr>
          <w:sz w:val="20"/>
          <w:szCs w:val="20"/>
          <w:lang w:bidi="ar-SA"/>
        </w:rPr>
        <w:t xml:space="preserve"> count ≥4,000/mm</w:t>
      </w:r>
      <w:r w:rsidR="00971498" w:rsidRPr="00E35F4D">
        <w:rPr>
          <w:sz w:val="20"/>
          <w:szCs w:val="20"/>
          <w:vertAlign w:val="superscript"/>
          <w:lang w:bidi="ar-SA"/>
        </w:rPr>
        <w:t>3</w:t>
      </w:r>
      <w:r w:rsidR="00971498" w:rsidRPr="00E35F4D">
        <w:rPr>
          <w:sz w:val="20"/>
          <w:szCs w:val="20"/>
          <w:lang w:bidi="ar-SA"/>
        </w:rPr>
        <w:t>); (f) adequate re</w:t>
      </w:r>
      <w:r w:rsidR="00CE6975" w:rsidRPr="00E35F4D">
        <w:rPr>
          <w:sz w:val="20"/>
          <w:szCs w:val="20"/>
          <w:lang w:bidi="ar-SA"/>
        </w:rPr>
        <w:t xml:space="preserve">nal function tests (serum </w:t>
      </w:r>
      <w:proofErr w:type="spellStart"/>
      <w:r w:rsidR="00CE6975" w:rsidRPr="00E35F4D">
        <w:rPr>
          <w:sz w:val="20"/>
          <w:szCs w:val="20"/>
          <w:lang w:bidi="ar-SA"/>
        </w:rPr>
        <w:t>creatinine</w:t>
      </w:r>
      <w:proofErr w:type="spellEnd"/>
      <w:r w:rsidR="00CE6975" w:rsidRPr="00E35F4D">
        <w:rPr>
          <w:sz w:val="20"/>
          <w:szCs w:val="20"/>
          <w:lang w:bidi="ar-SA"/>
        </w:rPr>
        <w:t xml:space="preserve"> </w:t>
      </w:r>
      <w:r w:rsidR="00971498" w:rsidRPr="00E35F4D">
        <w:rPr>
          <w:sz w:val="20"/>
          <w:szCs w:val="20"/>
          <w:lang w:bidi="ar-SA"/>
        </w:rPr>
        <w:t xml:space="preserve">≤1.5 mg/dl, calculated </w:t>
      </w:r>
      <w:proofErr w:type="spellStart"/>
      <w:r w:rsidR="00971498" w:rsidRPr="00E35F4D">
        <w:rPr>
          <w:sz w:val="20"/>
          <w:szCs w:val="20"/>
          <w:lang w:bidi="ar-SA"/>
        </w:rPr>
        <w:t>creatinine</w:t>
      </w:r>
      <w:proofErr w:type="spellEnd"/>
      <w:r w:rsidR="00971498" w:rsidRPr="00E35F4D">
        <w:rPr>
          <w:sz w:val="20"/>
          <w:szCs w:val="20"/>
          <w:lang w:bidi="ar-SA"/>
        </w:rPr>
        <w:t xml:space="preserve"> clearance ≥50 mg/min); (g) adequate </w:t>
      </w:r>
      <w:r w:rsidR="00CE6975" w:rsidRPr="00E35F4D">
        <w:rPr>
          <w:sz w:val="20"/>
          <w:szCs w:val="20"/>
          <w:lang w:bidi="ar-SA"/>
        </w:rPr>
        <w:t>liver function tests (</w:t>
      </w:r>
      <w:proofErr w:type="spellStart"/>
      <w:r w:rsidR="00971498" w:rsidRPr="00E35F4D">
        <w:rPr>
          <w:sz w:val="20"/>
          <w:szCs w:val="20"/>
          <w:lang w:bidi="ar-SA"/>
        </w:rPr>
        <w:t>transaminase</w:t>
      </w:r>
      <w:proofErr w:type="spellEnd"/>
      <w:r w:rsidR="00971498" w:rsidRPr="00E35F4D">
        <w:rPr>
          <w:sz w:val="20"/>
          <w:szCs w:val="20"/>
          <w:lang w:bidi="ar-SA"/>
        </w:rPr>
        <w:t xml:space="preserve"> levels ≤3 times the upper normal limit, serum </w:t>
      </w:r>
      <w:proofErr w:type="spellStart"/>
      <w:r w:rsidR="00971498" w:rsidRPr="00E35F4D">
        <w:rPr>
          <w:sz w:val="20"/>
          <w:szCs w:val="20"/>
          <w:lang w:bidi="ar-SA"/>
        </w:rPr>
        <w:t>bilirubin</w:t>
      </w:r>
      <w:proofErr w:type="spellEnd"/>
      <w:r w:rsidR="00971498" w:rsidRPr="00E35F4D">
        <w:rPr>
          <w:sz w:val="20"/>
          <w:szCs w:val="20"/>
          <w:lang w:bidi="ar-SA"/>
        </w:rPr>
        <w:t xml:space="preserve"> ≤1.5 mg/dl).</w:t>
      </w:r>
    </w:p>
    <w:p w:rsidR="00971498" w:rsidRPr="00E35F4D" w:rsidRDefault="00971498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>Exclusion criteria</w:t>
      </w:r>
    </w:p>
    <w:p w:rsidR="00971498" w:rsidRPr="00E35F4D" w:rsidRDefault="00971498" w:rsidP="002B2928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0"/>
        </w:rPr>
      </w:pPr>
      <w:r w:rsidRPr="00E35F4D">
        <w:rPr>
          <w:sz w:val="20"/>
          <w:szCs w:val="20"/>
          <w:lang w:bidi="ar-SA"/>
        </w:rPr>
        <w:t xml:space="preserve">The exclusion criteria included: (a) tumor type other than </w:t>
      </w:r>
      <w:proofErr w:type="spellStart"/>
      <w:r w:rsidRPr="00E35F4D">
        <w:rPr>
          <w:sz w:val="20"/>
          <w:szCs w:val="20"/>
          <w:lang w:bidi="ar-SA"/>
        </w:rPr>
        <w:t>adenocarcinoma</w:t>
      </w:r>
      <w:proofErr w:type="spellEnd"/>
      <w:r w:rsidRPr="00E35F4D">
        <w:rPr>
          <w:sz w:val="20"/>
          <w:szCs w:val="20"/>
          <w:lang w:bidi="ar-SA"/>
        </w:rPr>
        <w:t xml:space="preserve">; (b) </w:t>
      </w:r>
      <w:r w:rsidRPr="00E35F4D">
        <w:rPr>
          <w:color w:val="000000"/>
          <w:sz w:val="20"/>
          <w:szCs w:val="20"/>
          <w:lang w:bidi="ar-SA"/>
        </w:rPr>
        <w:t xml:space="preserve">pregnant or lactating women; (c) </w:t>
      </w:r>
      <w:r w:rsidR="00C37BC4" w:rsidRPr="00E35F4D">
        <w:rPr>
          <w:color w:val="000000"/>
          <w:sz w:val="20"/>
          <w:szCs w:val="20"/>
          <w:lang w:bidi="ar-SA"/>
        </w:rPr>
        <w:t>metastatic disease</w:t>
      </w:r>
      <w:r w:rsidRPr="00E35F4D">
        <w:rPr>
          <w:color w:val="000000"/>
          <w:sz w:val="20"/>
          <w:szCs w:val="20"/>
          <w:lang w:bidi="ar-SA"/>
        </w:rPr>
        <w:t xml:space="preserve">; (d) </w:t>
      </w:r>
      <w:r w:rsidR="00C37BC4" w:rsidRPr="00E35F4D">
        <w:rPr>
          <w:color w:val="000000"/>
          <w:sz w:val="20"/>
          <w:szCs w:val="20"/>
          <w:lang w:bidi="ar-SA"/>
        </w:rPr>
        <w:t>previous</w:t>
      </w:r>
      <w:r w:rsidR="00115F51" w:rsidRPr="00E35F4D">
        <w:rPr>
          <w:color w:val="000000"/>
          <w:sz w:val="20"/>
          <w:szCs w:val="20"/>
          <w:lang w:bidi="ar-SA"/>
        </w:rPr>
        <w:t xml:space="preserve"> </w:t>
      </w:r>
      <w:r w:rsidR="00C37BC4" w:rsidRPr="00E35F4D">
        <w:rPr>
          <w:color w:val="000000"/>
          <w:sz w:val="20"/>
          <w:szCs w:val="20"/>
          <w:lang w:bidi="ar-SA"/>
        </w:rPr>
        <w:t>CT</w:t>
      </w:r>
      <w:r w:rsidR="00F66E73" w:rsidRPr="00E35F4D">
        <w:rPr>
          <w:color w:val="000000"/>
          <w:sz w:val="20"/>
          <w:szCs w:val="20"/>
          <w:lang w:bidi="ar-SA"/>
        </w:rPr>
        <w:t xml:space="preserve"> or </w:t>
      </w:r>
      <w:r w:rsidRPr="00E35F4D">
        <w:rPr>
          <w:color w:val="000000"/>
          <w:sz w:val="20"/>
          <w:szCs w:val="20"/>
          <w:lang w:bidi="ar-SA"/>
        </w:rPr>
        <w:t>pelvic irradiation; (</w:t>
      </w:r>
      <w:r w:rsidR="00F66E73" w:rsidRPr="00E35F4D">
        <w:rPr>
          <w:color w:val="000000"/>
          <w:sz w:val="20"/>
          <w:szCs w:val="20"/>
          <w:lang w:bidi="ar-SA"/>
        </w:rPr>
        <w:t>e</w:t>
      </w:r>
      <w:r w:rsidRPr="00E35F4D">
        <w:rPr>
          <w:color w:val="000000"/>
          <w:sz w:val="20"/>
          <w:szCs w:val="20"/>
          <w:lang w:bidi="ar-SA"/>
        </w:rPr>
        <w:t xml:space="preserve">) active </w:t>
      </w:r>
      <w:r w:rsidRPr="00E35F4D">
        <w:rPr>
          <w:color w:val="000000"/>
          <w:sz w:val="20"/>
          <w:szCs w:val="20"/>
        </w:rPr>
        <w:t>GIT</w:t>
      </w:r>
      <w:r w:rsidRPr="00E35F4D">
        <w:rPr>
          <w:color w:val="000000"/>
          <w:sz w:val="20"/>
          <w:szCs w:val="20"/>
          <w:lang w:bidi="ar-SA"/>
        </w:rPr>
        <w:t xml:space="preserve"> ulcers or history of </w:t>
      </w:r>
      <w:r w:rsidR="00123D50" w:rsidRPr="00E35F4D">
        <w:rPr>
          <w:color w:val="000000"/>
          <w:sz w:val="20"/>
          <w:szCs w:val="20"/>
          <w:lang w:bidi="ar-SA"/>
        </w:rPr>
        <w:t>gastric bleeding</w:t>
      </w:r>
      <w:r w:rsidRPr="00E35F4D">
        <w:rPr>
          <w:color w:val="000000"/>
          <w:sz w:val="20"/>
          <w:szCs w:val="20"/>
          <w:lang w:bidi="ar-SA"/>
        </w:rPr>
        <w:t>;</w:t>
      </w:r>
      <w:r w:rsidR="00730BA1"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color w:val="000000"/>
          <w:sz w:val="20"/>
          <w:szCs w:val="20"/>
          <w:lang w:bidi="ar-SA"/>
        </w:rPr>
        <w:t>(</w:t>
      </w:r>
      <w:r w:rsidR="00F66E73" w:rsidRPr="00E35F4D">
        <w:rPr>
          <w:color w:val="000000"/>
          <w:sz w:val="20"/>
          <w:szCs w:val="20"/>
          <w:lang w:bidi="ar-SA"/>
        </w:rPr>
        <w:t>f</w:t>
      </w:r>
      <w:r w:rsidRPr="00E35F4D">
        <w:rPr>
          <w:color w:val="000000"/>
          <w:sz w:val="20"/>
          <w:szCs w:val="20"/>
          <w:lang w:bidi="ar-SA"/>
        </w:rPr>
        <w:t xml:space="preserve">) ischemic </w:t>
      </w:r>
      <w:r w:rsidR="000B2CB1" w:rsidRPr="00E35F4D">
        <w:rPr>
          <w:color w:val="000000"/>
          <w:sz w:val="20"/>
          <w:szCs w:val="20"/>
          <w:lang w:bidi="ar-SA"/>
        </w:rPr>
        <w:t xml:space="preserve">heart </w:t>
      </w:r>
      <w:r w:rsidRPr="00E35F4D">
        <w:rPr>
          <w:color w:val="000000"/>
          <w:sz w:val="20"/>
          <w:szCs w:val="20"/>
          <w:lang w:bidi="ar-SA"/>
        </w:rPr>
        <w:t xml:space="preserve">disease, </w:t>
      </w:r>
      <w:proofErr w:type="spellStart"/>
      <w:r w:rsidRPr="00E35F4D">
        <w:rPr>
          <w:color w:val="000000"/>
          <w:sz w:val="20"/>
          <w:szCs w:val="20"/>
          <w:lang w:bidi="ar-SA"/>
        </w:rPr>
        <w:t>cerebrovascular</w:t>
      </w:r>
      <w:proofErr w:type="spellEnd"/>
      <w:r w:rsidRPr="00E35F4D">
        <w:rPr>
          <w:color w:val="000000"/>
          <w:sz w:val="20"/>
          <w:szCs w:val="20"/>
          <w:lang w:bidi="ar-SA"/>
        </w:rPr>
        <w:t xml:space="preserve"> disease or </w:t>
      </w:r>
      <w:r w:rsidR="00E05C77" w:rsidRPr="00E35F4D">
        <w:rPr>
          <w:color w:val="000000"/>
          <w:sz w:val="20"/>
          <w:szCs w:val="20"/>
        </w:rPr>
        <w:t xml:space="preserve">other </w:t>
      </w:r>
      <w:proofErr w:type="spellStart"/>
      <w:r w:rsidR="00E05C77" w:rsidRPr="00E35F4D">
        <w:rPr>
          <w:color w:val="000000"/>
          <w:sz w:val="20"/>
          <w:szCs w:val="20"/>
        </w:rPr>
        <w:t>comorbid</w:t>
      </w:r>
      <w:proofErr w:type="spellEnd"/>
      <w:r w:rsidR="00E05C77" w:rsidRPr="00E35F4D">
        <w:rPr>
          <w:color w:val="000000"/>
          <w:sz w:val="20"/>
          <w:szCs w:val="20"/>
        </w:rPr>
        <w:t xml:space="preserve"> conditions</w:t>
      </w:r>
      <w:r w:rsidRPr="00E35F4D">
        <w:rPr>
          <w:color w:val="000000"/>
          <w:sz w:val="20"/>
          <w:szCs w:val="20"/>
        </w:rPr>
        <w:t>.</w:t>
      </w:r>
    </w:p>
    <w:p w:rsidR="00971498" w:rsidRPr="00E35F4D" w:rsidRDefault="00971498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>Pretreatment evaluation</w:t>
      </w:r>
    </w:p>
    <w:p w:rsidR="00971498" w:rsidRPr="00E35F4D" w:rsidRDefault="00971498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</w:rPr>
        <w:t>Personal history</w:t>
      </w:r>
      <w:r w:rsidR="00E31049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clinical examination</w:t>
      </w:r>
      <w:r w:rsidR="00484122" w:rsidRPr="00E35F4D">
        <w:rPr>
          <w:sz w:val="20"/>
          <w:szCs w:val="20"/>
        </w:rPr>
        <w:t>,</w:t>
      </w:r>
      <w:r w:rsidR="006C4F16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 xml:space="preserve">including local and general examination was done for all patients. </w:t>
      </w:r>
      <w:r w:rsidRPr="00E35F4D">
        <w:rPr>
          <w:sz w:val="20"/>
          <w:szCs w:val="20"/>
          <w:lang w:bidi="ar-SA"/>
        </w:rPr>
        <w:t xml:space="preserve">The tumor distance from anal verge was defined as the distance from the </w:t>
      </w:r>
      <w:r w:rsidR="0049525A" w:rsidRPr="00E35F4D">
        <w:rPr>
          <w:sz w:val="20"/>
          <w:szCs w:val="20"/>
          <w:lang w:bidi="ar-SA"/>
        </w:rPr>
        <w:t xml:space="preserve">anal verge </w:t>
      </w:r>
      <w:r w:rsidRPr="00E35F4D">
        <w:rPr>
          <w:sz w:val="20"/>
          <w:szCs w:val="20"/>
          <w:lang w:bidi="ar-SA"/>
        </w:rPr>
        <w:t>to the</w:t>
      </w:r>
      <w:r w:rsidR="0049525A" w:rsidRPr="00E35F4D">
        <w:rPr>
          <w:sz w:val="20"/>
          <w:szCs w:val="20"/>
          <w:lang w:bidi="ar-SA"/>
        </w:rPr>
        <w:t xml:space="preserve"> caudal tumor edge</w:t>
      </w:r>
      <w:r w:rsidRPr="00E35F4D">
        <w:rPr>
          <w:sz w:val="20"/>
          <w:szCs w:val="20"/>
          <w:lang w:bidi="ar-SA"/>
        </w:rPr>
        <w:t xml:space="preserve"> </w:t>
      </w:r>
      <w:r w:rsidR="000B2CB1" w:rsidRPr="00E35F4D">
        <w:rPr>
          <w:sz w:val="20"/>
          <w:szCs w:val="20"/>
          <w:lang w:bidi="ar-SA"/>
        </w:rPr>
        <w:t xml:space="preserve">and was </w:t>
      </w:r>
      <w:r w:rsidRPr="00E35F4D">
        <w:rPr>
          <w:sz w:val="20"/>
          <w:szCs w:val="20"/>
          <w:lang w:bidi="ar-SA"/>
        </w:rPr>
        <w:t xml:space="preserve">assessed by </w:t>
      </w:r>
      <w:proofErr w:type="spellStart"/>
      <w:r w:rsidRPr="00E35F4D">
        <w:rPr>
          <w:sz w:val="20"/>
          <w:szCs w:val="20"/>
          <w:lang w:bidi="ar-SA"/>
        </w:rPr>
        <w:t>sigmoi</w:t>
      </w:r>
      <w:r w:rsidR="00011D90" w:rsidRPr="00E35F4D">
        <w:rPr>
          <w:sz w:val="20"/>
          <w:szCs w:val="20"/>
          <w:lang w:bidi="ar-SA"/>
        </w:rPr>
        <w:t>doprocto</w:t>
      </w:r>
      <w:r w:rsidRPr="00E35F4D">
        <w:rPr>
          <w:sz w:val="20"/>
          <w:szCs w:val="20"/>
          <w:lang w:bidi="ar-SA"/>
        </w:rPr>
        <w:t>scopy</w:t>
      </w:r>
      <w:proofErr w:type="spellEnd"/>
      <w:r w:rsidRPr="00E35F4D">
        <w:rPr>
          <w:sz w:val="20"/>
          <w:szCs w:val="20"/>
          <w:lang w:bidi="ar-SA"/>
        </w:rPr>
        <w:t xml:space="preserve">. Pretreatment tumor size was defined as the longest </w:t>
      </w:r>
      <w:r w:rsidR="006333A0" w:rsidRPr="00E35F4D">
        <w:rPr>
          <w:sz w:val="20"/>
          <w:szCs w:val="20"/>
          <w:lang w:bidi="ar-SA"/>
        </w:rPr>
        <w:t xml:space="preserve">tumor </w:t>
      </w:r>
      <w:r w:rsidRPr="00E35F4D">
        <w:rPr>
          <w:sz w:val="20"/>
          <w:szCs w:val="20"/>
          <w:lang w:bidi="ar-SA"/>
        </w:rPr>
        <w:t>diameter in any dimension</w:t>
      </w:r>
      <w:r w:rsidR="00123D50" w:rsidRPr="00E35F4D">
        <w:rPr>
          <w:sz w:val="20"/>
          <w:szCs w:val="20"/>
          <w:lang w:bidi="ar-SA"/>
        </w:rPr>
        <w:t>.</w:t>
      </w:r>
      <w:r w:rsidRPr="00E35F4D">
        <w:rPr>
          <w:sz w:val="20"/>
          <w:szCs w:val="20"/>
          <w:lang w:bidi="ar-SA"/>
        </w:rPr>
        <w:t xml:space="preserve"> </w:t>
      </w:r>
      <w:r w:rsidR="00123D50" w:rsidRPr="00E35F4D">
        <w:rPr>
          <w:sz w:val="20"/>
          <w:szCs w:val="20"/>
          <w:lang w:bidi="ar-SA"/>
        </w:rPr>
        <w:t>P</w:t>
      </w:r>
      <w:r w:rsidRPr="00E35F4D">
        <w:rPr>
          <w:sz w:val="20"/>
          <w:szCs w:val="20"/>
          <w:lang w:bidi="ar-SA"/>
        </w:rPr>
        <w:t>retreatment clinical staging was</w:t>
      </w:r>
      <w:r w:rsidR="0049525A" w:rsidRPr="00E35F4D">
        <w:rPr>
          <w:sz w:val="20"/>
          <w:szCs w:val="20"/>
          <w:lang w:bidi="ar-SA"/>
        </w:rPr>
        <w:t xml:space="preserve"> performed using </w:t>
      </w:r>
      <w:r w:rsidRPr="00E35F4D">
        <w:rPr>
          <w:sz w:val="20"/>
          <w:szCs w:val="20"/>
          <w:lang w:bidi="ar-SA"/>
        </w:rPr>
        <w:t xml:space="preserve">physical examination and </w:t>
      </w:r>
      <w:proofErr w:type="spellStart"/>
      <w:r w:rsidRPr="00E35F4D">
        <w:rPr>
          <w:sz w:val="20"/>
          <w:szCs w:val="20"/>
          <w:lang w:bidi="ar-SA"/>
        </w:rPr>
        <w:t>abdominopelvic</w:t>
      </w:r>
      <w:proofErr w:type="spellEnd"/>
      <w:r w:rsidRPr="00E35F4D">
        <w:rPr>
          <w:sz w:val="20"/>
          <w:szCs w:val="20"/>
          <w:lang w:bidi="ar-SA"/>
        </w:rPr>
        <w:t xml:space="preserve"> CT</w:t>
      </w:r>
      <w:r w:rsidR="006333A0" w:rsidRPr="00E35F4D">
        <w:rPr>
          <w:sz w:val="20"/>
          <w:szCs w:val="20"/>
          <w:lang w:bidi="ar-SA"/>
        </w:rPr>
        <w:t xml:space="preserve"> and</w:t>
      </w:r>
      <w:r w:rsidRPr="00E35F4D">
        <w:rPr>
          <w:sz w:val="20"/>
          <w:szCs w:val="20"/>
          <w:lang w:bidi="ar-SA"/>
        </w:rPr>
        <w:t>/</w:t>
      </w:r>
      <w:r w:rsidR="006333A0" w:rsidRPr="00E35F4D">
        <w:rPr>
          <w:sz w:val="20"/>
          <w:szCs w:val="20"/>
          <w:lang w:bidi="ar-SA"/>
        </w:rPr>
        <w:t xml:space="preserve">or </w:t>
      </w:r>
      <w:r w:rsidRPr="00E35F4D">
        <w:rPr>
          <w:sz w:val="20"/>
          <w:szCs w:val="20"/>
          <w:lang w:bidi="ar-SA"/>
        </w:rPr>
        <w:t>MRI</w:t>
      </w:r>
      <w:r w:rsidR="00A47AD1" w:rsidRPr="00E35F4D">
        <w:rPr>
          <w:sz w:val="20"/>
          <w:szCs w:val="20"/>
          <w:lang w:bidi="ar-SA"/>
        </w:rPr>
        <w:t xml:space="preserve"> scan</w:t>
      </w:r>
      <w:r w:rsidRPr="00E35F4D">
        <w:rPr>
          <w:sz w:val="20"/>
          <w:szCs w:val="20"/>
          <w:lang w:bidi="ar-SA"/>
        </w:rPr>
        <w:t>.</w:t>
      </w:r>
      <w:r w:rsidR="00214648" w:rsidRPr="00E35F4D">
        <w:rPr>
          <w:sz w:val="20"/>
          <w:szCs w:val="20"/>
        </w:rPr>
        <w:t xml:space="preserve"> All patients were subjected to chest X-ray or thoracic CT </w:t>
      </w:r>
      <w:r w:rsidR="00A47AD1" w:rsidRPr="00E35F4D">
        <w:rPr>
          <w:sz w:val="20"/>
          <w:szCs w:val="20"/>
        </w:rPr>
        <w:t xml:space="preserve">scan </w:t>
      </w:r>
      <w:r w:rsidR="00214648" w:rsidRPr="00E35F4D">
        <w:rPr>
          <w:sz w:val="20"/>
          <w:szCs w:val="20"/>
        </w:rPr>
        <w:t>and a</w:t>
      </w:r>
      <w:r w:rsidR="00214648" w:rsidRPr="00E35F4D">
        <w:rPr>
          <w:sz w:val="20"/>
          <w:szCs w:val="20"/>
          <w:lang w:bidi="ar-SA"/>
        </w:rPr>
        <w:t xml:space="preserve">dditional </w:t>
      </w:r>
      <w:r w:rsidR="00214648" w:rsidRPr="00E35F4D">
        <w:rPr>
          <w:color w:val="000000"/>
          <w:sz w:val="20"/>
          <w:szCs w:val="20"/>
          <w:lang w:bidi="ar-SA"/>
        </w:rPr>
        <w:t>studies were done in the case of suspected metastatic disease.</w:t>
      </w:r>
    </w:p>
    <w:p w:rsidR="00971498" w:rsidRPr="00E35F4D" w:rsidRDefault="00971498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The clinical and pathologic TNM stages were determined according to the</w:t>
      </w:r>
      <w:r w:rsidRPr="00E35F4D">
        <w:rPr>
          <w:color w:val="000000"/>
          <w:sz w:val="20"/>
          <w:szCs w:val="20"/>
          <w:lang w:bidi="ar-SA"/>
        </w:rPr>
        <w:t xml:space="preserve"> American Joint Committee on Cancer (AJCC) TNM staging system</w:t>
      </w:r>
      <w:r w:rsidR="00AB20A1" w:rsidRPr="00E35F4D">
        <w:rPr>
          <w:color w:val="000000"/>
          <w:sz w:val="20"/>
          <w:szCs w:val="20"/>
          <w:lang w:bidi="ar-SA"/>
        </w:rPr>
        <w:t xml:space="preserve"> </w:t>
      </w:r>
      <w:r w:rsidR="00123D50" w:rsidRPr="00E35F4D">
        <w:rPr>
          <w:color w:val="000000"/>
          <w:sz w:val="20"/>
          <w:szCs w:val="20"/>
          <w:lang w:bidi="ar-SA"/>
        </w:rPr>
        <w:t>(7</w:t>
      </w:r>
      <w:r w:rsidR="00123D50" w:rsidRPr="00E35F4D">
        <w:rPr>
          <w:color w:val="000000"/>
          <w:sz w:val="20"/>
          <w:szCs w:val="20"/>
          <w:vertAlign w:val="superscript"/>
          <w:lang w:bidi="ar-SA"/>
        </w:rPr>
        <w:t>th</w:t>
      </w:r>
      <w:r w:rsidR="006333A0" w:rsidRPr="00E35F4D">
        <w:rPr>
          <w:color w:val="000000"/>
          <w:sz w:val="20"/>
          <w:szCs w:val="20"/>
          <w:lang w:bidi="ar-SA"/>
        </w:rPr>
        <w:t xml:space="preserve"> </w:t>
      </w:r>
      <w:r w:rsidR="00123D50" w:rsidRPr="00E35F4D">
        <w:rPr>
          <w:color w:val="000000"/>
          <w:sz w:val="20"/>
          <w:szCs w:val="20"/>
          <w:lang w:bidi="ar-SA"/>
        </w:rPr>
        <w:t xml:space="preserve">edition) </w:t>
      </w:r>
      <w:r w:rsidR="00AB20A1" w:rsidRPr="00E35F4D">
        <w:rPr>
          <w:b/>
          <w:bCs/>
          <w:color w:val="000000"/>
          <w:sz w:val="20"/>
          <w:szCs w:val="20"/>
          <w:lang w:bidi="ar-SA"/>
        </w:rPr>
        <w:t>[13]</w:t>
      </w:r>
      <w:r w:rsidRPr="00E35F4D">
        <w:rPr>
          <w:color w:val="000000"/>
          <w:sz w:val="20"/>
          <w:szCs w:val="20"/>
          <w:lang w:bidi="ar-SA"/>
        </w:rPr>
        <w:t xml:space="preserve"> and the </w:t>
      </w:r>
      <w:proofErr w:type="spellStart"/>
      <w:r w:rsidRPr="00E35F4D">
        <w:rPr>
          <w:color w:val="000000"/>
          <w:sz w:val="20"/>
          <w:szCs w:val="20"/>
          <w:lang w:bidi="ar-SA"/>
        </w:rPr>
        <w:t>histologic</w:t>
      </w:r>
      <w:proofErr w:type="spellEnd"/>
      <w:r w:rsidRPr="00E35F4D">
        <w:rPr>
          <w:color w:val="000000"/>
          <w:sz w:val="20"/>
          <w:szCs w:val="20"/>
          <w:lang w:bidi="ar-SA"/>
        </w:rPr>
        <w:t xml:space="preserve"> grade of </w:t>
      </w:r>
      <w:proofErr w:type="spellStart"/>
      <w:r w:rsidRPr="00E35F4D">
        <w:rPr>
          <w:color w:val="000000"/>
          <w:sz w:val="20"/>
          <w:szCs w:val="20"/>
          <w:lang w:bidi="ar-SA"/>
        </w:rPr>
        <w:t>adenocarcinoma</w:t>
      </w:r>
      <w:proofErr w:type="spellEnd"/>
      <w:r w:rsidRPr="00E35F4D">
        <w:rPr>
          <w:color w:val="000000"/>
          <w:sz w:val="20"/>
          <w:szCs w:val="20"/>
          <w:lang w:bidi="ar-SA"/>
        </w:rPr>
        <w:t xml:space="preserve"> was described according to the World</w:t>
      </w:r>
      <w:r w:rsidRPr="00E35F4D">
        <w:rPr>
          <w:sz w:val="20"/>
          <w:szCs w:val="20"/>
          <w:lang w:bidi="ar-SA"/>
        </w:rPr>
        <w:t xml:space="preserve"> Health Organization (WHO) classification</w:t>
      </w:r>
      <w:r w:rsidR="003A70B4" w:rsidRPr="00E35F4D">
        <w:rPr>
          <w:sz w:val="20"/>
          <w:szCs w:val="20"/>
          <w:lang w:bidi="ar-SA"/>
        </w:rPr>
        <w:t xml:space="preserve"> </w:t>
      </w:r>
      <w:r w:rsidR="003A70B4" w:rsidRPr="00E35F4D">
        <w:rPr>
          <w:b/>
          <w:bCs/>
          <w:sz w:val="20"/>
          <w:szCs w:val="20"/>
          <w:lang w:bidi="ar-SA"/>
        </w:rPr>
        <w:t>[14]</w:t>
      </w:r>
      <w:r w:rsidRPr="00E35F4D">
        <w:rPr>
          <w:b/>
          <w:bCs/>
          <w:sz w:val="20"/>
          <w:szCs w:val="20"/>
          <w:lang w:bidi="ar-SA"/>
        </w:rPr>
        <w:t>.</w:t>
      </w:r>
    </w:p>
    <w:p w:rsidR="00971498" w:rsidRPr="00E35F4D" w:rsidRDefault="00971498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lastRenderedPageBreak/>
        <w:t>Complete blood count</w:t>
      </w:r>
      <w:r w:rsidR="00214648" w:rsidRPr="00E35F4D">
        <w:rPr>
          <w:sz w:val="20"/>
          <w:szCs w:val="20"/>
        </w:rPr>
        <w:t xml:space="preserve"> (CBC)</w:t>
      </w:r>
      <w:r w:rsidRPr="00E35F4D">
        <w:rPr>
          <w:sz w:val="20"/>
          <w:szCs w:val="20"/>
        </w:rPr>
        <w:t xml:space="preserve">, serum </w:t>
      </w:r>
      <w:r w:rsidR="00214648" w:rsidRPr="00E35F4D">
        <w:rPr>
          <w:sz w:val="20"/>
          <w:szCs w:val="20"/>
        </w:rPr>
        <w:t xml:space="preserve">blood </w:t>
      </w:r>
      <w:r w:rsidRPr="00E35F4D">
        <w:rPr>
          <w:sz w:val="20"/>
          <w:szCs w:val="20"/>
        </w:rPr>
        <w:t>chemistry including liver and renal function tests, as well as fasting, post-</w:t>
      </w:r>
      <w:proofErr w:type="spellStart"/>
      <w:r w:rsidRPr="00E35F4D">
        <w:rPr>
          <w:sz w:val="20"/>
          <w:szCs w:val="20"/>
        </w:rPr>
        <w:t>prandial</w:t>
      </w:r>
      <w:proofErr w:type="spellEnd"/>
      <w:r w:rsidRPr="00E35F4D">
        <w:rPr>
          <w:sz w:val="20"/>
          <w:szCs w:val="20"/>
        </w:rPr>
        <w:t xml:space="preserve"> blood sugar level </w:t>
      </w:r>
      <w:r w:rsidR="007F3AC4" w:rsidRPr="00E35F4D">
        <w:rPr>
          <w:sz w:val="20"/>
          <w:szCs w:val="20"/>
        </w:rPr>
        <w:t xml:space="preserve">and </w:t>
      </w:r>
      <w:r w:rsidRPr="00E35F4D">
        <w:rPr>
          <w:sz w:val="20"/>
          <w:szCs w:val="20"/>
        </w:rPr>
        <w:t xml:space="preserve">tumor marker </w:t>
      </w:r>
      <w:r w:rsidR="007F3AC4" w:rsidRPr="00E35F4D">
        <w:rPr>
          <w:sz w:val="20"/>
          <w:szCs w:val="20"/>
        </w:rPr>
        <w:t>levels</w:t>
      </w:r>
      <w:r w:rsidR="007F3AC4" w:rsidRPr="00E35F4D">
        <w:rPr>
          <w:sz w:val="20"/>
          <w:szCs w:val="20"/>
          <w:lang w:bidi="ar-SA"/>
        </w:rPr>
        <w:t xml:space="preserve"> (</w:t>
      </w:r>
      <w:r w:rsidR="007F3AC4" w:rsidRPr="00E35F4D">
        <w:rPr>
          <w:sz w:val="20"/>
          <w:szCs w:val="20"/>
        </w:rPr>
        <w:t>CEA and CA19-9</w:t>
      </w:r>
      <w:r w:rsidR="007F3AC4" w:rsidRPr="00E35F4D">
        <w:rPr>
          <w:sz w:val="20"/>
          <w:szCs w:val="20"/>
          <w:lang w:bidi="ar-SA"/>
        </w:rPr>
        <w:t>)</w:t>
      </w:r>
      <w:r w:rsidR="007F3AC4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>were done for all patients at initial presentation.</w:t>
      </w:r>
      <w:r w:rsidR="00346799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>Also</w:t>
      </w:r>
      <w:r w:rsidR="00484122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before the start of every cycle of </w:t>
      </w:r>
      <w:r w:rsidR="007F3AC4" w:rsidRPr="00E35F4D">
        <w:rPr>
          <w:sz w:val="20"/>
          <w:szCs w:val="20"/>
        </w:rPr>
        <w:t>preoperative CT</w:t>
      </w:r>
      <w:r w:rsidRPr="00E35F4D">
        <w:rPr>
          <w:sz w:val="20"/>
          <w:szCs w:val="20"/>
        </w:rPr>
        <w:t xml:space="preserve"> all patients were investigated for </w:t>
      </w:r>
      <w:r w:rsidR="00214648" w:rsidRPr="00E35F4D">
        <w:rPr>
          <w:sz w:val="20"/>
          <w:szCs w:val="20"/>
        </w:rPr>
        <w:t>CBC</w:t>
      </w:r>
      <w:r w:rsidRPr="00E35F4D">
        <w:rPr>
          <w:sz w:val="20"/>
          <w:szCs w:val="20"/>
        </w:rPr>
        <w:t xml:space="preserve">, </w:t>
      </w:r>
      <w:r w:rsidR="0087630B" w:rsidRPr="00E35F4D">
        <w:rPr>
          <w:sz w:val="20"/>
          <w:szCs w:val="20"/>
        </w:rPr>
        <w:t>liver</w:t>
      </w:r>
      <w:r w:rsidRPr="00E35F4D">
        <w:rPr>
          <w:sz w:val="20"/>
          <w:szCs w:val="20"/>
        </w:rPr>
        <w:t xml:space="preserve"> and renal function tests.</w:t>
      </w:r>
    </w:p>
    <w:p w:rsidR="00971498" w:rsidRPr="00E35F4D" w:rsidRDefault="00971498" w:rsidP="002B2928">
      <w:pPr>
        <w:pStyle w:val="NormalWeb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>Treatment protocol</w:t>
      </w:r>
    </w:p>
    <w:p w:rsidR="001A692C" w:rsidRPr="00E35F4D" w:rsidRDefault="001A692C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 xml:space="preserve">Induction </w:t>
      </w:r>
      <w:r w:rsidR="00921EE7" w:rsidRPr="00E35F4D">
        <w:rPr>
          <w:b/>
          <w:bCs/>
          <w:i/>
          <w:iCs/>
          <w:sz w:val="20"/>
          <w:szCs w:val="20"/>
        </w:rPr>
        <w:t>CT</w:t>
      </w:r>
    </w:p>
    <w:p w:rsidR="00AA0498" w:rsidRPr="00E35F4D" w:rsidRDefault="00AA0498" w:rsidP="002B2928">
      <w:pPr>
        <w:snapToGrid w:val="0"/>
        <w:ind w:firstLine="425"/>
        <w:jc w:val="both"/>
        <w:rPr>
          <w:b/>
          <w:bCs/>
          <w:i/>
          <w:iCs/>
          <w:sz w:val="20"/>
          <w:szCs w:val="20"/>
        </w:rPr>
      </w:pPr>
      <w:r w:rsidRPr="00E35F4D">
        <w:rPr>
          <w:sz w:val="20"/>
          <w:szCs w:val="20"/>
        </w:rPr>
        <w:t xml:space="preserve">Two cycles of induction </w:t>
      </w:r>
      <w:r w:rsidR="00214648" w:rsidRPr="00E35F4D">
        <w:rPr>
          <w:sz w:val="20"/>
          <w:szCs w:val="20"/>
        </w:rPr>
        <w:t>CT</w:t>
      </w:r>
      <w:r w:rsidRPr="00E35F4D">
        <w:rPr>
          <w:sz w:val="20"/>
          <w:szCs w:val="20"/>
        </w:rPr>
        <w:t xml:space="preserve"> with CAPOX were planned. </w:t>
      </w:r>
      <w:proofErr w:type="spellStart"/>
      <w:r w:rsidRPr="00E35F4D">
        <w:rPr>
          <w:sz w:val="20"/>
          <w:szCs w:val="20"/>
        </w:rPr>
        <w:t>Capecitabine</w:t>
      </w:r>
      <w:proofErr w:type="spellEnd"/>
      <w:r w:rsidRPr="00E35F4D">
        <w:rPr>
          <w:sz w:val="20"/>
          <w:szCs w:val="20"/>
        </w:rPr>
        <w:t xml:space="preserve"> was administered orally at a dose of </w:t>
      </w:r>
      <w:r w:rsidR="00983241" w:rsidRPr="00E35F4D">
        <w:rPr>
          <w:sz w:val="20"/>
          <w:szCs w:val="20"/>
        </w:rPr>
        <w:t>1000</w:t>
      </w:r>
      <w:r w:rsidRPr="00E35F4D">
        <w:rPr>
          <w:sz w:val="20"/>
          <w:szCs w:val="20"/>
        </w:rPr>
        <w:t xml:space="preserve"> mg/m</w:t>
      </w:r>
      <w:r w:rsidRPr="00E35F4D">
        <w:rPr>
          <w:sz w:val="20"/>
          <w:szCs w:val="20"/>
          <w:vertAlign w:val="superscript"/>
        </w:rPr>
        <w:t>2</w:t>
      </w:r>
      <w:r w:rsidR="00983241" w:rsidRPr="00E35F4D">
        <w:rPr>
          <w:sz w:val="20"/>
          <w:szCs w:val="20"/>
        </w:rPr>
        <w:t xml:space="preserve"> twice daily</w:t>
      </w:r>
      <w:r w:rsidRPr="00E35F4D">
        <w:rPr>
          <w:sz w:val="20"/>
          <w:szCs w:val="20"/>
        </w:rPr>
        <w:t xml:space="preserve"> for </w:t>
      </w:r>
      <w:r w:rsidR="00F41A0F" w:rsidRPr="00E35F4D">
        <w:rPr>
          <w:sz w:val="20"/>
          <w:szCs w:val="20"/>
        </w:rPr>
        <w:t>2 weeks</w:t>
      </w:r>
      <w:r w:rsidRPr="00E35F4D">
        <w:rPr>
          <w:sz w:val="20"/>
          <w:szCs w:val="20"/>
        </w:rPr>
        <w:t xml:space="preserve"> followed by </w:t>
      </w:r>
      <w:r w:rsidR="00F41A0F" w:rsidRPr="00E35F4D">
        <w:rPr>
          <w:sz w:val="20"/>
          <w:szCs w:val="20"/>
        </w:rPr>
        <w:t>1</w:t>
      </w:r>
      <w:r w:rsidR="00772211" w:rsidRPr="00E35F4D">
        <w:rPr>
          <w:sz w:val="20"/>
          <w:szCs w:val="20"/>
        </w:rPr>
        <w:t>-</w:t>
      </w:r>
      <w:r w:rsidR="00F41A0F" w:rsidRPr="00E35F4D">
        <w:rPr>
          <w:sz w:val="20"/>
          <w:szCs w:val="20"/>
        </w:rPr>
        <w:t>week</w:t>
      </w:r>
      <w:r w:rsidRPr="00E35F4D">
        <w:rPr>
          <w:sz w:val="20"/>
          <w:szCs w:val="20"/>
        </w:rPr>
        <w:t xml:space="preserve"> rest. </w:t>
      </w:r>
      <w:proofErr w:type="spellStart"/>
      <w:r w:rsidRPr="00E35F4D">
        <w:rPr>
          <w:sz w:val="20"/>
          <w:szCs w:val="20"/>
        </w:rPr>
        <w:t>Oxaliplatin</w:t>
      </w:r>
      <w:proofErr w:type="spellEnd"/>
      <w:r w:rsidRPr="00E35F4D">
        <w:rPr>
          <w:sz w:val="20"/>
          <w:szCs w:val="20"/>
        </w:rPr>
        <w:t xml:space="preserve"> was given every 3 weeks at a dose of 130 mg/m</w:t>
      </w:r>
      <w:r w:rsidRPr="00E35F4D">
        <w:rPr>
          <w:sz w:val="20"/>
          <w:szCs w:val="20"/>
          <w:vertAlign w:val="superscript"/>
        </w:rPr>
        <w:t>2</w:t>
      </w:r>
      <w:r w:rsidR="00921EE7" w:rsidRPr="00E35F4D">
        <w:rPr>
          <w:sz w:val="20"/>
          <w:szCs w:val="20"/>
          <w:vertAlign w:val="superscript"/>
        </w:rPr>
        <w:t xml:space="preserve"> </w:t>
      </w:r>
      <w:r w:rsidR="00921EE7" w:rsidRPr="00E35F4D">
        <w:rPr>
          <w:sz w:val="20"/>
          <w:szCs w:val="20"/>
        </w:rPr>
        <w:t>by intravenous infusion.</w:t>
      </w:r>
    </w:p>
    <w:p w:rsidR="00310D01" w:rsidRPr="00E35F4D" w:rsidRDefault="00E1349A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C</w:t>
      </w:r>
      <w:r w:rsidR="0026711B" w:rsidRPr="00E35F4D">
        <w:rPr>
          <w:b/>
          <w:bCs/>
          <w:i/>
          <w:iCs/>
          <w:sz w:val="20"/>
          <w:szCs w:val="20"/>
        </w:rPr>
        <w:t>oncomitant</w:t>
      </w:r>
      <w:r w:rsidR="00310D01" w:rsidRPr="00E35F4D">
        <w:rPr>
          <w:b/>
          <w:bCs/>
          <w:i/>
          <w:iCs/>
          <w:sz w:val="20"/>
          <w:szCs w:val="20"/>
        </w:rPr>
        <w:t xml:space="preserve"> CRT</w:t>
      </w:r>
    </w:p>
    <w:p w:rsidR="00E4280F" w:rsidRPr="00E35F4D" w:rsidRDefault="00E4280F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color w:val="000000"/>
          <w:sz w:val="20"/>
          <w:szCs w:val="20"/>
          <w:lang w:bidi="ar-SA"/>
        </w:rPr>
        <w:t xml:space="preserve">Patients began </w:t>
      </w:r>
      <w:r w:rsidR="00871255" w:rsidRPr="00E35F4D">
        <w:rPr>
          <w:sz w:val="20"/>
          <w:szCs w:val="20"/>
        </w:rPr>
        <w:t>concomitant</w:t>
      </w:r>
      <w:r w:rsidR="00871255"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color w:val="000000"/>
          <w:sz w:val="20"/>
          <w:szCs w:val="20"/>
          <w:lang w:bidi="ar-SA"/>
        </w:rPr>
        <w:t xml:space="preserve">CRT </w:t>
      </w:r>
      <w:r w:rsidR="00A2226C" w:rsidRPr="00E35F4D">
        <w:rPr>
          <w:color w:val="000000"/>
          <w:sz w:val="20"/>
          <w:szCs w:val="20"/>
          <w:lang w:bidi="ar-SA"/>
        </w:rPr>
        <w:t>three</w:t>
      </w:r>
      <w:r w:rsidRPr="00E35F4D">
        <w:rPr>
          <w:color w:val="000000"/>
          <w:sz w:val="20"/>
          <w:szCs w:val="20"/>
          <w:lang w:bidi="ar-SA"/>
        </w:rPr>
        <w:t xml:space="preserve"> weeks after the last induction </w:t>
      </w:r>
      <w:r w:rsidR="00921EE7" w:rsidRPr="00E35F4D">
        <w:rPr>
          <w:color w:val="000000"/>
          <w:sz w:val="20"/>
          <w:szCs w:val="20"/>
          <w:lang w:bidi="ar-SA"/>
        </w:rPr>
        <w:t xml:space="preserve">CT </w:t>
      </w:r>
      <w:r w:rsidRPr="00E35F4D">
        <w:rPr>
          <w:color w:val="000000"/>
          <w:sz w:val="20"/>
          <w:szCs w:val="20"/>
          <w:lang w:bidi="ar-SA"/>
        </w:rPr>
        <w:t>cycle.</w:t>
      </w:r>
      <w:r w:rsidRPr="00E35F4D">
        <w:rPr>
          <w:color w:val="000000"/>
          <w:sz w:val="20"/>
          <w:szCs w:val="20"/>
        </w:rPr>
        <w:t xml:space="preserve"> </w:t>
      </w:r>
      <w:r w:rsidR="009C5D4E" w:rsidRPr="00E35F4D">
        <w:rPr>
          <w:color w:val="000000"/>
          <w:sz w:val="20"/>
          <w:szCs w:val="20"/>
        </w:rPr>
        <w:t xml:space="preserve">Oral </w:t>
      </w:r>
      <w:proofErr w:type="spellStart"/>
      <w:r w:rsidR="00921EE7" w:rsidRPr="00E35F4D">
        <w:rPr>
          <w:color w:val="000000"/>
          <w:sz w:val="20"/>
          <w:szCs w:val="20"/>
        </w:rPr>
        <w:t>c</w:t>
      </w:r>
      <w:r w:rsidRPr="00E35F4D">
        <w:rPr>
          <w:color w:val="000000"/>
          <w:sz w:val="20"/>
          <w:szCs w:val="20"/>
        </w:rPr>
        <w:t>apecitabine</w:t>
      </w:r>
      <w:proofErr w:type="spellEnd"/>
      <w:r w:rsidRPr="00E35F4D">
        <w:rPr>
          <w:color w:val="000000"/>
          <w:sz w:val="20"/>
          <w:szCs w:val="20"/>
        </w:rPr>
        <w:t xml:space="preserve"> was administered at a dose of 825 mg/m</w:t>
      </w:r>
      <w:r w:rsidRPr="00E35F4D">
        <w:rPr>
          <w:color w:val="000000"/>
          <w:sz w:val="20"/>
          <w:szCs w:val="20"/>
          <w:vertAlign w:val="superscript"/>
        </w:rPr>
        <w:t>2</w:t>
      </w:r>
      <w:r w:rsidRPr="00E35F4D">
        <w:rPr>
          <w:color w:val="000000"/>
          <w:sz w:val="20"/>
          <w:szCs w:val="20"/>
        </w:rPr>
        <w:t xml:space="preserve"> twice daily throughout the RT course. The first dose was administered approximately 2 hours before RT with the second dose taken</w:t>
      </w:r>
      <w:r w:rsidRPr="00E35F4D">
        <w:rPr>
          <w:sz w:val="20"/>
          <w:szCs w:val="20"/>
        </w:rPr>
        <w:t xml:space="preserve"> 12 hours after.</w:t>
      </w:r>
    </w:p>
    <w:p w:rsidR="00E4280F" w:rsidRPr="00E35F4D" w:rsidRDefault="00921EE7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L</w:t>
      </w:r>
      <w:r w:rsidR="009C5D4E" w:rsidRPr="00E35F4D">
        <w:rPr>
          <w:sz w:val="20"/>
          <w:szCs w:val="20"/>
        </w:rPr>
        <w:t xml:space="preserve">inear accelerator (6 MV) was used to deliver RT </w:t>
      </w:r>
      <w:r w:rsidR="00E4280F" w:rsidRPr="00E35F4D">
        <w:rPr>
          <w:sz w:val="20"/>
          <w:szCs w:val="20"/>
          <w:lang w:bidi="ar-SA"/>
        </w:rPr>
        <w:t>through fo</w:t>
      </w:r>
      <w:r w:rsidR="005C5891" w:rsidRPr="00E35F4D">
        <w:rPr>
          <w:sz w:val="20"/>
          <w:szCs w:val="20"/>
          <w:lang w:bidi="ar-SA"/>
        </w:rPr>
        <w:t>ur fields to the tumor</w:t>
      </w:r>
      <w:r w:rsidRPr="00E35F4D">
        <w:rPr>
          <w:sz w:val="20"/>
          <w:szCs w:val="20"/>
          <w:lang w:bidi="ar-SA"/>
        </w:rPr>
        <w:t xml:space="preserve"> and</w:t>
      </w:r>
      <w:r w:rsidR="005C5891" w:rsidRPr="00E35F4D">
        <w:rPr>
          <w:sz w:val="20"/>
          <w:szCs w:val="20"/>
          <w:lang w:bidi="ar-SA"/>
        </w:rPr>
        <w:t xml:space="preserve"> </w:t>
      </w:r>
      <w:r w:rsidR="00E4280F" w:rsidRPr="00E35F4D">
        <w:rPr>
          <w:sz w:val="20"/>
          <w:szCs w:val="20"/>
          <w:lang w:bidi="ar-SA"/>
        </w:rPr>
        <w:t>pelvic lymph</w:t>
      </w:r>
      <w:r w:rsidR="00E4280F" w:rsidRPr="00E35F4D">
        <w:rPr>
          <w:b/>
          <w:bCs/>
          <w:sz w:val="20"/>
          <w:szCs w:val="20"/>
        </w:rPr>
        <w:t xml:space="preserve"> </w:t>
      </w:r>
      <w:r w:rsidR="00E4280F" w:rsidRPr="00E35F4D">
        <w:rPr>
          <w:sz w:val="20"/>
          <w:szCs w:val="20"/>
          <w:lang w:bidi="ar-SA"/>
        </w:rPr>
        <w:t xml:space="preserve">nodes extending up to the lower end of the </w:t>
      </w:r>
      <w:r w:rsidR="009A5DD9" w:rsidRPr="00E35F4D">
        <w:rPr>
          <w:sz w:val="20"/>
          <w:szCs w:val="20"/>
          <w:lang w:bidi="ar-SA"/>
        </w:rPr>
        <w:t>5</w:t>
      </w:r>
      <w:r w:rsidR="009A5DD9" w:rsidRPr="00E35F4D">
        <w:rPr>
          <w:sz w:val="20"/>
          <w:szCs w:val="20"/>
          <w:vertAlign w:val="superscript"/>
          <w:lang w:bidi="ar-SA"/>
        </w:rPr>
        <w:t>th</w:t>
      </w:r>
      <w:r w:rsidR="009A5DD9" w:rsidRPr="00E35F4D">
        <w:rPr>
          <w:sz w:val="20"/>
          <w:szCs w:val="20"/>
          <w:lang w:bidi="ar-SA"/>
        </w:rPr>
        <w:t xml:space="preserve"> </w:t>
      </w:r>
      <w:r w:rsidR="00E4280F" w:rsidRPr="00E35F4D">
        <w:rPr>
          <w:sz w:val="20"/>
          <w:szCs w:val="20"/>
          <w:lang w:bidi="ar-SA"/>
        </w:rPr>
        <w:t xml:space="preserve">lumbar spine, and </w:t>
      </w:r>
      <w:proofErr w:type="spellStart"/>
      <w:r w:rsidR="00E4280F" w:rsidRPr="00E35F4D">
        <w:rPr>
          <w:sz w:val="20"/>
          <w:szCs w:val="20"/>
          <w:lang w:bidi="ar-SA"/>
        </w:rPr>
        <w:t>perirectal</w:t>
      </w:r>
      <w:proofErr w:type="spellEnd"/>
      <w:r w:rsidR="00E4280F" w:rsidRPr="00E35F4D">
        <w:rPr>
          <w:sz w:val="20"/>
          <w:szCs w:val="20"/>
          <w:lang w:bidi="ar-SA"/>
        </w:rPr>
        <w:t xml:space="preserve"> soft tissue structures at risk of microscopic disease.</w:t>
      </w:r>
    </w:p>
    <w:p w:rsidR="0044767D" w:rsidRPr="00E35F4D" w:rsidRDefault="00E4280F" w:rsidP="002B2928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0"/>
        </w:rPr>
      </w:pPr>
      <w:r w:rsidRPr="00E35F4D">
        <w:rPr>
          <w:sz w:val="20"/>
          <w:szCs w:val="20"/>
          <w:lang w:bidi="ar-SA"/>
        </w:rPr>
        <w:t xml:space="preserve">A CT slices </w:t>
      </w:r>
      <w:r w:rsidR="00B708F3" w:rsidRPr="00E35F4D">
        <w:rPr>
          <w:sz w:val="20"/>
          <w:szCs w:val="20"/>
          <w:lang w:bidi="ar-SA"/>
        </w:rPr>
        <w:t xml:space="preserve">at a distance of 0.5 cm between them </w:t>
      </w:r>
      <w:r w:rsidRPr="00E35F4D">
        <w:rPr>
          <w:sz w:val="20"/>
          <w:szCs w:val="20"/>
          <w:lang w:bidi="ar-SA"/>
        </w:rPr>
        <w:t xml:space="preserve">in treatment position was obtained allowing a three-dimensional conformal </w:t>
      </w:r>
      <w:r w:rsidRPr="00E35F4D">
        <w:rPr>
          <w:sz w:val="20"/>
          <w:szCs w:val="20"/>
        </w:rPr>
        <w:t>RT</w:t>
      </w:r>
      <w:r w:rsidRPr="00E35F4D">
        <w:rPr>
          <w:sz w:val="20"/>
          <w:szCs w:val="20"/>
          <w:lang w:bidi="ar-SA"/>
        </w:rPr>
        <w:t xml:space="preserve"> (3-DCRT) </w:t>
      </w:r>
      <w:r w:rsidR="00B708F3" w:rsidRPr="00E35F4D">
        <w:rPr>
          <w:sz w:val="20"/>
          <w:szCs w:val="20"/>
          <w:lang w:bidi="ar-SA"/>
        </w:rPr>
        <w:t>usin</w:t>
      </w:r>
      <w:r w:rsidR="009C5D4E" w:rsidRPr="00E35F4D">
        <w:rPr>
          <w:sz w:val="20"/>
          <w:szCs w:val="20"/>
          <w:lang w:bidi="ar-SA"/>
        </w:rPr>
        <w:t>g</w:t>
      </w:r>
      <w:r w:rsidRPr="00E35F4D">
        <w:rPr>
          <w:sz w:val="20"/>
          <w:szCs w:val="20"/>
          <w:lang w:bidi="ar-SA"/>
        </w:rPr>
        <w:t xml:space="preserve"> a treatment planning system. The reference dose per fraction was 1.8 </w:t>
      </w:r>
      <w:proofErr w:type="spellStart"/>
      <w:r w:rsidRPr="00E35F4D">
        <w:rPr>
          <w:sz w:val="20"/>
          <w:szCs w:val="20"/>
          <w:lang w:bidi="ar-SA"/>
        </w:rPr>
        <w:t>Gy</w:t>
      </w:r>
      <w:proofErr w:type="spellEnd"/>
      <w:r w:rsidRPr="00E35F4D">
        <w:rPr>
          <w:sz w:val="20"/>
          <w:szCs w:val="20"/>
          <w:lang w:bidi="ar-SA"/>
        </w:rPr>
        <w:t xml:space="preserve"> at the </w:t>
      </w:r>
      <w:proofErr w:type="spellStart"/>
      <w:r w:rsidRPr="00E35F4D">
        <w:rPr>
          <w:sz w:val="20"/>
          <w:szCs w:val="20"/>
          <w:lang w:bidi="ar-SA"/>
        </w:rPr>
        <w:t>isocenter</w:t>
      </w:r>
      <w:proofErr w:type="spellEnd"/>
      <w:r w:rsidRPr="00E35F4D">
        <w:rPr>
          <w:sz w:val="20"/>
          <w:szCs w:val="20"/>
          <w:lang w:bidi="ar-SA"/>
        </w:rPr>
        <w:t xml:space="preserve"> and all </w:t>
      </w:r>
      <w:r w:rsidRPr="00E35F4D">
        <w:rPr>
          <w:color w:val="000000"/>
          <w:sz w:val="20"/>
          <w:szCs w:val="20"/>
          <w:lang w:bidi="ar-SA"/>
        </w:rPr>
        <w:t xml:space="preserve">patients </w:t>
      </w:r>
      <w:r w:rsidR="0044767D" w:rsidRPr="00E35F4D">
        <w:rPr>
          <w:color w:val="000000"/>
          <w:sz w:val="20"/>
          <w:szCs w:val="20"/>
          <w:lang w:bidi="ar-SA"/>
        </w:rPr>
        <w:t xml:space="preserve">were treated with </w:t>
      </w:r>
      <w:r w:rsidR="00232CBE" w:rsidRPr="00E35F4D">
        <w:rPr>
          <w:color w:val="000000"/>
          <w:sz w:val="20"/>
          <w:szCs w:val="20"/>
          <w:lang w:bidi="ar-SA"/>
        </w:rPr>
        <w:t xml:space="preserve">conventional fractionation </w:t>
      </w:r>
      <w:r w:rsidR="0044767D" w:rsidRPr="00E35F4D">
        <w:rPr>
          <w:color w:val="000000"/>
          <w:sz w:val="20"/>
          <w:szCs w:val="20"/>
          <w:lang w:bidi="ar-SA"/>
        </w:rPr>
        <w:t xml:space="preserve">to a total dose of </w:t>
      </w:r>
      <w:r w:rsidR="0044767D" w:rsidRPr="00E35F4D">
        <w:rPr>
          <w:color w:val="000000"/>
          <w:sz w:val="20"/>
          <w:szCs w:val="20"/>
        </w:rPr>
        <w:t xml:space="preserve">45 </w:t>
      </w:r>
      <w:proofErr w:type="spellStart"/>
      <w:r w:rsidR="0044767D" w:rsidRPr="00E35F4D">
        <w:rPr>
          <w:color w:val="000000"/>
          <w:sz w:val="20"/>
          <w:szCs w:val="20"/>
        </w:rPr>
        <w:t>Gy</w:t>
      </w:r>
      <w:proofErr w:type="spellEnd"/>
      <w:r w:rsidR="0044767D" w:rsidRPr="00E35F4D">
        <w:rPr>
          <w:color w:val="000000"/>
          <w:sz w:val="20"/>
          <w:szCs w:val="20"/>
        </w:rPr>
        <w:t>/25 fractions/5 weeks.</w:t>
      </w:r>
    </w:p>
    <w:p w:rsidR="00A47AD1" w:rsidRPr="00E35F4D" w:rsidRDefault="00A47AD1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Response assessment</w:t>
      </w:r>
    </w:p>
    <w:p w:rsidR="00A47AD1" w:rsidRPr="00E35F4D" w:rsidRDefault="00A47AD1" w:rsidP="002B2928">
      <w:pPr>
        <w:snapToGrid w:val="0"/>
        <w:ind w:firstLine="425"/>
        <w:jc w:val="both"/>
        <w:rPr>
          <w:color w:val="000000"/>
          <w:sz w:val="20"/>
          <w:szCs w:val="20"/>
        </w:rPr>
      </w:pPr>
      <w:r w:rsidRPr="00E35F4D">
        <w:rPr>
          <w:sz w:val="20"/>
          <w:szCs w:val="20"/>
        </w:rPr>
        <w:t xml:space="preserve">After the preoperative therapy, all patients were investigated by </w:t>
      </w:r>
      <w:proofErr w:type="spellStart"/>
      <w:r w:rsidRPr="00E35F4D">
        <w:rPr>
          <w:sz w:val="20"/>
          <w:szCs w:val="20"/>
          <w:lang w:bidi="ar-SA"/>
        </w:rPr>
        <w:t>abdominopelvic</w:t>
      </w:r>
      <w:proofErr w:type="spellEnd"/>
      <w:r w:rsidRPr="00E35F4D">
        <w:rPr>
          <w:sz w:val="20"/>
          <w:szCs w:val="20"/>
          <w:lang w:bidi="ar-SA"/>
        </w:rPr>
        <w:t xml:space="preserve"> CT and/or MRI</w:t>
      </w:r>
      <w:r w:rsidRPr="00E35F4D">
        <w:rPr>
          <w:sz w:val="20"/>
          <w:szCs w:val="20"/>
        </w:rPr>
        <w:t xml:space="preserve"> scan to assure response to the studied protocol.</w:t>
      </w:r>
    </w:p>
    <w:p w:rsidR="00971498" w:rsidRPr="00E35F4D" w:rsidRDefault="00063FE4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Surgery</w:t>
      </w:r>
    </w:p>
    <w:p w:rsidR="00971498" w:rsidRPr="00E35F4D" w:rsidRDefault="0087630B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rFonts w:eastAsia="Scala"/>
          <w:sz w:val="20"/>
          <w:szCs w:val="20"/>
        </w:rPr>
        <w:t xml:space="preserve">Total </w:t>
      </w:r>
      <w:proofErr w:type="spellStart"/>
      <w:r w:rsidRPr="00E35F4D">
        <w:rPr>
          <w:rFonts w:eastAsia="Scala"/>
          <w:sz w:val="20"/>
          <w:szCs w:val="20"/>
        </w:rPr>
        <w:t>mesorectal</w:t>
      </w:r>
      <w:proofErr w:type="spellEnd"/>
      <w:r w:rsidRPr="00E35F4D">
        <w:rPr>
          <w:rFonts w:eastAsia="Scala"/>
          <w:sz w:val="20"/>
          <w:szCs w:val="20"/>
        </w:rPr>
        <w:t xml:space="preserve"> surgical excision technique </w:t>
      </w:r>
      <w:r w:rsidR="00971498" w:rsidRPr="00E35F4D">
        <w:rPr>
          <w:sz w:val="20"/>
          <w:szCs w:val="20"/>
        </w:rPr>
        <w:t>was</w:t>
      </w:r>
      <w:r w:rsidR="00971498" w:rsidRPr="00E35F4D">
        <w:rPr>
          <w:rFonts w:eastAsia="Scala"/>
          <w:sz w:val="20"/>
          <w:szCs w:val="20"/>
        </w:rPr>
        <w:t xml:space="preserve"> planned to undergo 6 weeks after completing </w:t>
      </w:r>
      <w:r w:rsidR="00971498" w:rsidRPr="00E35F4D">
        <w:rPr>
          <w:rStyle w:val="A1"/>
          <w:rFonts w:cs="Times New Roman"/>
          <w:color w:val="auto"/>
          <w:sz w:val="20"/>
          <w:szCs w:val="20"/>
        </w:rPr>
        <w:t>CRT</w:t>
      </w:r>
      <w:r w:rsidR="00F323BC" w:rsidRPr="00E35F4D">
        <w:rPr>
          <w:rStyle w:val="A1"/>
          <w:rFonts w:cs="Times New Roman"/>
          <w:color w:val="auto"/>
          <w:sz w:val="20"/>
          <w:szCs w:val="20"/>
        </w:rPr>
        <w:t xml:space="preserve"> for</w:t>
      </w:r>
      <w:r w:rsidR="00971498" w:rsidRPr="00E35F4D">
        <w:rPr>
          <w:rFonts w:eastAsia="Scala"/>
          <w:sz w:val="20"/>
          <w:szCs w:val="20"/>
        </w:rPr>
        <w:t xml:space="preserve"> all patients</w:t>
      </w:r>
      <w:r w:rsidR="00F323BC" w:rsidRPr="00E35F4D">
        <w:rPr>
          <w:rFonts w:eastAsia="Scala"/>
          <w:sz w:val="20"/>
          <w:szCs w:val="20"/>
        </w:rPr>
        <w:t>.</w:t>
      </w:r>
      <w:r w:rsidR="00971498" w:rsidRPr="00E35F4D">
        <w:rPr>
          <w:sz w:val="20"/>
          <w:szCs w:val="20"/>
        </w:rPr>
        <w:t xml:space="preserve"> </w:t>
      </w:r>
      <w:r w:rsidR="00F323BC" w:rsidRPr="00E35F4D">
        <w:rPr>
          <w:sz w:val="20"/>
          <w:szCs w:val="20"/>
        </w:rPr>
        <w:t>T</w:t>
      </w:r>
      <w:r w:rsidR="00971498" w:rsidRPr="00E35F4D">
        <w:rPr>
          <w:sz w:val="20"/>
          <w:szCs w:val="20"/>
        </w:rPr>
        <w:t xml:space="preserve">he </w:t>
      </w:r>
      <w:r w:rsidR="00F323BC" w:rsidRPr="00E35F4D">
        <w:rPr>
          <w:sz w:val="20"/>
          <w:szCs w:val="20"/>
        </w:rPr>
        <w:t xml:space="preserve">decision </w:t>
      </w:r>
      <w:r w:rsidR="00971498" w:rsidRPr="00E35F4D">
        <w:rPr>
          <w:sz w:val="20"/>
          <w:szCs w:val="20"/>
        </w:rPr>
        <w:t xml:space="preserve">of surgical resection </w:t>
      </w:r>
      <w:r w:rsidR="00653AF1" w:rsidRPr="00E35F4D">
        <w:rPr>
          <w:sz w:val="20"/>
          <w:szCs w:val="20"/>
          <w:lang w:bidi="ar-SA"/>
        </w:rPr>
        <w:t xml:space="preserve">whether </w:t>
      </w:r>
      <w:r w:rsidR="00772211" w:rsidRPr="00E35F4D">
        <w:rPr>
          <w:sz w:val="20"/>
          <w:szCs w:val="20"/>
          <w:lang w:bidi="ar-SA"/>
        </w:rPr>
        <w:t xml:space="preserve">low anterior resection (LAR) </w:t>
      </w:r>
      <w:r w:rsidR="00653AF1" w:rsidRPr="00E35F4D">
        <w:rPr>
          <w:sz w:val="20"/>
          <w:szCs w:val="20"/>
          <w:lang w:bidi="ar-SA"/>
        </w:rPr>
        <w:t xml:space="preserve">or </w:t>
      </w:r>
      <w:proofErr w:type="spellStart"/>
      <w:r w:rsidR="00772211" w:rsidRPr="00E35F4D">
        <w:rPr>
          <w:sz w:val="20"/>
          <w:szCs w:val="20"/>
          <w:lang w:bidi="ar-SA"/>
        </w:rPr>
        <w:t>abdominoperineal</w:t>
      </w:r>
      <w:proofErr w:type="spellEnd"/>
      <w:r w:rsidR="00772211" w:rsidRPr="00E35F4D">
        <w:rPr>
          <w:sz w:val="20"/>
          <w:szCs w:val="20"/>
          <w:lang w:bidi="ar-SA"/>
        </w:rPr>
        <w:t xml:space="preserve"> resection (APR) </w:t>
      </w:r>
      <w:r w:rsidR="008F1AA7" w:rsidRPr="00E35F4D">
        <w:rPr>
          <w:sz w:val="20"/>
          <w:szCs w:val="20"/>
        </w:rPr>
        <w:t xml:space="preserve">was </w:t>
      </w:r>
      <w:r w:rsidR="00F323BC" w:rsidRPr="00E35F4D">
        <w:rPr>
          <w:sz w:val="20"/>
          <w:szCs w:val="20"/>
        </w:rPr>
        <w:t xml:space="preserve">taken </w:t>
      </w:r>
      <w:r w:rsidR="00971498" w:rsidRPr="00E35F4D">
        <w:rPr>
          <w:sz w:val="20"/>
          <w:szCs w:val="20"/>
        </w:rPr>
        <w:t>according to tumor response</w:t>
      </w:r>
      <w:r w:rsidR="008F1AA7" w:rsidRPr="00E35F4D">
        <w:rPr>
          <w:sz w:val="20"/>
          <w:szCs w:val="20"/>
          <w:lang w:bidi="ar-SA"/>
        </w:rPr>
        <w:t xml:space="preserve"> and the</w:t>
      </w:r>
      <w:r w:rsidR="00EF28BD" w:rsidRPr="00E35F4D">
        <w:rPr>
          <w:sz w:val="20"/>
          <w:szCs w:val="20"/>
          <w:lang w:bidi="ar-SA"/>
        </w:rPr>
        <w:t xml:space="preserve"> surgeon’s discretion.</w:t>
      </w:r>
    </w:p>
    <w:p w:rsidR="00971498" w:rsidRPr="00E35F4D" w:rsidRDefault="00337321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Adjuvant CT</w:t>
      </w:r>
    </w:p>
    <w:p w:rsidR="00971498" w:rsidRPr="00E35F4D" w:rsidRDefault="00971498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Following surgery, </w:t>
      </w:r>
      <w:r w:rsidR="00F323BC" w:rsidRPr="00E35F4D">
        <w:rPr>
          <w:sz w:val="20"/>
          <w:szCs w:val="20"/>
        </w:rPr>
        <w:t xml:space="preserve">all </w:t>
      </w:r>
      <w:r w:rsidRPr="00E35F4D">
        <w:rPr>
          <w:sz w:val="20"/>
          <w:szCs w:val="20"/>
        </w:rPr>
        <w:t xml:space="preserve">patients received an additional </w:t>
      </w:r>
      <w:r w:rsidR="00943667" w:rsidRPr="00E35F4D">
        <w:rPr>
          <w:sz w:val="20"/>
          <w:szCs w:val="20"/>
        </w:rPr>
        <w:t>4 cycles</w:t>
      </w:r>
      <w:r w:rsidR="00B11109" w:rsidRPr="00E35F4D">
        <w:rPr>
          <w:sz w:val="20"/>
          <w:szCs w:val="20"/>
        </w:rPr>
        <w:t xml:space="preserve"> of </w:t>
      </w:r>
      <w:r w:rsidR="00063FE4" w:rsidRPr="00E35F4D">
        <w:rPr>
          <w:sz w:val="20"/>
          <w:szCs w:val="20"/>
        </w:rPr>
        <w:t xml:space="preserve">adjuvant </w:t>
      </w:r>
      <w:proofErr w:type="spellStart"/>
      <w:r w:rsidR="00B11109" w:rsidRPr="00E35F4D">
        <w:rPr>
          <w:sz w:val="20"/>
          <w:szCs w:val="20"/>
        </w:rPr>
        <w:t>capecitabine</w:t>
      </w:r>
      <w:proofErr w:type="spellEnd"/>
      <w:r w:rsidR="00B11109" w:rsidRPr="00E35F4D">
        <w:rPr>
          <w:sz w:val="20"/>
          <w:szCs w:val="20"/>
        </w:rPr>
        <w:t xml:space="preserve"> (1250 mg/m</w:t>
      </w:r>
      <w:r w:rsidR="00B11109" w:rsidRPr="00E35F4D">
        <w:rPr>
          <w:sz w:val="20"/>
          <w:szCs w:val="20"/>
          <w:vertAlign w:val="superscript"/>
        </w:rPr>
        <w:t>2</w:t>
      </w:r>
      <w:r w:rsidR="00B11109" w:rsidRPr="00E35F4D">
        <w:rPr>
          <w:sz w:val="20"/>
          <w:szCs w:val="20"/>
        </w:rPr>
        <w:t xml:space="preserve"> twice daily for 14 days every 3 weeks)</w:t>
      </w:r>
      <w:r w:rsidRPr="00E35F4D">
        <w:rPr>
          <w:sz w:val="20"/>
          <w:szCs w:val="20"/>
        </w:rPr>
        <w:t>.</w:t>
      </w:r>
    </w:p>
    <w:p w:rsidR="00DE6CAD" w:rsidRPr="00E35F4D" w:rsidRDefault="00DE6CAD" w:rsidP="002B2928">
      <w:pPr>
        <w:autoSpaceDE w:val="0"/>
        <w:autoSpaceDN w:val="0"/>
        <w:adjustRightInd w:val="0"/>
        <w:snapToGrid w:val="0"/>
        <w:jc w:val="both"/>
        <w:rPr>
          <w:rFonts w:eastAsia="Scala"/>
          <w:b/>
          <w:bCs/>
          <w:i/>
          <w:iCs/>
          <w:sz w:val="20"/>
          <w:szCs w:val="20"/>
        </w:rPr>
      </w:pPr>
      <w:r w:rsidRPr="00E35F4D">
        <w:rPr>
          <w:rFonts w:eastAsia="Scala"/>
          <w:b/>
          <w:bCs/>
          <w:i/>
          <w:iCs/>
          <w:sz w:val="20"/>
          <w:szCs w:val="20"/>
        </w:rPr>
        <w:t>Toxicity Evaluation</w:t>
      </w:r>
    </w:p>
    <w:p w:rsidR="00A734FD" w:rsidRPr="00E35F4D" w:rsidRDefault="00DE6CAD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rFonts w:eastAsia="Scala"/>
          <w:sz w:val="20"/>
          <w:szCs w:val="20"/>
        </w:rPr>
        <w:t xml:space="preserve">Patients were evaluated weekly during the course of </w:t>
      </w:r>
      <w:r w:rsidR="00A2226C" w:rsidRPr="00E35F4D">
        <w:rPr>
          <w:sz w:val="20"/>
          <w:szCs w:val="20"/>
        </w:rPr>
        <w:t>concomitant</w:t>
      </w:r>
      <w:r w:rsidR="00A2226C" w:rsidRPr="00E35F4D">
        <w:rPr>
          <w:rStyle w:val="A1"/>
          <w:rFonts w:cs="Times New Roman"/>
          <w:color w:val="auto"/>
          <w:sz w:val="20"/>
          <w:szCs w:val="20"/>
        </w:rPr>
        <w:t xml:space="preserve"> </w:t>
      </w:r>
      <w:r w:rsidRPr="00E35F4D">
        <w:rPr>
          <w:rStyle w:val="A1"/>
          <w:rFonts w:cs="Times New Roman"/>
          <w:color w:val="auto"/>
          <w:sz w:val="20"/>
          <w:szCs w:val="20"/>
        </w:rPr>
        <w:t>CRT</w:t>
      </w:r>
      <w:r w:rsidRPr="00E35F4D">
        <w:rPr>
          <w:rFonts w:eastAsia="Scala"/>
          <w:sz w:val="20"/>
          <w:szCs w:val="20"/>
        </w:rPr>
        <w:t xml:space="preserve"> to assess acute toxicity with </w:t>
      </w:r>
      <w:r w:rsidR="00870DE7" w:rsidRPr="00E35F4D">
        <w:rPr>
          <w:rFonts w:eastAsia="Scala"/>
          <w:sz w:val="20"/>
          <w:szCs w:val="20"/>
        </w:rPr>
        <w:t>CBC</w:t>
      </w:r>
      <w:r w:rsidRPr="00E35F4D">
        <w:rPr>
          <w:rFonts w:eastAsia="Scala"/>
          <w:sz w:val="20"/>
          <w:szCs w:val="20"/>
        </w:rPr>
        <w:t xml:space="preserve"> was taken each time.</w:t>
      </w:r>
      <w:r w:rsidRPr="00E35F4D">
        <w:rPr>
          <w:sz w:val="20"/>
          <w:szCs w:val="20"/>
        </w:rPr>
        <w:t xml:space="preserve"> The intensity of side effects was assessed according to National Cancer Institute Common Terminology Criteria for Adverse Events (NCI-CTCAE) version 3.0</w:t>
      </w:r>
      <w:r w:rsidRPr="00E35F4D">
        <w:rPr>
          <w:b/>
          <w:bCs/>
          <w:i/>
          <w:iCs/>
          <w:sz w:val="20"/>
          <w:szCs w:val="20"/>
        </w:rPr>
        <w:t xml:space="preserve"> </w:t>
      </w:r>
      <w:r w:rsidRPr="00E35F4D">
        <w:rPr>
          <w:b/>
          <w:bCs/>
          <w:sz w:val="20"/>
          <w:szCs w:val="20"/>
          <w:lang w:bidi="ar-SA"/>
        </w:rPr>
        <w:t>[15]</w:t>
      </w:r>
      <w:r w:rsidRPr="00E35F4D">
        <w:rPr>
          <w:sz w:val="20"/>
          <w:szCs w:val="20"/>
        </w:rPr>
        <w:t>.</w:t>
      </w:r>
    </w:p>
    <w:p w:rsidR="00A734FD" w:rsidRPr="00E35F4D" w:rsidRDefault="00A734FD" w:rsidP="002B2928">
      <w:pPr>
        <w:autoSpaceDE w:val="0"/>
        <w:autoSpaceDN w:val="0"/>
        <w:adjustRightInd w:val="0"/>
        <w:snapToGrid w:val="0"/>
        <w:jc w:val="both"/>
        <w:rPr>
          <w:b/>
          <w:bCs/>
          <w:i/>
          <w:iCs/>
          <w:sz w:val="20"/>
          <w:szCs w:val="20"/>
          <w:lang w:bidi="ar-SA"/>
        </w:rPr>
      </w:pPr>
      <w:r w:rsidRPr="00E35F4D">
        <w:rPr>
          <w:b/>
          <w:bCs/>
          <w:i/>
          <w:iCs/>
          <w:sz w:val="20"/>
          <w:szCs w:val="20"/>
          <w:lang w:bidi="ar-SA"/>
        </w:rPr>
        <w:lastRenderedPageBreak/>
        <w:t>Dose Modification</w:t>
      </w:r>
    </w:p>
    <w:p w:rsidR="00214648" w:rsidRPr="00E35F4D" w:rsidRDefault="00F54288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Chemotherapy and </w:t>
      </w:r>
      <w:r w:rsidR="00346FCB" w:rsidRPr="00E35F4D">
        <w:rPr>
          <w:sz w:val="20"/>
          <w:szCs w:val="20"/>
          <w:lang w:bidi="ar-SA"/>
        </w:rPr>
        <w:t>RT</w:t>
      </w:r>
      <w:r w:rsidRPr="00E35F4D">
        <w:rPr>
          <w:sz w:val="20"/>
          <w:szCs w:val="20"/>
          <w:lang w:bidi="ar-SA"/>
        </w:rPr>
        <w:t xml:space="preserve"> were </w:t>
      </w:r>
      <w:r w:rsidR="00C026AE" w:rsidRPr="00E35F4D">
        <w:rPr>
          <w:sz w:val="20"/>
          <w:szCs w:val="20"/>
          <w:lang w:bidi="ar-SA"/>
        </w:rPr>
        <w:t>discontinued</w:t>
      </w:r>
      <w:r w:rsidRPr="00E35F4D">
        <w:rPr>
          <w:sz w:val="20"/>
          <w:szCs w:val="20"/>
          <w:lang w:bidi="ar-SA"/>
        </w:rPr>
        <w:t xml:space="preserve"> if </w:t>
      </w:r>
      <w:r w:rsidR="008833D2" w:rsidRPr="00E35F4D">
        <w:rPr>
          <w:sz w:val="20"/>
          <w:szCs w:val="20"/>
          <w:lang w:bidi="ar-SA"/>
        </w:rPr>
        <w:t>grade</w:t>
      </w:r>
      <w:r w:rsidRPr="00E35F4D">
        <w:rPr>
          <w:sz w:val="20"/>
          <w:szCs w:val="20"/>
          <w:lang w:bidi="ar-SA"/>
        </w:rPr>
        <w:t xml:space="preserve"> 3 or 4</w:t>
      </w:r>
      <w:r w:rsidR="00781DBC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toxicity was </w:t>
      </w:r>
      <w:r w:rsidR="00C026AE" w:rsidRPr="00E35F4D">
        <w:rPr>
          <w:sz w:val="20"/>
          <w:szCs w:val="20"/>
          <w:lang w:bidi="ar-SA"/>
        </w:rPr>
        <w:t>developed</w:t>
      </w:r>
      <w:r w:rsidRPr="00E35F4D">
        <w:rPr>
          <w:sz w:val="20"/>
          <w:szCs w:val="20"/>
          <w:lang w:bidi="ar-SA"/>
        </w:rPr>
        <w:t xml:space="preserve">. </w:t>
      </w:r>
      <w:r w:rsidR="00772211" w:rsidRPr="00E35F4D">
        <w:rPr>
          <w:sz w:val="20"/>
          <w:szCs w:val="20"/>
          <w:lang w:bidi="ar-SA"/>
        </w:rPr>
        <w:t>T</w:t>
      </w:r>
      <w:r w:rsidRPr="00E35F4D">
        <w:rPr>
          <w:sz w:val="20"/>
          <w:szCs w:val="20"/>
          <w:lang w:bidi="ar-SA"/>
        </w:rPr>
        <w:t xml:space="preserve">reatment was restarted when toxicity had resolved to grade ≤1. </w:t>
      </w:r>
      <w:r w:rsidR="008A1457" w:rsidRPr="00E35F4D">
        <w:rPr>
          <w:sz w:val="20"/>
          <w:szCs w:val="20"/>
          <w:lang w:bidi="ar-SA"/>
        </w:rPr>
        <w:t>The c</w:t>
      </w:r>
      <w:r w:rsidR="00772211" w:rsidRPr="00E35F4D">
        <w:rPr>
          <w:sz w:val="20"/>
          <w:szCs w:val="20"/>
          <w:lang w:bidi="ar-SA"/>
        </w:rPr>
        <w:t>hemotherapeutic d</w:t>
      </w:r>
      <w:r w:rsidRPr="00E35F4D">
        <w:rPr>
          <w:sz w:val="20"/>
          <w:szCs w:val="20"/>
          <w:lang w:bidi="ar-SA"/>
        </w:rPr>
        <w:t>ose reduction was required after grade 3–4 toxicity. The treatment was resumed at 75% of the original dose for the first or 50% for the second occurrence of toxicity.</w:t>
      </w:r>
      <w:r w:rsidRPr="00E35F4D">
        <w:rPr>
          <w:b/>
          <w:bCs/>
          <w:sz w:val="20"/>
          <w:szCs w:val="20"/>
        </w:rPr>
        <w:t xml:space="preserve"> </w:t>
      </w:r>
      <w:r w:rsidR="00C026AE" w:rsidRPr="00E35F4D">
        <w:rPr>
          <w:sz w:val="20"/>
          <w:szCs w:val="20"/>
          <w:lang w:bidi="ar-SA"/>
        </w:rPr>
        <w:t>The patient was withdrawn from the study i</w:t>
      </w:r>
      <w:r w:rsidR="00DE6CAD" w:rsidRPr="00E35F4D">
        <w:rPr>
          <w:sz w:val="20"/>
          <w:szCs w:val="20"/>
          <w:lang w:bidi="ar-SA"/>
        </w:rPr>
        <w:t xml:space="preserve">f treatment was delayed for </w:t>
      </w:r>
      <w:r w:rsidR="00772211" w:rsidRPr="00E35F4D">
        <w:rPr>
          <w:sz w:val="20"/>
          <w:szCs w:val="20"/>
          <w:lang w:bidi="ar-SA"/>
        </w:rPr>
        <w:t>more</w:t>
      </w:r>
      <w:r w:rsidR="00C026AE" w:rsidRPr="00E35F4D">
        <w:rPr>
          <w:sz w:val="20"/>
          <w:szCs w:val="20"/>
          <w:lang w:bidi="ar-SA"/>
        </w:rPr>
        <w:t xml:space="preserve"> than 3 weeks.</w:t>
      </w:r>
    </w:p>
    <w:p w:rsidR="00971498" w:rsidRPr="00E35F4D" w:rsidRDefault="00971498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E35F4D">
        <w:rPr>
          <w:b/>
          <w:bCs/>
          <w:sz w:val="20"/>
          <w:szCs w:val="20"/>
          <w:lang w:bidi="ar-SA"/>
        </w:rPr>
        <w:t>Follow-up</w:t>
      </w:r>
    </w:p>
    <w:p w:rsidR="00F54288" w:rsidRPr="00E35F4D" w:rsidRDefault="00F54288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Subsequent follow-up visits to detect or confirm local tumor recurrence or dista</w:t>
      </w:r>
      <w:r w:rsidR="00A47AD1" w:rsidRPr="00E35F4D">
        <w:rPr>
          <w:sz w:val="20"/>
          <w:szCs w:val="20"/>
          <w:lang w:bidi="ar-SA"/>
        </w:rPr>
        <w:t>nt</w:t>
      </w:r>
      <w:r w:rsidRPr="00E35F4D">
        <w:rPr>
          <w:sz w:val="20"/>
          <w:szCs w:val="20"/>
          <w:lang w:bidi="ar-SA"/>
        </w:rPr>
        <w:t xml:space="preserve"> metastasis by </w:t>
      </w:r>
      <w:proofErr w:type="spellStart"/>
      <w:r w:rsidRPr="00E35F4D">
        <w:rPr>
          <w:sz w:val="20"/>
          <w:szCs w:val="20"/>
          <w:lang w:bidi="ar-SA"/>
        </w:rPr>
        <w:t>pelviabdominal</w:t>
      </w:r>
      <w:proofErr w:type="spellEnd"/>
      <w:r w:rsidRPr="00E35F4D">
        <w:rPr>
          <w:sz w:val="20"/>
          <w:szCs w:val="20"/>
          <w:lang w:bidi="ar-SA"/>
        </w:rPr>
        <w:t xml:space="preserve"> CT and/or MRI scan, chest X-ray and others as indicated were scheduled at three monthly intervals for the first year, </w:t>
      </w:r>
      <w:r w:rsidR="00437E69" w:rsidRPr="00E35F4D">
        <w:rPr>
          <w:sz w:val="20"/>
          <w:szCs w:val="20"/>
          <w:lang w:bidi="ar-SA"/>
        </w:rPr>
        <w:t>every 6</w:t>
      </w:r>
      <w:r w:rsidRPr="00E35F4D">
        <w:rPr>
          <w:sz w:val="20"/>
          <w:szCs w:val="20"/>
          <w:lang w:bidi="ar-SA"/>
        </w:rPr>
        <w:t xml:space="preserve"> month</w:t>
      </w:r>
      <w:r w:rsidR="00437E69" w:rsidRPr="00E35F4D">
        <w:rPr>
          <w:sz w:val="20"/>
          <w:szCs w:val="20"/>
          <w:lang w:bidi="ar-SA"/>
        </w:rPr>
        <w:t>s</w:t>
      </w:r>
      <w:r w:rsidRPr="00E35F4D">
        <w:rPr>
          <w:sz w:val="20"/>
          <w:szCs w:val="20"/>
          <w:lang w:bidi="ar-SA"/>
        </w:rPr>
        <w:t xml:space="preserve"> for the second year and annually thereafter.</w:t>
      </w:r>
    </w:p>
    <w:p w:rsidR="00971498" w:rsidRPr="00E35F4D" w:rsidRDefault="00971498" w:rsidP="002B2928">
      <w:pPr>
        <w:snapToGrid w:val="0"/>
        <w:jc w:val="both"/>
        <w:rPr>
          <w:b/>
          <w:bCs/>
          <w:color w:val="000000"/>
          <w:sz w:val="20"/>
          <w:szCs w:val="20"/>
        </w:rPr>
      </w:pPr>
      <w:r w:rsidRPr="00E35F4D">
        <w:rPr>
          <w:b/>
          <w:bCs/>
          <w:color w:val="000000"/>
          <w:sz w:val="20"/>
          <w:szCs w:val="20"/>
        </w:rPr>
        <w:t>Statistical analysis</w:t>
      </w:r>
    </w:p>
    <w:p w:rsidR="003A748B" w:rsidRPr="00E35F4D" w:rsidRDefault="00971498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The primary endpoints of th</w:t>
      </w:r>
      <w:r w:rsidR="001B308F" w:rsidRPr="00E35F4D">
        <w:rPr>
          <w:sz w:val="20"/>
          <w:szCs w:val="20"/>
        </w:rPr>
        <w:t>is</w:t>
      </w:r>
      <w:r w:rsidRPr="00E35F4D">
        <w:rPr>
          <w:sz w:val="20"/>
          <w:szCs w:val="20"/>
        </w:rPr>
        <w:t xml:space="preserve"> research include</w:t>
      </w:r>
      <w:r w:rsidR="00DE284E" w:rsidRPr="00E35F4D">
        <w:rPr>
          <w:sz w:val="20"/>
          <w:szCs w:val="20"/>
        </w:rPr>
        <w:t>d</w:t>
      </w:r>
      <w:r w:rsidRPr="00E35F4D">
        <w:rPr>
          <w:sz w:val="20"/>
          <w:szCs w:val="20"/>
        </w:rPr>
        <w:t xml:space="preserve"> assessment of </w:t>
      </w:r>
      <w:r w:rsidR="00DE6CAD" w:rsidRPr="00E35F4D">
        <w:rPr>
          <w:sz w:val="20"/>
          <w:szCs w:val="20"/>
        </w:rPr>
        <w:t xml:space="preserve">response to treatment </w:t>
      </w:r>
      <w:r w:rsidRPr="00E35F4D">
        <w:rPr>
          <w:sz w:val="20"/>
          <w:szCs w:val="20"/>
        </w:rPr>
        <w:t xml:space="preserve">and the feasibility of surgical resection with sphincter </w:t>
      </w:r>
      <w:r w:rsidR="008A1457" w:rsidRPr="00E35F4D">
        <w:rPr>
          <w:sz w:val="20"/>
          <w:szCs w:val="20"/>
        </w:rPr>
        <w:t>preservation. The secondary end</w:t>
      </w:r>
      <w:r w:rsidRPr="00E35F4D">
        <w:rPr>
          <w:sz w:val="20"/>
          <w:szCs w:val="20"/>
        </w:rPr>
        <w:t>points include</w:t>
      </w:r>
      <w:r w:rsidR="00DE284E" w:rsidRPr="00E35F4D">
        <w:rPr>
          <w:sz w:val="20"/>
          <w:szCs w:val="20"/>
        </w:rPr>
        <w:t>d</w:t>
      </w:r>
      <w:r w:rsidRPr="00E35F4D">
        <w:rPr>
          <w:sz w:val="20"/>
          <w:szCs w:val="20"/>
        </w:rPr>
        <w:t>; evaluation of the safety profile of the treatment</w:t>
      </w:r>
      <w:r w:rsidR="00DE284E" w:rsidRPr="00E35F4D">
        <w:rPr>
          <w:sz w:val="20"/>
          <w:szCs w:val="20"/>
        </w:rPr>
        <w:t xml:space="preserve"> protocol</w:t>
      </w:r>
      <w:r w:rsidR="00A74E2A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statistical analysis of clinical and pathological variables affecting</w:t>
      </w:r>
      <w:r w:rsidR="00A74E2A" w:rsidRPr="00E35F4D">
        <w:rPr>
          <w:sz w:val="20"/>
          <w:szCs w:val="20"/>
        </w:rPr>
        <w:t xml:space="preserve"> response to treatment</w:t>
      </w:r>
      <w:r w:rsidR="003A748B" w:rsidRPr="00E35F4D">
        <w:rPr>
          <w:sz w:val="20"/>
          <w:szCs w:val="20"/>
        </w:rPr>
        <w:t>.</w:t>
      </w:r>
    </w:p>
    <w:p w:rsidR="002B2928" w:rsidRPr="00E35F4D" w:rsidRDefault="009C5D4E" w:rsidP="002B2928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rStyle w:val="A1"/>
          <w:rFonts w:cs="Times New Roman"/>
          <w:color w:val="auto"/>
          <w:sz w:val="20"/>
          <w:szCs w:val="20"/>
        </w:rPr>
        <w:t>Response e</w:t>
      </w:r>
      <w:r w:rsidR="00971498" w:rsidRPr="00E35F4D">
        <w:rPr>
          <w:rStyle w:val="A1"/>
          <w:rFonts w:cs="Times New Roman"/>
          <w:color w:val="auto"/>
          <w:sz w:val="20"/>
          <w:szCs w:val="20"/>
        </w:rPr>
        <w:t>valuation was defined both clinically and pathologically.</w:t>
      </w:r>
      <w:r w:rsidR="00971498" w:rsidRPr="00E35F4D">
        <w:rPr>
          <w:sz w:val="20"/>
          <w:szCs w:val="20"/>
        </w:rPr>
        <w:t xml:space="preserve"> </w:t>
      </w:r>
      <w:r w:rsidR="00DE6CAD" w:rsidRPr="00E35F4D">
        <w:rPr>
          <w:sz w:val="20"/>
          <w:szCs w:val="20"/>
        </w:rPr>
        <w:t>C</w:t>
      </w:r>
      <w:r w:rsidR="00971498" w:rsidRPr="00E35F4D">
        <w:rPr>
          <w:sz w:val="20"/>
          <w:szCs w:val="20"/>
        </w:rPr>
        <w:t>linical response was assessed using imaging studies (</w:t>
      </w:r>
      <w:proofErr w:type="spellStart"/>
      <w:r w:rsidR="00971498" w:rsidRPr="00E35F4D">
        <w:rPr>
          <w:sz w:val="20"/>
          <w:szCs w:val="20"/>
        </w:rPr>
        <w:t>abdominopelvic</w:t>
      </w:r>
      <w:proofErr w:type="spellEnd"/>
      <w:r w:rsidR="00971498" w:rsidRPr="00E35F4D">
        <w:rPr>
          <w:sz w:val="20"/>
          <w:szCs w:val="20"/>
        </w:rPr>
        <w:t xml:space="preserve"> CT </w:t>
      </w:r>
      <w:r w:rsidR="00A47AD1" w:rsidRPr="00E35F4D">
        <w:rPr>
          <w:sz w:val="20"/>
          <w:szCs w:val="20"/>
        </w:rPr>
        <w:t>and/</w:t>
      </w:r>
      <w:r w:rsidR="00971498" w:rsidRPr="00E35F4D">
        <w:rPr>
          <w:sz w:val="20"/>
          <w:szCs w:val="20"/>
        </w:rPr>
        <w:t>or MRI</w:t>
      </w:r>
      <w:r w:rsidR="00A47AD1" w:rsidRPr="00E35F4D">
        <w:rPr>
          <w:sz w:val="20"/>
          <w:szCs w:val="20"/>
        </w:rPr>
        <w:t xml:space="preserve"> scan</w:t>
      </w:r>
      <w:r w:rsidR="00971498" w:rsidRPr="00E35F4D">
        <w:rPr>
          <w:sz w:val="20"/>
          <w:szCs w:val="20"/>
        </w:rPr>
        <w:t xml:space="preserve">, chest </w:t>
      </w:r>
      <w:r w:rsidRPr="00E35F4D">
        <w:rPr>
          <w:sz w:val="20"/>
          <w:szCs w:val="20"/>
        </w:rPr>
        <w:t xml:space="preserve">X-ray or </w:t>
      </w:r>
      <w:r w:rsidR="00A47AD1" w:rsidRPr="00E35F4D">
        <w:rPr>
          <w:sz w:val="20"/>
          <w:szCs w:val="20"/>
        </w:rPr>
        <w:t xml:space="preserve">thoracic </w:t>
      </w:r>
      <w:r w:rsidRPr="00E35F4D">
        <w:rPr>
          <w:sz w:val="20"/>
          <w:szCs w:val="20"/>
        </w:rPr>
        <w:t>CT scan</w:t>
      </w:r>
      <w:r w:rsidR="00971498" w:rsidRPr="00E35F4D">
        <w:rPr>
          <w:sz w:val="20"/>
          <w:szCs w:val="20"/>
        </w:rPr>
        <w:t xml:space="preserve">) according to the </w:t>
      </w:r>
      <w:r w:rsidR="00971498" w:rsidRPr="00E35F4D">
        <w:rPr>
          <w:sz w:val="20"/>
          <w:szCs w:val="20"/>
          <w:lang w:bidi="ar-SA"/>
        </w:rPr>
        <w:t>revised response evaluation criteria in solid tumors (RECIST) guideline (version 1.1)</w:t>
      </w:r>
      <w:r w:rsidR="00971498" w:rsidRPr="00E35F4D">
        <w:rPr>
          <w:sz w:val="20"/>
          <w:szCs w:val="20"/>
        </w:rPr>
        <w:t xml:space="preserve"> </w:t>
      </w:r>
      <w:r w:rsidR="00D57D48" w:rsidRPr="00E35F4D">
        <w:rPr>
          <w:b/>
          <w:bCs/>
          <w:sz w:val="20"/>
          <w:szCs w:val="20"/>
          <w:lang w:bidi="ar-SA"/>
        </w:rPr>
        <w:t>[1</w:t>
      </w:r>
      <w:r w:rsidR="00B544AB" w:rsidRPr="00E35F4D">
        <w:rPr>
          <w:b/>
          <w:bCs/>
          <w:sz w:val="20"/>
          <w:szCs w:val="20"/>
          <w:lang w:bidi="ar-SA"/>
        </w:rPr>
        <w:t>6</w:t>
      </w:r>
      <w:r w:rsidR="00D57D48" w:rsidRPr="00E35F4D">
        <w:rPr>
          <w:b/>
          <w:bCs/>
          <w:sz w:val="20"/>
          <w:szCs w:val="20"/>
          <w:lang w:bidi="ar-SA"/>
        </w:rPr>
        <w:t>]</w:t>
      </w:r>
      <w:r w:rsidR="00971498" w:rsidRPr="00E35F4D">
        <w:rPr>
          <w:sz w:val="20"/>
          <w:szCs w:val="20"/>
        </w:rPr>
        <w:t>. Complete response (CR) was defined as the disappearance of all lesions for at least four weeks.</w:t>
      </w:r>
      <w:r w:rsidR="00971498" w:rsidRPr="00E35F4D">
        <w:rPr>
          <w:sz w:val="20"/>
          <w:szCs w:val="20"/>
          <w:lang w:bidi="ar-SA"/>
        </w:rPr>
        <w:t xml:space="preserve"> </w:t>
      </w:r>
      <w:r w:rsidR="00971498" w:rsidRPr="00E35F4D">
        <w:rPr>
          <w:sz w:val="20"/>
          <w:szCs w:val="20"/>
        </w:rPr>
        <w:t xml:space="preserve">Partial response (PR) was defined as </w:t>
      </w:r>
      <w:r w:rsidR="00971498" w:rsidRPr="00E35F4D">
        <w:rPr>
          <w:sz w:val="20"/>
          <w:szCs w:val="20"/>
          <w:lang w:bidi="ar-SA"/>
        </w:rPr>
        <w:t>at least a 30% decrease in the sum</w:t>
      </w:r>
      <w:r w:rsidR="00123D50" w:rsidRPr="00E35F4D">
        <w:rPr>
          <w:sz w:val="20"/>
          <w:szCs w:val="20"/>
          <w:lang w:bidi="ar-SA"/>
        </w:rPr>
        <w:t xml:space="preserve"> of diameters of target lesions</w:t>
      </w:r>
      <w:r w:rsidR="00971498" w:rsidRPr="00E35F4D">
        <w:rPr>
          <w:sz w:val="20"/>
          <w:szCs w:val="20"/>
          <w:lang w:bidi="ar-SA"/>
        </w:rPr>
        <w:t xml:space="preserve">. Progressive disease </w:t>
      </w:r>
      <w:r w:rsidR="00971498" w:rsidRPr="00E35F4D">
        <w:rPr>
          <w:sz w:val="20"/>
          <w:szCs w:val="20"/>
        </w:rPr>
        <w:t>(PD) was defined as</w:t>
      </w:r>
      <w:r w:rsidR="00971498" w:rsidRPr="00E35F4D">
        <w:rPr>
          <w:sz w:val="20"/>
          <w:szCs w:val="20"/>
          <w:lang w:bidi="ar-SA"/>
        </w:rPr>
        <w:t xml:space="preserve"> at least a 20% increase in the sum of diameters of target lesions</w:t>
      </w:r>
      <w:r w:rsidR="00123D50" w:rsidRPr="00E35F4D">
        <w:rPr>
          <w:sz w:val="20"/>
          <w:szCs w:val="20"/>
          <w:lang w:bidi="ar-SA"/>
        </w:rPr>
        <w:t xml:space="preserve"> or</w:t>
      </w:r>
      <w:r w:rsidR="00971498" w:rsidRPr="00E35F4D">
        <w:rPr>
          <w:sz w:val="20"/>
          <w:szCs w:val="20"/>
          <w:lang w:bidi="ar-SA"/>
        </w:rPr>
        <w:t xml:space="preserve"> </w:t>
      </w:r>
      <w:r w:rsidR="00255A42" w:rsidRPr="00E35F4D">
        <w:rPr>
          <w:sz w:val="20"/>
          <w:szCs w:val="20"/>
          <w:lang w:bidi="ar-SA"/>
        </w:rPr>
        <w:t xml:space="preserve">the </w:t>
      </w:r>
      <w:r w:rsidR="00971498" w:rsidRPr="00E35F4D">
        <w:rPr>
          <w:sz w:val="20"/>
          <w:szCs w:val="20"/>
          <w:lang w:bidi="ar-SA"/>
        </w:rPr>
        <w:t>appearance of one</w:t>
      </w:r>
      <w:r w:rsidR="00123D50" w:rsidRPr="00E35F4D">
        <w:rPr>
          <w:sz w:val="20"/>
          <w:szCs w:val="20"/>
          <w:lang w:bidi="ar-SA"/>
        </w:rPr>
        <w:t xml:space="preserve"> or more new lesions</w:t>
      </w:r>
      <w:r w:rsidR="00971498" w:rsidRPr="00E35F4D">
        <w:rPr>
          <w:sz w:val="20"/>
          <w:szCs w:val="20"/>
        </w:rPr>
        <w:t>.</w:t>
      </w:r>
      <w:r w:rsidR="00971498" w:rsidRPr="00E35F4D">
        <w:rPr>
          <w:b/>
          <w:bCs/>
          <w:sz w:val="20"/>
          <w:szCs w:val="20"/>
          <w:lang w:bidi="ar-SA"/>
        </w:rPr>
        <w:t xml:space="preserve"> </w:t>
      </w:r>
      <w:r w:rsidR="00971498" w:rsidRPr="00E35F4D">
        <w:rPr>
          <w:sz w:val="20"/>
          <w:szCs w:val="20"/>
          <w:lang w:bidi="ar-SA"/>
        </w:rPr>
        <w:t>Stable disease</w:t>
      </w:r>
      <w:r w:rsidR="00971498" w:rsidRPr="00E35F4D">
        <w:rPr>
          <w:b/>
          <w:bCs/>
          <w:sz w:val="20"/>
          <w:szCs w:val="20"/>
          <w:lang w:bidi="ar-SA"/>
        </w:rPr>
        <w:t xml:space="preserve"> </w:t>
      </w:r>
      <w:r w:rsidR="00971498" w:rsidRPr="00E35F4D">
        <w:rPr>
          <w:sz w:val="20"/>
          <w:szCs w:val="20"/>
          <w:lang w:bidi="ar-SA"/>
        </w:rPr>
        <w:t>(SD)</w:t>
      </w:r>
      <w:r w:rsidR="00971498" w:rsidRPr="00E35F4D">
        <w:rPr>
          <w:b/>
          <w:bCs/>
          <w:sz w:val="20"/>
          <w:szCs w:val="20"/>
          <w:lang w:bidi="ar-SA"/>
        </w:rPr>
        <w:t xml:space="preserve"> </w:t>
      </w:r>
      <w:r w:rsidR="00971498" w:rsidRPr="00E35F4D">
        <w:rPr>
          <w:sz w:val="20"/>
          <w:szCs w:val="20"/>
        </w:rPr>
        <w:t>was defined as</w:t>
      </w:r>
      <w:r w:rsidR="00971498" w:rsidRPr="00E35F4D">
        <w:rPr>
          <w:sz w:val="20"/>
          <w:szCs w:val="20"/>
          <w:lang w:bidi="ar-SA"/>
        </w:rPr>
        <w:t xml:space="preserve"> neither sufficient shrinkage to qualify for partial response nor sufficient increase to qualify for progressive diseas</w:t>
      </w:r>
      <w:r w:rsidR="002B2928" w:rsidRPr="00E35F4D">
        <w:rPr>
          <w:sz w:val="20"/>
          <w:szCs w:val="20"/>
          <w:lang w:bidi="ar-SA"/>
        </w:rPr>
        <w:t>e.</w:t>
      </w:r>
    </w:p>
    <w:p w:rsidR="00A734FD" w:rsidRPr="00E35F4D" w:rsidRDefault="00CF6CA1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A</w:t>
      </w:r>
      <w:r w:rsidR="00FE014F" w:rsidRPr="00E35F4D">
        <w:rPr>
          <w:sz w:val="20"/>
          <w:szCs w:val="20"/>
          <w:lang w:bidi="ar-SA"/>
        </w:rPr>
        <w:t>bsence of viable tumor cells</w:t>
      </w:r>
      <w:r w:rsidR="00EC6395" w:rsidRPr="00E35F4D">
        <w:rPr>
          <w:sz w:val="20"/>
          <w:szCs w:val="20"/>
          <w:lang w:bidi="ar-SA"/>
        </w:rPr>
        <w:t xml:space="preserve"> in the surgical specimen</w:t>
      </w:r>
      <w:r w:rsidR="00FE014F" w:rsidRPr="00E35F4D">
        <w:rPr>
          <w:sz w:val="20"/>
          <w:szCs w:val="20"/>
          <w:lang w:bidi="ar-SA"/>
        </w:rPr>
        <w:t xml:space="preserve"> in the primary tumor and in the lymph nodes (pT0N0)</w:t>
      </w:r>
      <w:r w:rsidR="00A734FD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was defined as a </w:t>
      </w:r>
      <w:proofErr w:type="spellStart"/>
      <w:r w:rsidRPr="00E35F4D">
        <w:rPr>
          <w:sz w:val="20"/>
          <w:szCs w:val="20"/>
          <w:lang w:bidi="ar-SA"/>
        </w:rPr>
        <w:t>pCR</w:t>
      </w:r>
      <w:proofErr w:type="spellEnd"/>
      <w:r w:rsidRPr="00E35F4D">
        <w:rPr>
          <w:sz w:val="20"/>
          <w:szCs w:val="20"/>
          <w:lang w:bidi="ar-SA"/>
        </w:rPr>
        <w:t xml:space="preserve">. </w:t>
      </w:r>
      <w:r w:rsidR="00A734FD" w:rsidRPr="00E35F4D">
        <w:rPr>
          <w:sz w:val="20"/>
          <w:szCs w:val="20"/>
          <w:lang w:bidi="ar-SA"/>
        </w:rPr>
        <w:t xml:space="preserve">Potential predictive factors for </w:t>
      </w:r>
      <w:proofErr w:type="spellStart"/>
      <w:r w:rsidR="00A734FD" w:rsidRPr="00E35F4D">
        <w:rPr>
          <w:sz w:val="20"/>
          <w:szCs w:val="20"/>
          <w:lang w:bidi="ar-SA"/>
        </w:rPr>
        <w:t>pCR</w:t>
      </w:r>
      <w:proofErr w:type="spellEnd"/>
      <w:r w:rsidR="00A734FD" w:rsidRPr="00E35F4D">
        <w:rPr>
          <w:sz w:val="20"/>
          <w:szCs w:val="20"/>
          <w:lang w:bidi="ar-SA"/>
        </w:rPr>
        <w:t xml:space="preserve"> were evaluated using a chi-square test. </w:t>
      </w:r>
      <w:r w:rsidRPr="00E35F4D">
        <w:rPr>
          <w:sz w:val="20"/>
          <w:szCs w:val="20"/>
          <w:lang w:bidi="ar-SA"/>
        </w:rPr>
        <w:t>L</w:t>
      </w:r>
      <w:r w:rsidR="00971498" w:rsidRPr="00E35F4D">
        <w:rPr>
          <w:sz w:val="20"/>
          <w:szCs w:val="20"/>
          <w:lang w:bidi="ar-SA"/>
        </w:rPr>
        <w:t xml:space="preserve">owering the T or N stage between the pretreatment clinical stage and the </w:t>
      </w:r>
      <w:r w:rsidR="00A74E2A" w:rsidRPr="00E35F4D">
        <w:rPr>
          <w:sz w:val="20"/>
          <w:szCs w:val="20"/>
          <w:lang w:bidi="ar-SA"/>
        </w:rPr>
        <w:t>postoperative</w:t>
      </w:r>
      <w:r w:rsidR="00971498" w:rsidRPr="00E35F4D">
        <w:rPr>
          <w:sz w:val="20"/>
          <w:szCs w:val="20"/>
          <w:lang w:bidi="ar-SA"/>
        </w:rPr>
        <w:t xml:space="preserve"> pathologic stage</w:t>
      </w:r>
      <w:r w:rsidR="002B4DD4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was encountered as tumor </w:t>
      </w:r>
      <w:proofErr w:type="spellStart"/>
      <w:r w:rsidRPr="00E35F4D">
        <w:rPr>
          <w:sz w:val="20"/>
          <w:szCs w:val="20"/>
          <w:lang w:bidi="ar-SA"/>
        </w:rPr>
        <w:t>downstaging</w:t>
      </w:r>
      <w:proofErr w:type="spellEnd"/>
      <w:r w:rsidRPr="00E35F4D">
        <w:rPr>
          <w:sz w:val="20"/>
          <w:szCs w:val="20"/>
          <w:lang w:bidi="ar-SA"/>
        </w:rPr>
        <w:t>.</w:t>
      </w:r>
    </w:p>
    <w:p w:rsidR="002C04AA" w:rsidRPr="00E35F4D" w:rsidRDefault="00EC47DA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</w:rPr>
        <w:t xml:space="preserve">Overall survival was defined as the time from </w:t>
      </w:r>
      <w:r w:rsidR="008A1457" w:rsidRPr="00E35F4D">
        <w:rPr>
          <w:sz w:val="20"/>
          <w:szCs w:val="20"/>
        </w:rPr>
        <w:t xml:space="preserve">the </w:t>
      </w:r>
      <w:r w:rsidR="005A3D52" w:rsidRPr="00E35F4D">
        <w:rPr>
          <w:sz w:val="20"/>
          <w:szCs w:val="20"/>
        </w:rPr>
        <w:t xml:space="preserve">date of diagnosis </w:t>
      </w:r>
      <w:r w:rsidRPr="00E35F4D">
        <w:rPr>
          <w:sz w:val="20"/>
          <w:szCs w:val="20"/>
        </w:rPr>
        <w:t xml:space="preserve">to the documented date of death or last follow-up. The </w:t>
      </w:r>
      <w:r w:rsidR="005B7D72" w:rsidRPr="00E35F4D">
        <w:rPr>
          <w:sz w:val="20"/>
          <w:szCs w:val="20"/>
        </w:rPr>
        <w:t>disease free survival (</w:t>
      </w:r>
      <w:r w:rsidRPr="00E35F4D">
        <w:rPr>
          <w:sz w:val="20"/>
          <w:szCs w:val="20"/>
        </w:rPr>
        <w:t>DFS</w:t>
      </w:r>
      <w:r w:rsidR="005B7D72" w:rsidRPr="00E35F4D">
        <w:rPr>
          <w:sz w:val="20"/>
          <w:szCs w:val="20"/>
        </w:rPr>
        <w:t>)</w:t>
      </w:r>
      <w:r w:rsidRPr="00E35F4D">
        <w:rPr>
          <w:sz w:val="20"/>
          <w:szCs w:val="20"/>
        </w:rPr>
        <w:t xml:space="preserve"> was </w:t>
      </w:r>
      <w:r w:rsidR="009C2AC4" w:rsidRPr="00E35F4D">
        <w:rPr>
          <w:sz w:val="20"/>
          <w:szCs w:val="20"/>
        </w:rPr>
        <w:t xml:space="preserve">calculated </w:t>
      </w:r>
      <w:r w:rsidRPr="00E35F4D">
        <w:rPr>
          <w:sz w:val="20"/>
          <w:szCs w:val="20"/>
        </w:rPr>
        <w:t xml:space="preserve">from </w:t>
      </w:r>
      <w:r w:rsidR="009C2AC4" w:rsidRPr="00E35F4D">
        <w:rPr>
          <w:sz w:val="20"/>
          <w:szCs w:val="20"/>
        </w:rPr>
        <w:t xml:space="preserve">the date of </w:t>
      </w:r>
      <w:r w:rsidRPr="00E35F4D">
        <w:rPr>
          <w:sz w:val="20"/>
          <w:szCs w:val="20"/>
        </w:rPr>
        <w:t xml:space="preserve">treatment to the documentation of disease </w:t>
      </w:r>
      <w:r w:rsidR="00A734FD" w:rsidRPr="00E35F4D">
        <w:rPr>
          <w:sz w:val="20"/>
          <w:szCs w:val="20"/>
        </w:rPr>
        <w:t>recurrence o</w:t>
      </w:r>
      <w:r w:rsidRPr="00E35F4D">
        <w:rPr>
          <w:sz w:val="20"/>
          <w:szCs w:val="20"/>
        </w:rPr>
        <w:t xml:space="preserve">r the date of last follow-up. </w:t>
      </w:r>
      <w:r w:rsidR="00A734FD" w:rsidRPr="00E35F4D">
        <w:rPr>
          <w:sz w:val="20"/>
          <w:szCs w:val="20"/>
          <w:lang w:bidi="ar-SA"/>
        </w:rPr>
        <w:t xml:space="preserve">Loco-regional recurrence was defined as the evidence of tumor in the pelvis or perineum or at </w:t>
      </w:r>
      <w:r w:rsidR="00A734FD" w:rsidRPr="00E35F4D">
        <w:rPr>
          <w:sz w:val="20"/>
          <w:szCs w:val="20"/>
          <w:lang w:bidi="ar-SA"/>
        </w:rPr>
        <w:lastRenderedPageBreak/>
        <w:t xml:space="preserve">the </w:t>
      </w:r>
      <w:proofErr w:type="spellStart"/>
      <w:r w:rsidR="00A734FD" w:rsidRPr="00E35F4D">
        <w:rPr>
          <w:sz w:val="20"/>
          <w:szCs w:val="20"/>
          <w:lang w:bidi="ar-SA"/>
        </w:rPr>
        <w:t>anastomotic</w:t>
      </w:r>
      <w:proofErr w:type="spellEnd"/>
      <w:r w:rsidR="00A734FD" w:rsidRPr="00E35F4D">
        <w:rPr>
          <w:sz w:val="20"/>
          <w:szCs w:val="20"/>
          <w:lang w:bidi="ar-SA"/>
        </w:rPr>
        <w:t xml:space="preserve"> site as diagnosed by clinical, radiologic, or pathologic examinations. Distant </w:t>
      </w:r>
      <w:r w:rsidR="00255A42" w:rsidRPr="00E35F4D">
        <w:rPr>
          <w:sz w:val="20"/>
          <w:szCs w:val="20"/>
          <w:lang w:bidi="ar-SA"/>
        </w:rPr>
        <w:t>metastases were</w:t>
      </w:r>
      <w:r w:rsidR="00A734FD" w:rsidRPr="00E35F4D">
        <w:rPr>
          <w:sz w:val="20"/>
          <w:szCs w:val="20"/>
          <w:lang w:bidi="ar-SA"/>
        </w:rPr>
        <w:t xml:space="preserve"> defined as evidence of tumor in any other area.</w:t>
      </w:r>
    </w:p>
    <w:p w:rsidR="00971498" w:rsidRPr="00E35F4D" w:rsidRDefault="00971498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Survival rates were estimated</w:t>
      </w:r>
      <w:r w:rsidR="00E67DC5" w:rsidRPr="00E35F4D">
        <w:rPr>
          <w:sz w:val="20"/>
          <w:szCs w:val="20"/>
          <w:lang w:bidi="ar-SA"/>
        </w:rPr>
        <w:t xml:space="preserve"> by the Kaplan-Meier method and </w:t>
      </w:r>
      <w:r w:rsidRPr="00E35F4D">
        <w:rPr>
          <w:sz w:val="20"/>
          <w:szCs w:val="20"/>
          <w:lang w:bidi="ar-SA"/>
        </w:rPr>
        <w:t>a p-value</w:t>
      </w:r>
      <w:r w:rsidR="002C04AA" w:rsidRPr="00E35F4D">
        <w:rPr>
          <w:sz w:val="20"/>
          <w:szCs w:val="20"/>
          <w:lang w:bidi="ar-SA"/>
        </w:rPr>
        <w:t xml:space="preserve"> &lt;</w:t>
      </w:r>
      <w:r w:rsidRPr="00E35F4D">
        <w:rPr>
          <w:sz w:val="20"/>
          <w:szCs w:val="20"/>
          <w:lang w:bidi="ar-SA"/>
        </w:rPr>
        <w:t>0.05 was considered statistically significant. All analyses were performed using SPSS</w:t>
      </w:r>
      <w:r w:rsidR="00CB07BE" w:rsidRPr="00E35F4D">
        <w:rPr>
          <w:rStyle w:val="Heading1Char"/>
          <w:sz w:val="20"/>
          <w:szCs w:val="20"/>
        </w:rPr>
        <w:t xml:space="preserve"> </w:t>
      </w:r>
      <w:r w:rsidR="00CB07BE" w:rsidRPr="00E35F4D">
        <w:rPr>
          <w:rStyle w:val="st"/>
          <w:sz w:val="20"/>
          <w:szCs w:val="20"/>
        </w:rPr>
        <w:t>(Statistical Package for the Social Sciences)</w:t>
      </w:r>
      <w:r w:rsidRPr="00E35F4D">
        <w:rPr>
          <w:sz w:val="20"/>
          <w:szCs w:val="20"/>
          <w:lang w:bidi="ar-SA"/>
        </w:rPr>
        <w:t xml:space="preserve"> version 21.0 (SPSS Inc., Chicago, IL).</w:t>
      </w:r>
    </w:p>
    <w:p w:rsidR="00E614BC" w:rsidRPr="00E35F4D" w:rsidRDefault="00E614BC" w:rsidP="002B2928">
      <w:pPr>
        <w:snapToGrid w:val="0"/>
        <w:jc w:val="both"/>
        <w:rPr>
          <w:b/>
          <w:bCs/>
          <w:sz w:val="20"/>
          <w:szCs w:val="20"/>
        </w:rPr>
      </w:pPr>
    </w:p>
    <w:p w:rsidR="00931C6A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3. </w:t>
      </w:r>
      <w:r w:rsidR="00931C6A" w:rsidRPr="00E35F4D">
        <w:rPr>
          <w:b/>
          <w:bCs/>
          <w:sz w:val="20"/>
          <w:szCs w:val="20"/>
        </w:rPr>
        <w:t>Results</w:t>
      </w:r>
    </w:p>
    <w:p w:rsidR="00C734F9" w:rsidRPr="00E35F4D" w:rsidRDefault="00C734F9" w:rsidP="002B2928">
      <w:pPr>
        <w:snapToGrid w:val="0"/>
        <w:jc w:val="both"/>
        <w:rPr>
          <w:b/>
          <w:bCs/>
          <w:i/>
          <w:iCs/>
          <w:sz w:val="20"/>
          <w:szCs w:val="20"/>
          <w:lang w:bidi="ar-SA"/>
        </w:rPr>
      </w:pPr>
      <w:r w:rsidRPr="00E35F4D">
        <w:rPr>
          <w:b/>
          <w:bCs/>
          <w:i/>
          <w:iCs/>
          <w:sz w:val="20"/>
          <w:szCs w:val="20"/>
          <w:lang w:bidi="ar-SA"/>
        </w:rPr>
        <w:t>Patients and tumor characteristics</w:t>
      </w:r>
    </w:p>
    <w:p w:rsidR="00EC47DA" w:rsidRPr="00E35F4D" w:rsidRDefault="00EC47DA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Pati</w:t>
      </w:r>
      <w:r w:rsidR="00A91520" w:rsidRPr="00E35F4D">
        <w:rPr>
          <w:sz w:val="20"/>
          <w:szCs w:val="20"/>
          <w:lang w:bidi="ar-SA"/>
        </w:rPr>
        <w:t>ent</w:t>
      </w:r>
      <w:r w:rsidR="009A65D6" w:rsidRPr="00E35F4D">
        <w:rPr>
          <w:sz w:val="20"/>
          <w:szCs w:val="20"/>
          <w:lang w:bidi="ar-SA"/>
        </w:rPr>
        <w:t>s and tumor</w:t>
      </w:r>
      <w:r w:rsidR="00A91520" w:rsidRPr="00E35F4D">
        <w:rPr>
          <w:sz w:val="20"/>
          <w:szCs w:val="20"/>
          <w:lang w:bidi="ar-SA"/>
        </w:rPr>
        <w:t xml:space="preserve"> characteristics are </w:t>
      </w:r>
      <w:r w:rsidR="009A65D6" w:rsidRPr="00E35F4D">
        <w:rPr>
          <w:sz w:val="20"/>
          <w:szCs w:val="20"/>
          <w:lang w:bidi="ar-SA"/>
        </w:rPr>
        <w:t>shown</w:t>
      </w:r>
      <w:r w:rsidRPr="00E35F4D">
        <w:rPr>
          <w:sz w:val="20"/>
          <w:szCs w:val="20"/>
          <w:lang w:bidi="ar-SA"/>
        </w:rPr>
        <w:t xml:space="preserve"> in Table 1.</w:t>
      </w:r>
      <w:r w:rsidR="004D36F6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</w:rPr>
        <w:t>The median age of our patients was 51 years (rang</w:t>
      </w:r>
      <w:r w:rsidR="0072529A" w:rsidRPr="00E35F4D">
        <w:rPr>
          <w:sz w:val="20"/>
          <w:szCs w:val="20"/>
        </w:rPr>
        <w:t>e, 28-64) with mean ±SD 49.2±10, 58.1</w:t>
      </w:r>
      <w:r w:rsidRPr="00E35F4D">
        <w:rPr>
          <w:sz w:val="20"/>
          <w:szCs w:val="20"/>
        </w:rPr>
        <w:t>% of studied patients were males with male to female ratio were 1.4:1.</w:t>
      </w:r>
    </w:p>
    <w:p w:rsidR="00EC47DA" w:rsidRPr="00E35F4D" w:rsidRDefault="00EC47DA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The median distance of the tumor</w:t>
      </w:r>
      <w:r w:rsidRPr="00E35F4D">
        <w:rPr>
          <w:b/>
          <w:bCs/>
          <w:sz w:val="20"/>
          <w:szCs w:val="20"/>
        </w:rPr>
        <w:t xml:space="preserve"> </w:t>
      </w:r>
      <w:r w:rsidRPr="00E35F4D">
        <w:rPr>
          <w:sz w:val="20"/>
          <w:szCs w:val="20"/>
        </w:rPr>
        <w:t>from anal verge for all patients was 5 cm (range, 2-11 cm), with 61.3% of the patients had their malignancy in the low</w:t>
      </w:r>
      <w:r w:rsidR="00255A42" w:rsidRPr="00E35F4D">
        <w:rPr>
          <w:sz w:val="20"/>
          <w:szCs w:val="20"/>
        </w:rPr>
        <w:t>er</w:t>
      </w:r>
      <w:r w:rsidRPr="00E35F4D">
        <w:rPr>
          <w:sz w:val="20"/>
          <w:szCs w:val="20"/>
        </w:rPr>
        <w:t xml:space="preserve"> rectum with a distance from anal verge </w:t>
      </w:r>
      <w:r w:rsidRPr="00E35F4D">
        <w:rPr>
          <w:rFonts w:eastAsia="YMjO11-Identity-H"/>
          <w:sz w:val="20"/>
          <w:szCs w:val="20"/>
        </w:rPr>
        <w:t>≤</w:t>
      </w:r>
      <w:r w:rsidRPr="00E35F4D">
        <w:rPr>
          <w:sz w:val="20"/>
          <w:szCs w:val="20"/>
        </w:rPr>
        <w:t>5 centimeters. The median tumor</w:t>
      </w:r>
      <w:r w:rsidRPr="00E35F4D">
        <w:rPr>
          <w:b/>
          <w:bCs/>
          <w:sz w:val="20"/>
          <w:szCs w:val="20"/>
        </w:rPr>
        <w:t xml:space="preserve"> </w:t>
      </w:r>
      <w:r w:rsidRPr="00E35F4D">
        <w:rPr>
          <w:sz w:val="20"/>
          <w:szCs w:val="20"/>
        </w:rPr>
        <w:t>size in all patients was 5 cm (range, 3-10 cm) and the median circumferential tumor extent was 50% (range, 30-80%). Circumferential tumor extent involved more than 50% of the rectal lumen was represented in 45.2% of patients.</w:t>
      </w:r>
    </w:p>
    <w:p w:rsidR="00EC47DA" w:rsidRPr="00E35F4D" w:rsidRDefault="00EC47DA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The median time interval between preoperative </w:t>
      </w:r>
      <w:r w:rsidR="00A2226C" w:rsidRPr="00E35F4D">
        <w:rPr>
          <w:sz w:val="20"/>
          <w:szCs w:val="20"/>
        </w:rPr>
        <w:t xml:space="preserve">concomitant </w:t>
      </w:r>
      <w:r w:rsidRPr="00E35F4D">
        <w:rPr>
          <w:sz w:val="20"/>
          <w:szCs w:val="20"/>
        </w:rPr>
        <w:t>CRT and surgery in all patients was 6 weeks (range, 4-10 weeks) and in 74.2% of patients</w:t>
      </w:r>
      <w:r w:rsidR="00A91520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surgical procedures had performed within </w:t>
      </w:r>
      <w:r w:rsidRPr="00E35F4D">
        <w:rPr>
          <w:rFonts w:eastAsia="YMjO11-Identity-H"/>
          <w:sz w:val="20"/>
          <w:szCs w:val="20"/>
        </w:rPr>
        <w:t xml:space="preserve">≤ </w:t>
      </w:r>
      <w:r w:rsidRPr="00E35F4D">
        <w:rPr>
          <w:sz w:val="20"/>
          <w:szCs w:val="20"/>
        </w:rPr>
        <w:t>6 weeks from the end of th</w:t>
      </w:r>
      <w:r w:rsidR="00A2226C" w:rsidRPr="00E35F4D">
        <w:rPr>
          <w:sz w:val="20"/>
          <w:szCs w:val="20"/>
        </w:rPr>
        <w:t xml:space="preserve">e </w:t>
      </w:r>
      <w:proofErr w:type="spellStart"/>
      <w:r w:rsidR="00A2226C" w:rsidRPr="00E35F4D">
        <w:rPr>
          <w:sz w:val="20"/>
          <w:szCs w:val="20"/>
        </w:rPr>
        <w:t>neoadjuvant</w:t>
      </w:r>
      <w:proofErr w:type="spellEnd"/>
      <w:r w:rsidR="00A2226C" w:rsidRPr="00E35F4D">
        <w:rPr>
          <w:sz w:val="20"/>
          <w:szCs w:val="20"/>
        </w:rPr>
        <w:t xml:space="preserve"> concomitant </w:t>
      </w:r>
      <w:r w:rsidRPr="00E35F4D">
        <w:rPr>
          <w:sz w:val="20"/>
          <w:szCs w:val="20"/>
        </w:rPr>
        <w:t>CRT.</w:t>
      </w:r>
    </w:p>
    <w:p w:rsidR="009B1AE2" w:rsidRPr="00E35F4D" w:rsidRDefault="009B1AE2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Tumor response</w:t>
      </w:r>
    </w:p>
    <w:p w:rsidR="009B1AE2" w:rsidRPr="00E35F4D" w:rsidRDefault="009B1AE2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Through radiological assessment </w:t>
      </w:r>
      <w:r w:rsidRPr="00E35F4D">
        <w:rPr>
          <w:sz w:val="20"/>
          <w:szCs w:val="20"/>
          <w:lang w:bidi="ar-SA"/>
        </w:rPr>
        <w:t xml:space="preserve">by </w:t>
      </w:r>
      <w:r w:rsidRPr="00E35F4D">
        <w:rPr>
          <w:sz w:val="20"/>
          <w:szCs w:val="20"/>
        </w:rPr>
        <w:t>CT</w:t>
      </w:r>
      <w:r w:rsidRPr="00E35F4D">
        <w:rPr>
          <w:sz w:val="20"/>
          <w:szCs w:val="20"/>
          <w:lang w:bidi="ar-SA"/>
        </w:rPr>
        <w:t xml:space="preserve"> and/or MRI</w:t>
      </w:r>
      <w:r w:rsidRPr="00E35F4D">
        <w:rPr>
          <w:sz w:val="20"/>
          <w:szCs w:val="20"/>
        </w:rPr>
        <w:t xml:space="preserve"> scan of the clinical response following the </w:t>
      </w:r>
      <w:proofErr w:type="spellStart"/>
      <w:r w:rsidRPr="00E35F4D">
        <w:rPr>
          <w:sz w:val="20"/>
          <w:szCs w:val="20"/>
        </w:rPr>
        <w:t>neoadjuvant</w:t>
      </w:r>
      <w:proofErr w:type="spellEnd"/>
      <w:r w:rsidRPr="00E35F4D">
        <w:rPr>
          <w:sz w:val="20"/>
          <w:szCs w:val="20"/>
        </w:rPr>
        <w:t xml:space="preserve"> therapy, only 2 (6.5%) patients achieved CR, 15 (48.4%) patients achieved PR with overall response rate </w:t>
      </w:r>
      <w:r w:rsidRPr="00E35F4D">
        <w:rPr>
          <w:sz w:val="20"/>
          <w:szCs w:val="20"/>
          <w:lang w:bidi="ar-SA"/>
        </w:rPr>
        <w:t>(CR+PR)</w:t>
      </w:r>
      <w:r w:rsidRPr="00E35F4D">
        <w:rPr>
          <w:sz w:val="20"/>
          <w:szCs w:val="20"/>
        </w:rPr>
        <w:t xml:space="preserve"> was 54.8%. None of the patients had progressed during the course of treatment. Pathologically </w:t>
      </w:r>
      <w:proofErr w:type="spellStart"/>
      <w:r w:rsidRPr="00E35F4D">
        <w:rPr>
          <w:sz w:val="20"/>
          <w:szCs w:val="20"/>
        </w:rPr>
        <w:t>downstaging</w:t>
      </w:r>
      <w:proofErr w:type="spellEnd"/>
      <w:r w:rsidRPr="00E35F4D">
        <w:rPr>
          <w:sz w:val="20"/>
          <w:szCs w:val="20"/>
        </w:rPr>
        <w:t xml:space="preserve"> of T stage was achieved in 61.3%; </w:t>
      </w:r>
      <w:proofErr w:type="spellStart"/>
      <w:r w:rsidRPr="00E35F4D">
        <w:rPr>
          <w:sz w:val="20"/>
          <w:szCs w:val="20"/>
        </w:rPr>
        <w:t>downstaging</w:t>
      </w:r>
      <w:proofErr w:type="spellEnd"/>
      <w:r w:rsidRPr="00E35F4D">
        <w:rPr>
          <w:sz w:val="20"/>
          <w:szCs w:val="20"/>
        </w:rPr>
        <w:t xml:space="preserve"> of N stage was achieved in 51.6% of all patients with 19.4% achieved </w:t>
      </w:r>
      <w:proofErr w:type="spellStart"/>
      <w:r w:rsidRPr="00E35F4D">
        <w:rPr>
          <w:sz w:val="20"/>
          <w:szCs w:val="20"/>
          <w:lang w:bidi="ar-SA"/>
        </w:rPr>
        <w:t>pCR</w:t>
      </w:r>
      <w:proofErr w:type="spellEnd"/>
      <w:r w:rsidRPr="00E35F4D">
        <w:rPr>
          <w:sz w:val="20"/>
          <w:szCs w:val="20"/>
        </w:rPr>
        <w:t xml:space="preserve"> without residual pathologic disease in the primary tumor site or the LNs (pT0N0), (Table 2). None of the predictive variables had significantly affected the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rate (Table 3).</w:t>
      </w:r>
    </w:p>
    <w:p w:rsidR="002B2928" w:rsidRPr="00E35F4D" w:rsidRDefault="009B1AE2" w:rsidP="002B2928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</w:rPr>
      </w:pPr>
      <w:r w:rsidRPr="00E35F4D">
        <w:rPr>
          <w:sz w:val="20"/>
          <w:szCs w:val="20"/>
        </w:rPr>
        <w:t xml:space="preserve">Out of 31 rectal cancer patients, sphincter-saving surgical procedure (LAR) had been performed for 20 (64.5%) patients while the more invasive surgical procedure (APR) had been performed for 11 (35.5%) patients. Out of 19 patients with tumors situated in a distance </w:t>
      </w:r>
      <w:r w:rsidRPr="00E35F4D">
        <w:rPr>
          <w:rFonts w:eastAsia="YMjO11-Identity-H"/>
          <w:sz w:val="20"/>
          <w:szCs w:val="20"/>
        </w:rPr>
        <w:t>≤</w:t>
      </w:r>
      <w:r w:rsidRPr="00E35F4D">
        <w:rPr>
          <w:sz w:val="20"/>
          <w:szCs w:val="20"/>
        </w:rPr>
        <w:t>5</w:t>
      </w:r>
      <w:r w:rsidRPr="00E35F4D">
        <w:rPr>
          <w:b/>
          <w:bCs/>
          <w:sz w:val="20"/>
          <w:szCs w:val="20"/>
        </w:rPr>
        <w:t xml:space="preserve"> </w:t>
      </w:r>
      <w:r w:rsidRPr="00E35F4D">
        <w:rPr>
          <w:sz w:val="20"/>
          <w:szCs w:val="20"/>
        </w:rPr>
        <w:t>cm from the anal verge, LAR underwent in 9 (47.4%) patients of them and APR underwent for 10 (52.6%) patients (</w:t>
      </w:r>
      <w:r w:rsidRPr="00E35F4D">
        <w:rPr>
          <w:i/>
          <w:iCs/>
          <w:sz w:val="20"/>
          <w:szCs w:val="20"/>
        </w:rPr>
        <w:t>p</w:t>
      </w:r>
      <w:r w:rsidRPr="00E35F4D">
        <w:rPr>
          <w:sz w:val="20"/>
          <w:szCs w:val="20"/>
        </w:rPr>
        <w:t>=0.014).</w:t>
      </w:r>
      <w:r w:rsidRPr="00E35F4D">
        <w:rPr>
          <w:sz w:val="20"/>
          <w:szCs w:val="20"/>
          <w:lang w:bidi="ar-SA"/>
        </w:rPr>
        <w:t xml:space="preserve"> Twenty-nine patients had a radical R0 resection </w:t>
      </w:r>
      <w:r w:rsidRPr="00E35F4D">
        <w:rPr>
          <w:sz w:val="20"/>
          <w:szCs w:val="20"/>
        </w:rPr>
        <w:t>and</w:t>
      </w:r>
      <w:r w:rsidRPr="00E35F4D">
        <w:rPr>
          <w:sz w:val="20"/>
          <w:szCs w:val="20"/>
          <w:lang w:bidi="ar-SA"/>
        </w:rPr>
        <w:t xml:space="preserve"> the two patients with R1 resection were operated with APR.</w:t>
      </w:r>
    </w:p>
    <w:p w:rsidR="002B2928" w:rsidRPr="00E35F4D" w:rsidRDefault="002B2928" w:rsidP="002B2928">
      <w:pPr>
        <w:snapToGrid w:val="0"/>
        <w:jc w:val="both"/>
        <w:rPr>
          <w:b/>
          <w:bCs/>
          <w:sz w:val="20"/>
          <w:szCs w:val="20"/>
        </w:rPr>
        <w:sectPr w:rsidR="002B2928" w:rsidRPr="00E35F4D" w:rsidSect="002B2928">
          <w:headerReference w:type="default" r:id="rId13"/>
          <w:footerReference w:type="default" r:id="rId14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931C6A" w:rsidRPr="00E35F4D" w:rsidRDefault="00931C6A" w:rsidP="002B2928">
      <w:pPr>
        <w:snapToGrid w:val="0"/>
        <w:jc w:val="center"/>
        <w:rPr>
          <w:b/>
          <w:bCs/>
          <w:sz w:val="20"/>
          <w:szCs w:val="20"/>
        </w:rPr>
      </w:pPr>
      <w:proofErr w:type="gramStart"/>
      <w:r w:rsidRPr="00E35F4D">
        <w:rPr>
          <w:b/>
          <w:bCs/>
          <w:sz w:val="20"/>
          <w:szCs w:val="20"/>
        </w:rPr>
        <w:lastRenderedPageBreak/>
        <w:t>Table 1</w:t>
      </w:r>
      <w:r w:rsidR="00BA2E25" w:rsidRPr="00E35F4D">
        <w:rPr>
          <w:b/>
          <w:bCs/>
          <w:sz w:val="20"/>
          <w:szCs w:val="20"/>
        </w:rPr>
        <w:t>:</w:t>
      </w:r>
      <w:r w:rsidRPr="00E35F4D">
        <w:rPr>
          <w:b/>
          <w:bCs/>
          <w:sz w:val="20"/>
          <w:szCs w:val="20"/>
        </w:rPr>
        <w:t xml:space="preserve"> Patient</w:t>
      </w:r>
      <w:r w:rsidR="0064253C" w:rsidRPr="00E35F4D">
        <w:rPr>
          <w:b/>
          <w:bCs/>
          <w:sz w:val="20"/>
          <w:szCs w:val="20"/>
        </w:rPr>
        <w:t>s</w:t>
      </w:r>
      <w:r w:rsidR="009429A4" w:rsidRPr="00E35F4D">
        <w:rPr>
          <w:b/>
          <w:bCs/>
          <w:sz w:val="20"/>
          <w:szCs w:val="20"/>
        </w:rPr>
        <w:t xml:space="preserve"> and tumor </w:t>
      </w:r>
      <w:r w:rsidRPr="00E35F4D">
        <w:rPr>
          <w:b/>
          <w:bCs/>
          <w:sz w:val="20"/>
          <w:szCs w:val="20"/>
        </w:rPr>
        <w:t>characteristics.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7"/>
        <w:gridCol w:w="1459"/>
        <w:gridCol w:w="1642"/>
      </w:tblGrid>
      <w:tr w:rsidR="00931C6A" w:rsidRPr="00E35F4D" w:rsidTr="002B2928">
        <w:trPr>
          <w:trHeight w:val="20"/>
          <w:jc w:val="center"/>
        </w:trPr>
        <w:tc>
          <w:tcPr>
            <w:tcW w:w="5507" w:type="dxa"/>
          </w:tcPr>
          <w:p w:rsidR="00931C6A" w:rsidRPr="00E35F4D" w:rsidRDefault="00931C6A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characteristics</w:t>
            </w:r>
          </w:p>
        </w:tc>
        <w:tc>
          <w:tcPr>
            <w:tcW w:w="1459" w:type="dxa"/>
            <w:hideMark/>
          </w:tcPr>
          <w:p w:rsidR="00931C6A" w:rsidRPr="00E35F4D" w:rsidRDefault="00931C6A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No.</w:t>
            </w:r>
          </w:p>
        </w:tc>
        <w:tc>
          <w:tcPr>
            <w:tcW w:w="1642" w:type="dxa"/>
            <w:hideMark/>
          </w:tcPr>
          <w:p w:rsidR="00931C6A" w:rsidRPr="00E35F4D" w:rsidRDefault="00931C6A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A2226C" w:rsidRPr="00E35F4D" w:rsidRDefault="00461EAB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Patients age (years):</w:t>
            </w:r>
          </w:p>
          <w:p w:rsidR="00A2226C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Median 51</w:t>
            </w:r>
            <w:r w:rsidR="002B2928"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color w:val="000000"/>
                <w:sz w:val="19"/>
                <w:szCs w:val="19"/>
              </w:rPr>
              <w:t>(range, 28-64</w:t>
            </w:r>
            <w:r w:rsidR="00A2226C" w:rsidRPr="00E35F4D">
              <w:rPr>
                <w:color w:val="000000"/>
                <w:sz w:val="19"/>
                <w:szCs w:val="19"/>
              </w:rPr>
              <w:t>)</w:t>
            </w:r>
          </w:p>
          <w:p w:rsidR="00461EAB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proofErr w:type="spellStart"/>
            <w:r w:rsidRPr="00E35F4D">
              <w:rPr>
                <w:color w:val="000000"/>
                <w:sz w:val="19"/>
                <w:szCs w:val="19"/>
              </w:rPr>
              <w:t>Mean±SD</w:t>
            </w:r>
            <w:proofErr w:type="spellEnd"/>
            <w:r w:rsidRPr="00E35F4D">
              <w:rPr>
                <w:color w:val="000000"/>
                <w:sz w:val="19"/>
                <w:szCs w:val="19"/>
              </w:rPr>
              <w:t xml:space="preserve"> 49.2 ±10</w:t>
            </w:r>
          </w:p>
        </w:tc>
      </w:tr>
      <w:tr w:rsidR="00931C6A" w:rsidRPr="00E35F4D" w:rsidTr="002B2928">
        <w:trPr>
          <w:trHeight w:val="20"/>
          <w:jc w:val="center"/>
        </w:trPr>
        <w:tc>
          <w:tcPr>
            <w:tcW w:w="5507" w:type="dxa"/>
          </w:tcPr>
          <w:p w:rsidR="000C7D97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Pr="00E35F4D">
              <w:rPr>
                <w:color w:val="000000"/>
                <w:sz w:val="19"/>
                <w:szCs w:val="19"/>
              </w:rPr>
              <w:t>50</w:t>
            </w:r>
          </w:p>
          <w:p w:rsidR="00931C6A" w:rsidRPr="00E35F4D" w:rsidRDefault="00A87031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&gt;50</w:t>
            </w:r>
          </w:p>
        </w:tc>
        <w:tc>
          <w:tcPr>
            <w:tcW w:w="1459" w:type="dxa"/>
            <w:vAlign w:val="center"/>
          </w:tcPr>
          <w:p w:rsidR="00A248FB" w:rsidRPr="00E35F4D" w:rsidRDefault="00A248F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16</w:t>
            </w:r>
          </w:p>
          <w:p w:rsidR="00931C6A" w:rsidRPr="00E35F4D" w:rsidRDefault="00A248F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642" w:type="dxa"/>
            <w:vAlign w:val="center"/>
          </w:tcPr>
          <w:p w:rsidR="00A248FB" w:rsidRPr="00E35F4D" w:rsidRDefault="00A248F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51.6</w:t>
            </w:r>
          </w:p>
          <w:p w:rsidR="00931C6A" w:rsidRPr="00E35F4D" w:rsidRDefault="00A248F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48.4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461EAB" w:rsidRPr="00E35F4D" w:rsidRDefault="00461EAB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Gender</w:t>
            </w:r>
          </w:p>
        </w:tc>
      </w:tr>
      <w:tr w:rsidR="0064253C" w:rsidRPr="00E35F4D" w:rsidTr="002B2928">
        <w:trPr>
          <w:trHeight w:val="20"/>
          <w:jc w:val="center"/>
        </w:trPr>
        <w:tc>
          <w:tcPr>
            <w:tcW w:w="5507" w:type="dxa"/>
            <w:vAlign w:val="center"/>
            <w:hideMark/>
          </w:tcPr>
          <w:p w:rsidR="0064253C" w:rsidRPr="00E35F4D" w:rsidRDefault="0064253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Male</w:t>
            </w:r>
          </w:p>
          <w:p w:rsidR="0064253C" w:rsidRPr="00E35F4D" w:rsidRDefault="0064253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Female</w:t>
            </w:r>
          </w:p>
        </w:tc>
        <w:tc>
          <w:tcPr>
            <w:tcW w:w="1459" w:type="dxa"/>
            <w:vAlign w:val="center"/>
          </w:tcPr>
          <w:p w:rsidR="0064253C" w:rsidRPr="00E35F4D" w:rsidRDefault="0064253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18</w:t>
            </w:r>
          </w:p>
          <w:p w:rsidR="0064253C" w:rsidRPr="00E35F4D" w:rsidRDefault="0064253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642" w:type="dxa"/>
            <w:vAlign w:val="center"/>
          </w:tcPr>
          <w:p w:rsidR="0064253C" w:rsidRPr="00E35F4D" w:rsidRDefault="0064253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58.1</w:t>
            </w:r>
          </w:p>
          <w:p w:rsidR="0064253C" w:rsidRPr="00E35F4D" w:rsidRDefault="0064253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41.9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461EAB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ECOG PS</w:t>
            </w:r>
          </w:p>
        </w:tc>
      </w:tr>
      <w:tr w:rsidR="00931C6A" w:rsidRPr="00E35F4D" w:rsidTr="002B2928">
        <w:trPr>
          <w:trHeight w:val="20"/>
          <w:jc w:val="center"/>
        </w:trPr>
        <w:tc>
          <w:tcPr>
            <w:tcW w:w="5507" w:type="dxa"/>
            <w:hideMark/>
          </w:tcPr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0</w:t>
            </w:r>
          </w:p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459" w:type="dxa"/>
            <w:vAlign w:val="center"/>
          </w:tcPr>
          <w:p w:rsidR="00931C6A" w:rsidRPr="00E35F4D" w:rsidRDefault="00D81F0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14</w:t>
            </w:r>
          </w:p>
          <w:p w:rsidR="00D81F06" w:rsidRPr="00E35F4D" w:rsidRDefault="00D81F0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642" w:type="dxa"/>
            <w:vAlign w:val="center"/>
          </w:tcPr>
          <w:p w:rsidR="00931C6A" w:rsidRPr="00E35F4D" w:rsidRDefault="00D81F0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45.2</w:t>
            </w:r>
          </w:p>
          <w:p w:rsidR="00D81F06" w:rsidRPr="00E35F4D" w:rsidRDefault="00D81F0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54.8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  <w:vAlign w:val="center"/>
          </w:tcPr>
          <w:p w:rsidR="00461EAB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Pathological grade</w:t>
            </w:r>
          </w:p>
        </w:tc>
      </w:tr>
      <w:tr w:rsidR="00931C6A" w:rsidRPr="00E35F4D" w:rsidTr="002B2928">
        <w:trPr>
          <w:trHeight w:val="20"/>
          <w:jc w:val="center"/>
        </w:trPr>
        <w:tc>
          <w:tcPr>
            <w:tcW w:w="5507" w:type="dxa"/>
            <w:hideMark/>
          </w:tcPr>
          <w:p w:rsidR="00A24423" w:rsidRPr="00E35F4D" w:rsidRDefault="00A24423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  <w:lang w:bidi="ar-SA"/>
              </w:rPr>
              <w:t>Wel</w:t>
            </w:r>
            <w:r w:rsidR="00A2226C" w:rsidRPr="00E35F4D">
              <w:rPr>
                <w:color w:val="000000"/>
                <w:sz w:val="19"/>
                <w:szCs w:val="19"/>
                <w:lang w:bidi="ar-SA"/>
              </w:rPr>
              <w:t>l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color w:val="000000"/>
                <w:sz w:val="19"/>
                <w:szCs w:val="19"/>
                <w:lang w:bidi="ar-SA"/>
              </w:rPr>
              <w:t>differentiated</w:t>
            </w:r>
          </w:p>
          <w:p w:rsidR="00931C6A" w:rsidRPr="00E35F4D" w:rsidRDefault="00A24423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  <w:lang w:bidi="ar-SA"/>
              </w:rPr>
              <w:t>Moderately differentiated</w:t>
            </w:r>
          </w:p>
          <w:p w:rsidR="00931C6A" w:rsidRPr="00E35F4D" w:rsidRDefault="00A24423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  <w:lang w:bidi="ar-SA"/>
              </w:rPr>
              <w:t>Poorly differentiated</w:t>
            </w:r>
          </w:p>
        </w:tc>
        <w:tc>
          <w:tcPr>
            <w:tcW w:w="1459" w:type="dxa"/>
            <w:vAlign w:val="center"/>
          </w:tcPr>
          <w:p w:rsidR="00931C6A" w:rsidRPr="00E35F4D" w:rsidRDefault="00080E2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</w:t>
            </w:r>
          </w:p>
          <w:p w:rsidR="00080E2C" w:rsidRPr="00E35F4D" w:rsidRDefault="00080E2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20</w:t>
            </w:r>
          </w:p>
          <w:p w:rsidR="00080E2C" w:rsidRPr="00E35F4D" w:rsidRDefault="00080E2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642" w:type="dxa"/>
            <w:vAlign w:val="center"/>
          </w:tcPr>
          <w:p w:rsidR="00080E2C" w:rsidRPr="00E35F4D" w:rsidRDefault="00080E2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19.4</w:t>
            </w:r>
          </w:p>
          <w:p w:rsidR="00080E2C" w:rsidRPr="00E35F4D" w:rsidRDefault="00080E2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64.5</w:t>
            </w:r>
          </w:p>
          <w:p w:rsidR="00931C6A" w:rsidRPr="00E35F4D" w:rsidRDefault="00080E2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16.1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A2226C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Tumor distance from anal verge (cm)</w:t>
            </w:r>
            <w:r w:rsidRPr="00E35F4D">
              <w:rPr>
                <w:color w:val="000000"/>
                <w:sz w:val="19"/>
                <w:szCs w:val="19"/>
              </w:rPr>
              <w:t>:</w:t>
            </w:r>
          </w:p>
          <w:p w:rsidR="00461EAB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Median 5 (range, 2-11)</w:t>
            </w:r>
          </w:p>
        </w:tc>
      </w:tr>
      <w:tr w:rsidR="00931C6A" w:rsidRPr="00E35F4D" w:rsidTr="002B2928">
        <w:trPr>
          <w:trHeight w:val="20"/>
          <w:jc w:val="center"/>
        </w:trPr>
        <w:tc>
          <w:tcPr>
            <w:tcW w:w="5507" w:type="dxa"/>
            <w:hideMark/>
          </w:tcPr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Pr="00E35F4D">
              <w:rPr>
                <w:color w:val="000000"/>
                <w:sz w:val="19"/>
                <w:szCs w:val="19"/>
              </w:rPr>
              <w:t>5</w:t>
            </w:r>
          </w:p>
          <w:p w:rsidR="00931C6A" w:rsidRPr="00E35F4D" w:rsidRDefault="00A87031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&gt;5</w:t>
            </w:r>
          </w:p>
        </w:tc>
        <w:tc>
          <w:tcPr>
            <w:tcW w:w="1459" w:type="dxa"/>
            <w:vAlign w:val="center"/>
          </w:tcPr>
          <w:p w:rsidR="00931C6A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642" w:type="dxa"/>
            <w:vAlign w:val="center"/>
          </w:tcPr>
          <w:p w:rsidR="00931C6A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61.3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38.7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A2226C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Tumor size (cm)</w:t>
            </w:r>
            <w:r w:rsidRPr="00E35F4D">
              <w:rPr>
                <w:color w:val="000000"/>
                <w:sz w:val="19"/>
                <w:szCs w:val="19"/>
              </w:rPr>
              <w:t>:</w:t>
            </w:r>
          </w:p>
          <w:p w:rsidR="00461EAB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Median 5</w:t>
            </w:r>
            <w:r w:rsidR="002B2928"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color w:val="000000"/>
                <w:sz w:val="19"/>
                <w:szCs w:val="19"/>
              </w:rPr>
              <w:t>(range, 3-10)</w:t>
            </w:r>
          </w:p>
        </w:tc>
      </w:tr>
      <w:tr w:rsidR="00931C6A" w:rsidRPr="00E35F4D" w:rsidTr="002B2928">
        <w:trPr>
          <w:trHeight w:val="20"/>
          <w:jc w:val="center"/>
        </w:trPr>
        <w:tc>
          <w:tcPr>
            <w:tcW w:w="5507" w:type="dxa"/>
            <w:hideMark/>
          </w:tcPr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Pr="00E35F4D">
              <w:rPr>
                <w:color w:val="000000"/>
                <w:sz w:val="19"/>
                <w:szCs w:val="19"/>
              </w:rPr>
              <w:t>5</w:t>
            </w:r>
          </w:p>
          <w:p w:rsidR="00931C6A" w:rsidRPr="00E35F4D" w:rsidRDefault="00A87031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&gt;5</w:t>
            </w:r>
          </w:p>
        </w:tc>
        <w:tc>
          <w:tcPr>
            <w:tcW w:w="1459" w:type="dxa"/>
            <w:vAlign w:val="center"/>
          </w:tcPr>
          <w:p w:rsidR="00931C6A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642" w:type="dxa"/>
            <w:vAlign w:val="center"/>
          </w:tcPr>
          <w:p w:rsidR="00931C6A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61.3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38.7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A2226C" w:rsidRPr="00E35F4D" w:rsidRDefault="00461EAB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Circumferential tumor extent (%):</w:t>
            </w:r>
          </w:p>
          <w:p w:rsidR="00461EAB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Median 50 (range, 30-80)</w:t>
            </w:r>
          </w:p>
        </w:tc>
      </w:tr>
      <w:tr w:rsidR="00931C6A" w:rsidRPr="00E35F4D" w:rsidTr="002B2928">
        <w:trPr>
          <w:trHeight w:val="20"/>
          <w:jc w:val="center"/>
        </w:trPr>
        <w:tc>
          <w:tcPr>
            <w:tcW w:w="5507" w:type="dxa"/>
            <w:hideMark/>
          </w:tcPr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Pr="00E35F4D">
              <w:rPr>
                <w:color w:val="000000"/>
                <w:sz w:val="19"/>
                <w:szCs w:val="19"/>
              </w:rPr>
              <w:t>50</w:t>
            </w:r>
          </w:p>
          <w:p w:rsidR="00931C6A" w:rsidRPr="00E35F4D" w:rsidRDefault="00A87031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&gt;</w:t>
            </w:r>
            <w:r w:rsidRPr="00E35F4D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459" w:type="dxa"/>
            <w:vAlign w:val="center"/>
          </w:tcPr>
          <w:p w:rsidR="00931C6A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17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642" w:type="dxa"/>
            <w:vAlign w:val="center"/>
          </w:tcPr>
          <w:p w:rsidR="00931C6A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54.8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45.2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461EAB" w:rsidRPr="00E35F4D" w:rsidRDefault="00461EAB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 clinical T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stage</w:t>
            </w:r>
          </w:p>
        </w:tc>
      </w:tr>
      <w:tr w:rsidR="00931C6A" w:rsidRPr="00E35F4D" w:rsidTr="002B2928">
        <w:trPr>
          <w:trHeight w:val="20"/>
          <w:jc w:val="center"/>
        </w:trPr>
        <w:tc>
          <w:tcPr>
            <w:tcW w:w="5507" w:type="dxa"/>
            <w:hideMark/>
          </w:tcPr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cT1</w:t>
            </w:r>
          </w:p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cT2</w:t>
            </w:r>
          </w:p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cT3</w:t>
            </w:r>
          </w:p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cT4</w:t>
            </w:r>
          </w:p>
        </w:tc>
        <w:tc>
          <w:tcPr>
            <w:tcW w:w="1459" w:type="dxa"/>
            <w:vAlign w:val="center"/>
          </w:tcPr>
          <w:p w:rsidR="00931C6A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9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14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642" w:type="dxa"/>
            <w:vAlign w:val="center"/>
          </w:tcPr>
          <w:p w:rsidR="00931C6A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6.5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29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45.2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19.4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461EAB" w:rsidRPr="00E35F4D" w:rsidRDefault="00461EAB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 clinical N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stage</w:t>
            </w:r>
          </w:p>
        </w:tc>
      </w:tr>
      <w:tr w:rsidR="00931C6A" w:rsidRPr="00E35F4D" w:rsidTr="002B2928">
        <w:trPr>
          <w:trHeight w:val="20"/>
          <w:jc w:val="center"/>
        </w:trPr>
        <w:tc>
          <w:tcPr>
            <w:tcW w:w="5507" w:type="dxa"/>
            <w:vAlign w:val="center"/>
            <w:hideMark/>
          </w:tcPr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cN0</w:t>
            </w:r>
          </w:p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cN1</w:t>
            </w:r>
          </w:p>
          <w:p w:rsidR="00931C6A" w:rsidRPr="00E35F4D" w:rsidRDefault="00931C6A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cN2</w:t>
            </w:r>
          </w:p>
        </w:tc>
        <w:tc>
          <w:tcPr>
            <w:tcW w:w="1459" w:type="dxa"/>
            <w:vAlign w:val="center"/>
          </w:tcPr>
          <w:p w:rsidR="00931C6A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8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16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642" w:type="dxa"/>
            <w:vAlign w:val="center"/>
          </w:tcPr>
          <w:p w:rsidR="00931C6A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25.8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51.6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22.6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  <w:vAlign w:val="center"/>
          </w:tcPr>
          <w:p w:rsidR="00461EAB" w:rsidRPr="00E35F4D" w:rsidRDefault="00461EAB" w:rsidP="002B2928">
            <w:pPr>
              <w:snapToGrid w:val="0"/>
              <w:jc w:val="both"/>
              <w:rPr>
                <w:rFonts w:eastAsia="YMjO11-Identity-H"/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AJCC grouping</w:t>
            </w:r>
          </w:p>
        </w:tc>
      </w:tr>
      <w:tr w:rsidR="00F12F9E" w:rsidRPr="00E35F4D" w:rsidTr="002B2928">
        <w:trPr>
          <w:trHeight w:val="20"/>
          <w:jc w:val="center"/>
        </w:trPr>
        <w:tc>
          <w:tcPr>
            <w:tcW w:w="5507" w:type="dxa"/>
            <w:hideMark/>
          </w:tcPr>
          <w:p w:rsidR="00F12F9E" w:rsidRPr="00E35F4D" w:rsidRDefault="00F12F9E" w:rsidP="002B2928">
            <w:pPr>
              <w:snapToGrid w:val="0"/>
              <w:jc w:val="both"/>
              <w:rPr>
                <w:rFonts w:eastAsia="YMjO11-Identity-H"/>
                <w:color w:val="000000"/>
                <w:sz w:val="19"/>
                <w:szCs w:val="19"/>
              </w:rPr>
            </w:pPr>
            <w:r w:rsidRPr="00E35F4D">
              <w:rPr>
                <w:rFonts w:eastAsia="YMjO11-Identity-H"/>
                <w:color w:val="000000"/>
                <w:sz w:val="19"/>
                <w:szCs w:val="19"/>
              </w:rPr>
              <w:t>II A</w:t>
            </w:r>
          </w:p>
          <w:p w:rsidR="00F12F9E" w:rsidRPr="00E35F4D" w:rsidRDefault="00F12F9E" w:rsidP="002B2928">
            <w:pPr>
              <w:snapToGrid w:val="0"/>
              <w:jc w:val="both"/>
              <w:rPr>
                <w:rFonts w:eastAsia="YMjO11-Identity-H"/>
                <w:color w:val="000000"/>
                <w:sz w:val="19"/>
                <w:szCs w:val="19"/>
              </w:rPr>
            </w:pPr>
            <w:r w:rsidRPr="00E35F4D">
              <w:rPr>
                <w:rFonts w:eastAsia="YMjO11-Identity-H"/>
                <w:color w:val="000000"/>
                <w:sz w:val="19"/>
                <w:szCs w:val="19"/>
              </w:rPr>
              <w:t>IIB</w:t>
            </w:r>
          </w:p>
          <w:p w:rsidR="00F12F9E" w:rsidRPr="00E35F4D" w:rsidRDefault="00F12F9E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IIIA</w:t>
            </w:r>
          </w:p>
          <w:p w:rsidR="00F12F9E" w:rsidRPr="00E35F4D" w:rsidRDefault="00F12F9E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IIIB</w:t>
            </w:r>
          </w:p>
          <w:p w:rsidR="00F12F9E" w:rsidRPr="00E35F4D" w:rsidRDefault="00F12F9E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IIIC</w:t>
            </w:r>
          </w:p>
        </w:tc>
        <w:tc>
          <w:tcPr>
            <w:tcW w:w="1459" w:type="dxa"/>
            <w:vAlign w:val="center"/>
          </w:tcPr>
          <w:p w:rsidR="00F12F9E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8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11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642" w:type="dxa"/>
            <w:vAlign w:val="center"/>
          </w:tcPr>
          <w:p w:rsidR="00F12F9E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19.4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6.5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25.8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35.5</w:t>
            </w:r>
          </w:p>
          <w:p w:rsidR="002064F6" w:rsidRPr="00E35F4D" w:rsidRDefault="002064F6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12.9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461EAB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CEA</w:t>
            </w:r>
            <w:r w:rsidRPr="00E35F4D">
              <w:rPr>
                <w:rFonts w:eastAsia="CaeciliaLTStd-Roman"/>
                <w:b/>
                <w:bCs/>
                <w:color w:val="000000"/>
                <w:sz w:val="19"/>
                <w:szCs w:val="19"/>
                <w:lang w:bidi="ar-SA"/>
              </w:rPr>
              <w:t xml:space="preserve"> level (</w:t>
            </w:r>
            <w:proofErr w:type="spellStart"/>
            <w:r w:rsidRPr="00E35F4D">
              <w:rPr>
                <w:rFonts w:eastAsia="CaeciliaLTStd-Roman"/>
                <w:b/>
                <w:bCs/>
                <w:color w:val="000000"/>
                <w:sz w:val="19"/>
                <w:szCs w:val="19"/>
                <w:lang w:bidi="ar-SA"/>
              </w:rPr>
              <w:t>μg</w:t>
            </w:r>
            <w:proofErr w:type="spellEnd"/>
            <w:r w:rsidRPr="00E35F4D">
              <w:rPr>
                <w:rFonts w:eastAsia="CaeciliaLTStd-Roman"/>
                <w:b/>
                <w:bCs/>
                <w:color w:val="000000"/>
                <w:sz w:val="19"/>
                <w:szCs w:val="19"/>
                <w:lang w:bidi="ar-SA"/>
              </w:rPr>
              <w:t>/L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F12F9E" w:rsidRPr="00E35F4D" w:rsidTr="002B2928">
        <w:trPr>
          <w:trHeight w:val="20"/>
          <w:jc w:val="center"/>
        </w:trPr>
        <w:tc>
          <w:tcPr>
            <w:tcW w:w="5507" w:type="dxa"/>
            <w:vAlign w:val="center"/>
            <w:hideMark/>
          </w:tcPr>
          <w:p w:rsidR="00F12F9E" w:rsidRPr="00E35F4D" w:rsidRDefault="00F12F9E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Pr="00E35F4D">
              <w:rPr>
                <w:color w:val="000000"/>
                <w:sz w:val="19"/>
                <w:szCs w:val="19"/>
              </w:rPr>
              <w:t>5</w:t>
            </w:r>
          </w:p>
          <w:p w:rsidR="00F12F9E" w:rsidRPr="00E35F4D" w:rsidRDefault="00A87031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&gt;</w:t>
            </w:r>
            <w:r w:rsidRPr="00E35F4D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459" w:type="dxa"/>
            <w:vAlign w:val="center"/>
          </w:tcPr>
          <w:p w:rsidR="00F12F9E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20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642" w:type="dxa"/>
            <w:vAlign w:val="center"/>
          </w:tcPr>
          <w:p w:rsidR="00F12F9E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64.5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35.5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  <w:vAlign w:val="center"/>
          </w:tcPr>
          <w:p w:rsidR="00461EAB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 CA 19-9 level (U/</w:t>
            </w:r>
            <w:proofErr w:type="spellStart"/>
            <w:r w:rsidRPr="00E35F4D">
              <w:rPr>
                <w:b/>
                <w:bCs/>
                <w:color w:val="000000"/>
                <w:sz w:val="19"/>
                <w:szCs w:val="19"/>
              </w:rPr>
              <w:t>mL</w:t>
            </w:r>
            <w:proofErr w:type="spellEnd"/>
            <w:r w:rsidRPr="00E35F4D">
              <w:rPr>
                <w:b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F12F9E" w:rsidRPr="00E35F4D" w:rsidTr="002B2928">
        <w:trPr>
          <w:trHeight w:val="20"/>
          <w:jc w:val="center"/>
        </w:trPr>
        <w:tc>
          <w:tcPr>
            <w:tcW w:w="5507" w:type="dxa"/>
            <w:vAlign w:val="center"/>
            <w:hideMark/>
          </w:tcPr>
          <w:p w:rsidR="00F12F9E" w:rsidRPr="00E35F4D" w:rsidRDefault="00F12F9E" w:rsidP="002B2928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35F4D">
              <w:rPr>
                <w:rFonts w:ascii="Times New Roman" w:hAnsi="Times New Roman" w:cs="Times New Roman"/>
                <w:sz w:val="19"/>
                <w:szCs w:val="19"/>
              </w:rPr>
              <w:t>≤37</w:t>
            </w:r>
          </w:p>
          <w:p w:rsidR="00F12F9E" w:rsidRPr="00E35F4D" w:rsidRDefault="00A87031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&gt;37</w:t>
            </w:r>
          </w:p>
        </w:tc>
        <w:tc>
          <w:tcPr>
            <w:tcW w:w="1459" w:type="dxa"/>
            <w:vAlign w:val="center"/>
          </w:tcPr>
          <w:p w:rsidR="00F12F9E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642" w:type="dxa"/>
            <w:vAlign w:val="center"/>
          </w:tcPr>
          <w:p w:rsidR="00F12F9E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61.3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38.7</w:t>
            </w:r>
          </w:p>
        </w:tc>
      </w:tr>
      <w:tr w:rsidR="00461EA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A2226C" w:rsidRPr="00E35F4D" w:rsidRDefault="00A2226C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I</w:t>
            </w:r>
            <w:r w:rsidR="00461EAB" w:rsidRPr="00E35F4D">
              <w:rPr>
                <w:b/>
                <w:bCs/>
                <w:color w:val="000000"/>
                <w:sz w:val="19"/>
                <w:szCs w:val="19"/>
              </w:rPr>
              <w:t>nterval between preoperative CCRT and surgery (week)</w:t>
            </w:r>
            <w:r w:rsidRPr="00E35F4D">
              <w:rPr>
                <w:color w:val="000000"/>
                <w:sz w:val="19"/>
                <w:szCs w:val="19"/>
              </w:rPr>
              <w:t>:</w:t>
            </w:r>
          </w:p>
          <w:p w:rsidR="00461EAB" w:rsidRPr="00E35F4D" w:rsidRDefault="00461EA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Median 6 (range, 4-10)</w:t>
            </w:r>
          </w:p>
        </w:tc>
      </w:tr>
      <w:tr w:rsidR="00F12F9E" w:rsidRPr="00E35F4D" w:rsidTr="002B2928">
        <w:trPr>
          <w:trHeight w:val="20"/>
          <w:jc w:val="center"/>
        </w:trPr>
        <w:tc>
          <w:tcPr>
            <w:tcW w:w="5507" w:type="dxa"/>
            <w:hideMark/>
          </w:tcPr>
          <w:p w:rsidR="00F12F9E" w:rsidRPr="00E35F4D" w:rsidRDefault="00F12F9E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Pr="00E35F4D">
              <w:rPr>
                <w:color w:val="000000"/>
                <w:sz w:val="19"/>
                <w:szCs w:val="19"/>
              </w:rPr>
              <w:t>6</w:t>
            </w:r>
          </w:p>
          <w:p w:rsidR="00F12F9E" w:rsidRPr="00E35F4D" w:rsidRDefault="00A87031" w:rsidP="002B2928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&gt;</w:t>
            </w:r>
            <w:r w:rsidRPr="00E35F4D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459" w:type="dxa"/>
            <w:vAlign w:val="center"/>
          </w:tcPr>
          <w:p w:rsidR="00F12F9E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23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642" w:type="dxa"/>
            <w:vAlign w:val="center"/>
          </w:tcPr>
          <w:p w:rsidR="00F12F9E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74.2</w:t>
            </w:r>
          </w:p>
          <w:p w:rsidR="005928D7" w:rsidRPr="00E35F4D" w:rsidRDefault="005928D7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25.8</w:t>
            </w:r>
          </w:p>
        </w:tc>
      </w:tr>
      <w:tr w:rsidR="00D621EB" w:rsidRPr="00E35F4D" w:rsidTr="002B2928">
        <w:trPr>
          <w:trHeight w:val="20"/>
          <w:jc w:val="center"/>
        </w:trPr>
        <w:tc>
          <w:tcPr>
            <w:tcW w:w="8608" w:type="dxa"/>
            <w:gridSpan w:val="3"/>
          </w:tcPr>
          <w:p w:rsidR="00D621EB" w:rsidRPr="00E35F4D" w:rsidRDefault="00D621EB" w:rsidP="002B2928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ECOG PS: Eastern</w:t>
            </w:r>
            <w:r w:rsidRPr="00E35F4D">
              <w:rPr>
                <w:color w:val="000000"/>
                <w:sz w:val="19"/>
                <w:szCs w:val="19"/>
                <w:lang w:bidi="ar-SA"/>
              </w:rPr>
              <w:t xml:space="preserve"> Cooperative Oncology Group;</w:t>
            </w:r>
            <w:r w:rsidRPr="00E35F4D">
              <w:rPr>
                <w:color w:val="000000"/>
                <w:sz w:val="19"/>
                <w:szCs w:val="19"/>
              </w:rPr>
              <w:t xml:space="preserve"> PS: Performance status; CEA: </w:t>
            </w:r>
            <w:proofErr w:type="spellStart"/>
            <w:r w:rsidRPr="00E35F4D">
              <w:rPr>
                <w:color w:val="000000"/>
                <w:sz w:val="19"/>
                <w:szCs w:val="19"/>
              </w:rPr>
              <w:t>Carcinoembryonic</w:t>
            </w:r>
            <w:proofErr w:type="spellEnd"/>
            <w:r w:rsidRPr="00E35F4D">
              <w:rPr>
                <w:color w:val="000000"/>
                <w:sz w:val="19"/>
                <w:szCs w:val="19"/>
              </w:rPr>
              <w:t xml:space="preserve"> antigen; CA 19-9 level: </w:t>
            </w:r>
            <w:r w:rsidRPr="00E35F4D">
              <w:rPr>
                <w:color w:val="000000"/>
                <w:sz w:val="19"/>
                <w:szCs w:val="19"/>
                <w:lang w:bidi="ar-SA"/>
              </w:rPr>
              <w:t>Carbohydrate antigen 19-9;</w:t>
            </w:r>
            <w:r w:rsidRPr="00E35F4D">
              <w:rPr>
                <w:color w:val="000000"/>
                <w:sz w:val="19"/>
                <w:szCs w:val="19"/>
              </w:rPr>
              <w:t xml:space="preserve"> CCRT: Concomitant </w:t>
            </w:r>
            <w:proofErr w:type="spellStart"/>
            <w:r w:rsidRPr="00E35F4D">
              <w:rPr>
                <w:color w:val="000000"/>
                <w:sz w:val="19"/>
                <w:szCs w:val="19"/>
              </w:rPr>
              <w:t>chemoradiation</w:t>
            </w:r>
            <w:proofErr w:type="spellEnd"/>
            <w:r w:rsidRPr="00E35F4D">
              <w:rPr>
                <w:color w:val="000000"/>
                <w:sz w:val="19"/>
                <w:szCs w:val="19"/>
              </w:rPr>
              <w:t>.</w:t>
            </w:r>
          </w:p>
        </w:tc>
      </w:tr>
    </w:tbl>
    <w:p w:rsidR="009B1AE2" w:rsidRPr="00E35F4D" w:rsidRDefault="009B1AE2" w:rsidP="002B2928">
      <w:pPr>
        <w:snapToGrid w:val="0"/>
        <w:jc w:val="center"/>
        <w:rPr>
          <w:b/>
          <w:bCs/>
          <w:sz w:val="20"/>
          <w:szCs w:val="20"/>
        </w:rPr>
      </w:pPr>
    </w:p>
    <w:p w:rsidR="0068272F" w:rsidRPr="00E35F4D" w:rsidRDefault="0068272F" w:rsidP="002B2928">
      <w:pPr>
        <w:snapToGrid w:val="0"/>
        <w:jc w:val="center"/>
        <w:rPr>
          <w:b/>
          <w:bCs/>
          <w:sz w:val="20"/>
          <w:szCs w:val="20"/>
        </w:rPr>
      </w:pPr>
      <w:proofErr w:type="gramStart"/>
      <w:r w:rsidRPr="00E35F4D">
        <w:rPr>
          <w:b/>
          <w:bCs/>
          <w:sz w:val="20"/>
          <w:szCs w:val="20"/>
        </w:rPr>
        <w:lastRenderedPageBreak/>
        <w:t xml:space="preserve">Table </w:t>
      </w:r>
      <w:r w:rsidR="00CC78F3" w:rsidRPr="00E35F4D">
        <w:rPr>
          <w:b/>
          <w:bCs/>
          <w:sz w:val="20"/>
          <w:szCs w:val="20"/>
        </w:rPr>
        <w:t>2</w:t>
      </w:r>
      <w:r w:rsidR="00BA2E25" w:rsidRPr="00E35F4D">
        <w:rPr>
          <w:b/>
          <w:bCs/>
          <w:sz w:val="20"/>
          <w:szCs w:val="20"/>
        </w:rPr>
        <w:t>:</w:t>
      </w:r>
      <w:r w:rsidRPr="00E35F4D">
        <w:rPr>
          <w:b/>
          <w:bCs/>
          <w:sz w:val="20"/>
          <w:szCs w:val="20"/>
        </w:rPr>
        <w:t xml:space="preserve"> </w:t>
      </w:r>
      <w:r w:rsidR="00EE0572" w:rsidRPr="00E35F4D">
        <w:rPr>
          <w:b/>
          <w:bCs/>
          <w:sz w:val="20"/>
          <w:szCs w:val="20"/>
        </w:rPr>
        <w:t>C</w:t>
      </w:r>
      <w:r w:rsidR="00BA2E25" w:rsidRPr="00E35F4D">
        <w:rPr>
          <w:b/>
          <w:bCs/>
          <w:sz w:val="20"/>
          <w:szCs w:val="20"/>
        </w:rPr>
        <w:t>linical</w:t>
      </w:r>
      <w:r w:rsidR="00122535" w:rsidRPr="00E35F4D">
        <w:rPr>
          <w:b/>
          <w:bCs/>
          <w:sz w:val="20"/>
          <w:szCs w:val="20"/>
        </w:rPr>
        <w:t xml:space="preserve"> response</w:t>
      </w:r>
      <w:r w:rsidR="009C3C42" w:rsidRPr="00E35F4D">
        <w:rPr>
          <w:b/>
          <w:bCs/>
          <w:sz w:val="20"/>
          <w:szCs w:val="20"/>
        </w:rPr>
        <w:t>,</w:t>
      </w:r>
      <w:r w:rsidRPr="00E35F4D">
        <w:rPr>
          <w:b/>
          <w:bCs/>
          <w:sz w:val="20"/>
          <w:szCs w:val="20"/>
        </w:rPr>
        <w:t xml:space="preserve"> pathologic response</w:t>
      </w:r>
      <w:r w:rsidR="009C3C42" w:rsidRPr="00E35F4D">
        <w:rPr>
          <w:b/>
          <w:bCs/>
          <w:sz w:val="20"/>
          <w:szCs w:val="20"/>
        </w:rPr>
        <w:t xml:space="preserve"> and disease </w:t>
      </w:r>
      <w:proofErr w:type="spellStart"/>
      <w:r w:rsidR="009C3C42" w:rsidRPr="00E35F4D">
        <w:rPr>
          <w:b/>
          <w:bCs/>
          <w:sz w:val="20"/>
          <w:szCs w:val="20"/>
        </w:rPr>
        <w:t>downstaging</w:t>
      </w:r>
      <w:proofErr w:type="spellEnd"/>
      <w:r w:rsidRPr="00E35F4D">
        <w:rPr>
          <w:b/>
          <w:bCs/>
          <w:sz w:val="20"/>
          <w:szCs w:val="20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2"/>
        <w:gridCol w:w="1506"/>
        <w:gridCol w:w="1506"/>
      </w:tblGrid>
      <w:tr w:rsidR="0068272F" w:rsidRPr="00E35F4D" w:rsidTr="002B2928">
        <w:trPr>
          <w:trHeight w:val="236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2F" w:rsidRPr="00E35F4D" w:rsidRDefault="0068272F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2F" w:rsidRPr="00E35F4D" w:rsidRDefault="0068272F" w:rsidP="002B2928">
            <w:pPr>
              <w:tabs>
                <w:tab w:val="left" w:pos="495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61DD3" w:rsidRPr="00E35F4D" w:rsidTr="002B2928">
        <w:trPr>
          <w:trHeight w:val="1366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D3" w:rsidRPr="00E35F4D" w:rsidRDefault="00D61DD3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Clinical response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Complete response (CR)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E35F4D">
              <w:rPr>
                <w:color w:val="000000"/>
                <w:sz w:val="20"/>
                <w:szCs w:val="20"/>
              </w:rPr>
              <w:t>Partial response (PR)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  <w:lang w:bidi="ar-SA"/>
              </w:rPr>
              <w:t>Overall response (CR+PR)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Stable disease (SD)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Progressive disease (PD)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15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17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14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D3" w:rsidRPr="00E35F4D" w:rsidRDefault="00D61DD3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6.5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48.4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54.8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45.2</w:t>
            </w:r>
          </w:p>
          <w:p w:rsidR="00D61DD3" w:rsidRPr="00E35F4D" w:rsidRDefault="00D61DD3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272F" w:rsidRPr="00E35F4D" w:rsidTr="002B2928">
        <w:trPr>
          <w:trHeight w:val="2049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5" w:rsidRPr="00E35F4D" w:rsidRDefault="00E86445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Pathologic response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pT0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pT1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pT2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pT3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pT4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pN0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pN1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pN2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2974D0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7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8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10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9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39617A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22.6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25.8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19.4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32.3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61.3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29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9.7</w:t>
            </w:r>
          </w:p>
        </w:tc>
      </w:tr>
      <w:tr w:rsidR="0068272F" w:rsidRPr="00E35F4D" w:rsidTr="002B2928">
        <w:trPr>
          <w:trHeight w:val="722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2F" w:rsidRPr="00E35F4D" w:rsidRDefault="0068272F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Pathologic down-staging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T down-staging</w:t>
            </w:r>
          </w:p>
          <w:p w:rsidR="0068272F" w:rsidRPr="00E35F4D" w:rsidRDefault="0068272F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N down-staging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FF" w:rsidRPr="00E35F4D" w:rsidRDefault="003877F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68272F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FF" w:rsidRPr="00E35F4D" w:rsidRDefault="003877F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68272F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61.3</w:t>
            </w:r>
          </w:p>
          <w:p w:rsidR="009B2D5C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51.6</w:t>
            </w:r>
          </w:p>
        </w:tc>
      </w:tr>
      <w:tr w:rsidR="0068272F" w:rsidRPr="00E35F4D" w:rsidTr="002B2928">
        <w:trPr>
          <w:trHeight w:val="236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2F" w:rsidRPr="00E35F4D" w:rsidRDefault="0068272F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pCR</w:t>
            </w:r>
            <w:proofErr w:type="spellEnd"/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pT0N0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2F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2F" w:rsidRPr="00E35F4D" w:rsidRDefault="009B2D5C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19.4</w:t>
            </w:r>
          </w:p>
        </w:tc>
      </w:tr>
    </w:tbl>
    <w:p w:rsidR="00CC6DAB" w:rsidRPr="00E35F4D" w:rsidRDefault="00CC6DAB" w:rsidP="002B2928">
      <w:pPr>
        <w:snapToGrid w:val="0"/>
        <w:jc w:val="center"/>
        <w:rPr>
          <w:sz w:val="20"/>
          <w:szCs w:val="20"/>
        </w:rPr>
      </w:pPr>
    </w:p>
    <w:p w:rsidR="00FA43F5" w:rsidRPr="00E35F4D" w:rsidRDefault="00FA43F5" w:rsidP="002B2928">
      <w:pPr>
        <w:snapToGrid w:val="0"/>
        <w:jc w:val="center"/>
        <w:rPr>
          <w:b/>
          <w:bCs/>
          <w:sz w:val="20"/>
          <w:szCs w:val="20"/>
        </w:rPr>
      </w:pPr>
      <w:proofErr w:type="gramStart"/>
      <w:r w:rsidRPr="00E35F4D">
        <w:rPr>
          <w:b/>
          <w:bCs/>
          <w:sz w:val="20"/>
          <w:szCs w:val="20"/>
        </w:rPr>
        <w:t xml:space="preserve">Table </w:t>
      </w:r>
      <w:r w:rsidR="00B4635B" w:rsidRPr="00E35F4D">
        <w:rPr>
          <w:b/>
          <w:bCs/>
          <w:sz w:val="20"/>
          <w:szCs w:val="20"/>
        </w:rPr>
        <w:t>3</w:t>
      </w:r>
      <w:r w:rsidR="00BA2E25" w:rsidRPr="00E35F4D">
        <w:rPr>
          <w:b/>
          <w:bCs/>
          <w:sz w:val="20"/>
          <w:szCs w:val="20"/>
        </w:rPr>
        <w:t>:</w:t>
      </w:r>
      <w:r w:rsidRPr="00E35F4D">
        <w:rPr>
          <w:b/>
          <w:bCs/>
          <w:sz w:val="20"/>
          <w:szCs w:val="20"/>
        </w:rPr>
        <w:t xml:space="preserve"> </w:t>
      </w:r>
      <w:r w:rsidR="00EE0572" w:rsidRPr="00E35F4D">
        <w:rPr>
          <w:b/>
          <w:bCs/>
          <w:sz w:val="20"/>
          <w:szCs w:val="20"/>
        </w:rPr>
        <w:t>Predictive f</w:t>
      </w:r>
      <w:r w:rsidRPr="00E35F4D">
        <w:rPr>
          <w:b/>
          <w:bCs/>
          <w:sz w:val="20"/>
          <w:szCs w:val="20"/>
        </w:rPr>
        <w:t>actor</w:t>
      </w:r>
      <w:r w:rsidR="000A7F3A" w:rsidRPr="00E35F4D">
        <w:rPr>
          <w:b/>
          <w:bCs/>
          <w:sz w:val="20"/>
          <w:szCs w:val="20"/>
        </w:rPr>
        <w:t>s affecting</w:t>
      </w:r>
      <w:r w:rsidRPr="00E35F4D">
        <w:rPr>
          <w:b/>
          <w:bCs/>
          <w:sz w:val="20"/>
          <w:szCs w:val="20"/>
        </w:rPr>
        <w:t xml:space="preserve"> </w:t>
      </w:r>
      <w:proofErr w:type="spellStart"/>
      <w:r w:rsidRPr="00E35F4D">
        <w:rPr>
          <w:b/>
          <w:bCs/>
          <w:sz w:val="20"/>
          <w:szCs w:val="20"/>
        </w:rPr>
        <w:t>pCR</w:t>
      </w:r>
      <w:proofErr w:type="spellEnd"/>
      <w:r w:rsidRPr="00E35F4D">
        <w:rPr>
          <w:b/>
          <w:bCs/>
          <w:sz w:val="20"/>
          <w:szCs w:val="20"/>
        </w:rPr>
        <w:t>.</w:t>
      </w:r>
      <w:proofErr w:type="gramEnd"/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2880"/>
        <w:gridCol w:w="1029"/>
      </w:tblGrid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880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35F4D">
              <w:rPr>
                <w:b/>
                <w:bCs/>
                <w:color w:val="000000"/>
                <w:sz w:val="20"/>
                <w:szCs w:val="20"/>
              </w:rPr>
              <w:t>pCR</w:t>
            </w:r>
            <w:proofErr w:type="spellEnd"/>
            <w:proofErr w:type="gramEnd"/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 rate No,(%)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E35F4D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Age (year)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Pr="00E35F4D">
              <w:rPr>
                <w:color w:val="000000"/>
                <w:sz w:val="20"/>
                <w:szCs w:val="20"/>
              </w:rPr>
              <w:t xml:space="preserve">50 vs. </w:t>
            </w:r>
            <w:r w:rsidRPr="00E35F4D">
              <w:rPr>
                <w:rFonts w:eastAsia="YMjO11-Identity-H"/>
                <w:color w:val="000000"/>
                <w:sz w:val="20"/>
                <w:szCs w:val="20"/>
              </w:rPr>
              <w:t>&gt;</w:t>
            </w:r>
            <w:r w:rsidRPr="00E35F4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3/16 (18.8)</w:t>
            </w:r>
            <w:r w:rsidR="002B2928" w:rsidRPr="00E35F4D">
              <w:rPr>
                <w:color w:val="000000"/>
                <w:sz w:val="20"/>
                <w:szCs w:val="20"/>
              </w:rPr>
              <w:t xml:space="preserve"> </w:t>
            </w:r>
            <w:r w:rsidRPr="00E35F4D">
              <w:rPr>
                <w:color w:val="000000"/>
                <w:sz w:val="20"/>
                <w:szCs w:val="20"/>
              </w:rPr>
              <w:t>vs. 3/15 (20)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Gender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Male vs. Female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2/18 (11.1) vs. 4/13 (30.8)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0.208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Pathological grade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Low /Intermediate vs. High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6/26 (23.1) vs. 0/5 (0)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0.553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Tumor distance from anal verge (cm.)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Pr="00E35F4D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Pr="00E35F4D">
              <w:rPr>
                <w:color w:val="000000"/>
                <w:sz w:val="20"/>
                <w:szCs w:val="20"/>
              </w:rPr>
              <w:t xml:space="preserve"> &gt;5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2/19 (10.5) vs. 4/12 (33.3)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0.174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Pretreatment tumor size (cm.)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Pr="00E35F4D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Pr="00E35F4D">
              <w:rPr>
                <w:color w:val="000000"/>
                <w:sz w:val="20"/>
                <w:szCs w:val="20"/>
              </w:rPr>
              <w:t xml:space="preserve"> &gt;5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5/19 (26.3) vs. 1/12 (8.3)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0.363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Circumferential tumor extent (%)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Pr="00E35F4D"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Pr="00E35F4D">
              <w:rPr>
                <w:color w:val="000000"/>
                <w:sz w:val="20"/>
                <w:szCs w:val="20"/>
              </w:rPr>
              <w:t xml:space="preserve"> &gt;50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4/17 (23.5) vs. 2/14 (14.3)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0.664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Pretreatment clinical stage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II vs. III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2/8 (25) vs. 4/23 (17.4)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0.634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Pretreatment</w:t>
            </w:r>
            <w:r w:rsidRPr="00E35F4D">
              <w:rPr>
                <w:color w:val="000000"/>
                <w:sz w:val="20"/>
                <w:szCs w:val="20"/>
              </w:rPr>
              <w:t xml:space="preserve"> 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CEA</w:t>
            </w:r>
            <w:r w:rsidRPr="00E35F4D">
              <w:rPr>
                <w:rFonts w:eastAsia="CaeciliaLTStd-Roman"/>
                <w:b/>
                <w:bCs/>
                <w:color w:val="000000"/>
                <w:sz w:val="20"/>
                <w:szCs w:val="20"/>
                <w:lang w:bidi="ar-SA"/>
              </w:rPr>
              <w:t xml:space="preserve"> level (</w:t>
            </w:r>
            <w:proofErr w:type="spellStart"/>
            <w:r w:rsidRPr="00E35F4D">
              <w:rPr>
                <w:rFonts w:eastAsia="CaeciliaLTStd-Roman"/>
                <w:b/>
                <w:bCs/>
                <w:color w:val="000000"/>
                <w:sz w:val="20"/>
                <w:szCs w:val="20"/>
                <w:lang w:bidi="ar-SA"/>
              </w:rPr>
              <w:t>μg</w:t>
            </w:r>
            <w:proofErr w:type="spellEnd"/>
            <w:r w:rsidRPr="00E35F4D">
              <w:rPr>
                <w:rFonts w:eastAsia="CaeciliaLTStd-Roman"/>
                <w:b/>
                <w:bCs/>
                <w:color w:val="000000"/>
                <w:sz w:val="20"/>
                <w:szCs w:val="20"/>
                <w:lang w:bidi="ar-SA"/>
              </w:rPr>
              <w:t>/L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Pr="00E35F4D">
              <w:rPr>
                <w:color w:val="000000"/>
                <w:sz w:val="20"/>
                <w:szCs w:val="20"/>
              </w:rPr>
              <w:t>5</w:t>
            </w:r>
            <w:r w:rsidRPr="00E35F4D">
              <w:rPr>
                <w:rFonts w:eastAsia="YMjO11-Identity-H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Pr="00E35F4D">
              <w:rPr>
                <w:color w:val="000000"/>
                <w:sz w:val="20"/>
                <w:szCs w:val="20"/>
              </w:rPr>
              <w:t xml:space="preserve"> &gt;5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6/20 (30) vs. 0/11 (0)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0.066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pStyle w:val="Pa11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Pretreatment CA 19-9 level (U/</w:t>
            </w:r>
            <w:proofErr w:type="spellStart"/>
            <w:r w:rsidRPr="00E35F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 w:rsidRPr="00E35F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≤37</w:t>
            </w:r>
            <w:r w:rsidR="002B2928" w:rsidRPr="00E35F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Pr="00E35F4D">
              <w:rPr>
                <w:color w:val="000000"/>
                <w:sz w:val="20"/>
                <w:szCs w:val="20"/>
              </w:rPr>
              <w:t xml:space="preserve"> &gt;37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6/19 (31.6) vs. 0/12 (0)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0.059</w:t>
            </w:r>
          </w:p>
        </w:tc>
      </w:tr>
      <w:tr w:rsidR="007E7704" w:rsidRPr="00E35F4D" w:rsidTr="002B2928">
        <w:trPr>
          <w:jc w:val="center"/>
        </w:trPr>
        <w:tc>
          <w:tcPr>
            <w:tcW w:w="4968" w:type="dxa"/>
            <w:shd w:val="clear" w:color="auto" w:fill="auto"/>
          </w:tcPr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Interval between CCRT and surgery (week)</w:t>
            </w:r>
          </w:p>
          <w:p w:rsidR="007E7704" w:rsidRPr="00E35F4D" w:rsidRDefault="007E770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Pr="00E35F4D">
              <w:rPr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Pr="00E35F4D">
              <w:rPr>
                <w:color w:val="000000"/>
                <w:sz w:val="20"/>
                <w:szCs w:val="20"/>
              </w:rPr>
              <w:t xml:space="preserve"> &gt;6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6/23 (26.1) vs. 0/8 (0)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7704" w:rsidRPr="00E35F4D" w:rsidRDefault="007E7704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0.298</w:t>
            </w:r>
          </w:p>
        </w:tc>
      </w:tr>
      <w:tr w:rsidR="006D06CB" w:rsidRPr="00E35F4D" w:rsidTr="002B2928">
        <w:trPr>
          <w:jc w:val="center"/>
        </w:trPr>
        <w:tc>
          <w:tcPr>
            <w:tcW w:w="8877" w:type="dxa"/>
            <w:gridSpan w:val="3"/>
            <w:shd w:val="clear" w:color="auto" w:fill="auto"/>
          </w:tcPr>
          <w:p w:rsidR="006D06CB" w:rsidRPr="00E35F4D" w:rsidRDefault="006D06CB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 xml:space="preserve">CCRT: Concomitant </w:t>
            </w:r>
            <w:proofErr w:type="spellStart"/>
            <w:r w:rsidRPr="00E35F4D">
              <w:rPr>
                <w:color w:val="000000"/>
                <w:sz w:val="20"/>
                <w:szCs w:val="20"/>
              </w:rPr>
              <w:t>chemoradiotherapy</w:t>
            </w:r>
            <w:proofErr w:type="spellEnd"/>
            <w:r w:rsidRPr="00E35F4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35F4D">
              <w:rPr>
                <w:color w:val="000000"/>
                <w:sz w:val="20"/>
                <w:szCs w:val="20"/>
              </w:rPr>
              <w:t>pCR</w:t>
            </w:r>
            <w:proofErr w:type="spellEnd"/>
            <w:r w:rsidRPr="00E35F4D">
              <w:rPr>
                <w:color w:val="000000"/>
                <w:sz w:val="20"/>
                <w:szCs w:val="20"/>
              </w:rPr>
              <w:t xml:space="preserve">: Pathologic complete response; PS: Performance status; CEA: </w:t>
            </w:r>
            <w:proofErr w:type="spellStart"/>
            <w:r w:rsidRPr="00E35F4D">
              <w:rPr>
                <w:color w:val="000000"/>
                <w:sz w:val="20"/>
                <w:szCs w:val="20"/>
              </w:rPr>
              <w:t>Carcinoembryonic</w:t>
            </w:r>
            <w:proofErr w:type="spellEnd"/>
            <w:r w:rsidRPr="00E35F4D">
              <w:rPr>
                <w:color w:val="000000"/>
                <w:sz w:val="20"/>
                <w:szCs w:val="20"/>
              </w:rPr>
              <w:t xml:space="preserve"> antigen; CA 19-9 level: </w:t>
            </w:r>
            <w:r w:rsidRPr="00E35F4D">
              <w:rPr>
                <w:color w:val="000000"/>
                <w:sz w:val="20"/>
                <w:szCs w:val="20"/>
                <w:lang w:bidi="ar-SA"/>
              </w:rPr>
              <w:t>Carbohydrate antigen 19-9</w:t>
            </w:r>
            <w:r w:rsidRPr="00E35F4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2B2928" w:rsidRPr="00E35F4D" w:rsidRDefault="002B2928" w:rsidP="002B2928">
      <w:pPr>
        <w:snapToGrid w:val="0"/>
        <w:ind w:firstLine="425"/>
        <w:jc w:val="both"/>
        <w:rPr>
          <w:b/>
          <w:bCs/>
          <w:i/>
          <w:iCs/>
          <w:sz w:val="20"/>
          <w:szCs w:val="20"/>
          <w:lang w:bidi="ar-SA"/>
        </w:rPr>
      </w:pPr>
    </w:p>
    <w:p w:rsidR="002B2928" w:rsidRPr="00E35F4D" w:rsidRDefault="002B2928" w:rsidP="002B2928">
      <w:pPr>
        <w:snapToGrid w:val="0"/>
        <w:ind w:firstLine="425"/>
        <w:jc w:val="both"/>
        <w:rPr>
          <w:b/>
          <w:bCs/>
          <w:i/>
          <w:iCs/>
          <w:sz w:val="20"/>
          <w:szCs w:val="20"/>
          <w:lang w:bidi="ar-SA"/>
        </w:rPr>
        <w:sectPr w:rsidR="002B2928" w:rsidRPr="00E35F4D" w:rsidSect="00BC5AB1">
          <w:headerReference w:type="default" r:id="rId15"/>
          <w:footerReference w:type="default" r:id="rId16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C734F9" w:rsidRPr="00E35F4D" w:rsidRDefault="00C734F9" w:rsidP="002B2928">
      <w:pPr>
        <w:snapToGrid w:val="0"/>
        <w:jc w:val="both"/>
        <w:rPr>
          <w:b/>
          <w:bCs/>
          <w:i/>
          <w:iCs/>
          <w:sz w:val="20"/>
          <w:szCs w:val="20"/>
          <w:lang w:bidi="ar-SA"/>
        </w:rPr>
      </w:pPr>
      <w:r w:rsidRPr="00E35F4D">
        <w:rPr>
          <w:b/>
          <w:bCs/>
          <w:i/>
          <w:iCs/>
          <w:sz w:val="20"/>
          <w:szCs w:val="20"/>
          <w:lang w:bidi="ar-SA"/>
        </w:rPr>
        <w:lastRenderedPageBreak/>
        <w:t>Treatment toxicity</w:t>
      </w:r>
    </w:p>
    <w:p w:rsidR="009E3250" w:rsidRPr="00E35F4D" w:rsidRDefault="000A7F3A" w:rsidP="002B2928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During the induction phase, grade 3/4 </w:t>
      </w:r>
      <w:r w:rsidR="00CC6DAB" w:rsidRPr="00E35F4D">
        <w:rPr>
          <w:sz w:val="20"/>
          <w:szCs w:val="20"/>
          <w:lang w:bidi="ar-SA"/>
        </w:rPr>
        <w:t>d</w:t>
      </w:r>
      <w:r w:rsidRPr="00E35F4D">
        <w:rPr>
          <w:sz w:val="20"/>
          <w:szCs w:val="20"/>
          <w:lang w:bidi="ar-SA"/>
        </w:rPr>
        <w:t xml:space="preserve">iarrhea, </w:t>
      </w:r>
      <w:r w:rsidRPr="00E35F4D">
        <w:rPr>
          <w:sz w:val="20"/>
          <w:szCs w:val="20"/>
        </w:rPr>
        <w:t xml:space="preserve">nausea </w:t>
      </w:r>
      <w:r w:rsidR="003102F2" w:rsidRPr="00E35F4D">
        <w:rPr>
          <w:sz w:val="20"/>
          <w:szCs w:val="20"/>
        </w:rPr>
        <w:t xml:space="preserve">&amp; </w:t>
      </w:r>
      <w:r w:rsidRPr="00E35F4D">
        <w:rPr>
          <w:sz w:val="20"/>
          <w:szCs w:val="20"/>
        </w:rPr>
        <w:t>vomiting</w:t>
      </w:r>
      <w:r w:rsidR="00A91520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and fatigue</w:t>
      </w:r>
      <w:r w:rsidR="003102F2" w:rsidRPr="00E35F4D">
        <w:rPr>
          <w:sz w:val="20"/>
          <w:szCs w:val="20"/>
        </w:rPr>
        <w:t xml:space="preserve"> were represented in</w:t>
      </w:r>
      <w:r w:rsidRPr="00E35F4D">
        <w:rPr>
          <w:sz w:val="20"/>
          <w:szCs w:val="20"/>
          <w:lang w:bidi="ar-SA"/>
        </w:rPr>
        <w:t xml:space="preserve"> </w:t>
      </w:r>
      <w:r w:rsidR="003102F2" w:rsidRPr="00E35F4D">
        <w:rPr>
          <w:sz w:val="20"/>
          <w:szCs w:val="20"/>
          <w:lang w:bidi="ar-SA"/>
        </w:rPr>
        <w:t>9.7%, 3.2% % 3.2% re</w:t>
      </w:r>
      <w:r w:rsidR="00A91520" w:rsidRPr="00E35F4D">
        <w:rPr>
          <w:sz w:val="20"/>
          <w:szCs w:val="20"/>
          <w:lang w:bidi="ar-SA"/>
        </w:rPr>
        <w:t>s</w:t>
      </w:r>
      <w:r w:rsidR="003102F2" w:rsidRPr="00E35F4D">
        <w:rPr>
          <w:sz w:val="20"/>
          <w:szCs w:val="20"/>
          <w:lang w:bidi="ar-SA"/>
        </w:rPr>
        <w:t>pectively in all patients</w:t>
      </w:r>
      <w:r w:rsidRPr="00E35F4D">
        <w:rPr>
          <w:sz w:val="20"/>
          <w:szCs w:val="20"/>
          <w:lang w:bidi="ar-SA"/>
        </w:rPr>
        <w:t xml:space="preserve">. </w:t>
      </w:r>
      <w:r w:rsidR="00AA4B4E" w:rsidRPr="00E35F4D">
        <w:rPr>
          <w:sz w:val="20"/>
          <w:szCs w:val="20"/>
          <w:lang w:bidi="ar-SA"/>
        </w:rPr>
        <w:t>T</w:t>
      </w:r>
      <w:r w:rsidR="00DB6AEC" w:rsidRPr="00E35F4D">
        <w:rPr>
          <w:sz w:val="20"/>
          <w:szCs w:val="20"/>
          <w:lang w:bidi="ar-SA"/>
        </w:rPr>
        <w:t>wo</w:t>
      </w:r>
      <w:r w:rsidR="00AA4B4E" w:rsidRPr="00E35F4D">
        <w:rPr>
          <w:sz w:val="20"/>
          <w:szCs w:val="20"/>
          <w:lang w:bidi="ar-SA"/>
        </w:rPr>
        <w:t xml:space="preserve"> patients had required dose reduction of </w:t>
      </w:r>
      <w:r w:rsidR="00FA37F0" w:rsidRPr="00E35F4D">
        <w:rPr>
          <w:sz w:val="20"/>
          <w:szCs w:val="20"/>
          <w:lang w:bidi="ar-SA"/>
        </w:rPr>
        <w:t>i</w:t>
      </w:r>
      <w:r w:rsidR="00EE0572" w:rsidRPr="00E35F4D">
        <w:rPr>
          <w:sz w:val="20"/>
          <w:szCs w:val="20"/>
          <w:lang w:bidi="ar-SA"/>
        </w:rPr>
        <w:t>nduction regimen by 25</w:t>
      </w:r>
      <w:r w:rsidR="00AA4B4E" w:rsidRPr="00E35F4D">
        <w:rPr>
          <w:sz w:val="20"/>
          <w:szCs w:val="20"/>
          <w:lang w:bidi="ar-SA"/>
        </w:rPr>
        <w:t>% of the planned dose due to non</w:t>
      </w:r>
      <w:r w:rsidR="00A91520" w:rsidRPr="00E35F4D">
        <w:rPr>
          <w:sz w:val="20"/>
          <w:szCs w:val="20"/>
          <w:lang w:bidi="ar-SA"/>
        </w:rPr>
        <w:t>-</w:t>
      </w:r>
      <w:r w:rsidR="00AA4B4E" w:rsidRPr="00E35F4D">
        <w:rPr>
          <w:sz w:val="20"/>
          <w:szCs w:val="20"/>
          <w:lang w:bidi="ar-SA"/>
        </w:rPr>
        <w:t>hematological toxicity.</w:t>
      </w:r>
      <w:r w:rsidR="009773BB" w:rsidRPr="00E35F4D">
        <w:rPr>
          <w:sz w:val="20"/>
          <w:szCs w:val="20"/>
          <w:lang w:bidi="ar-SA"/>
        </w:rPr>
        <w:t xml:space="preserve"> </w:t>
      </w:r>
      <w:r w:rsidR="009E3250" w:rsidRPr="00E35F4D">
        <w:rPr>
          <w:sz w:val="20"/>
          <w:szCs w:val="20"/>
          <w:lang w:bidi="ar-SA"/>
        </w:rPr>
        <w:t xml:space="preserve">The median time from the end </w:t>
      </w:r>
      <w:r w:rsidR="009E3250" w:rsidRPr="00E35F4D">
        <w:rPr>
          <w:sz w:val="20"/>
          <w:szCs w:val="20"/>
          <w:lang w:bidi="ar-SA"/>
        </w:rPr>
        <w:lastRenderedPageBreak/>
        <w:t>of C</w:t>
      </w:r>
      <w:r w:rsidR="00EE0572" w:rsidRPr="00E35F4D">
        <w:rPr>
          <w:sz w:val="20"/>
          <w:szCs w:val="20"/>
          <w:lang w:bidi="ar-SA"/>
        </w:rPr>
        <w:t>APOX</w:t>
      </w:r>
      <w:r w:rsidR="009E3250" w:rsidRPr="00E35F4D">
        <w:rPr>
          <w:sz w:val="20"/>
          <w:szCs w:val="20"/>
          <w:lang w:bidi="ar-SA"/>
        </w:rPr>
        <w:t xml:space="preserve"> induction CT to the start of </w:t>
      </w:r>
      <w:r w:rsidR="00C734F9" w:rsidRPr="00E35F4D">
        <w:rPr>
          <w:sz w:val="20"/>
          <w:szCs w:val="20"/>
          <w:lang w:bidi="ar-SA"/>
        </w:rPr>
        <w:t xml:space="preserve">concomitant </w:t>
      </w:r>
      <w:r w:rsidR="009E3250" w:rsidRPr="00E35F4D">
        <w:rPr>
          <w:sz w:val="20"/>
          <w:szCs w:val="20"/>
          <w:lang w:bidi="ar-SA"/>
        </w:rPr>
        <w:t>CRT was 4 (range 3-7) weeks.</w:t>
      </w:r>
    </w:p>
    <w:p w:rsidR="00721F1F" w:rsidRPr="00E35F4D" w:rsidRDefault="000A7F3A" w:rsidP="002B2928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During the </w:t>
      </w:r>
      <w:r w:rsidR="00C734F9" w:rsidRPr="00E35F4D">
        <w:rPr>
          <w:sz w:val="20"/>
          <w:szCs w:val="20"/>
          <w:lang w:bidi="ar-SA"/>
        </w:rPr>
        <w:t xml:space="preserve">concomitant </w:t>
      </w:r>
      <w:r w:rsidRPr="00E35F4D">
        <w:rPr>
          <w:sz w:val="20"/>
          <w:szCs w:val="20"/>
          <w:lang w:bidi="ar-SA"/>
        </w:rPr>
        <w:t xml:space="preserve">CRT phase the most frequently occurring grade 3/4 adverse event was diarrhea (16.1%) followed by </w:t>
      </w:r>
      <w:proofErr w:type="spellStart"/>
      <w:r w:rsidRPr="00E35F4D">
        <w:rPr>
          <w:sz w:val="20"/>
          <w:szCs w:val="20"/>
          <w:lang w:bidi="ar-SA"/>
        </w:rPr>
        <w:t>dysur</w:t>
      </w:r>
      <w:r w:rsidR="00A91520" w:rsidRPr="00E35F4D">
        <w:rPr>
          <w:sz w:val="20"/>
          <w:szCs w:val="20"/>
          <w:lang w:bidi="ar-SA"/>
        </w:rPr>
        <w:t>i</w:t>
      </w:r>
      <w:r w:rsidRPr="00E35F4D">
        <w:rPr>
          <w:sz w:val="20"/>
          <w:szCs w:val="20"/>
          <w:lang w:bidi="ar-SA"/>
        </w:rPr>
        <w:t>a</w:t>
      </w:r>
      <w:proofErr w:type="spellEnd"/>
      <w:r w:rsidRPr="00E35F4D">
        <w:rPr>
          <w:sz w:val="20"/>
          <w:szCs w:val="20"/>
          <w:lang w:bidi="ar-SA"/>
        </w:rPr>
        <w:t xml:space="preserve"> (6.5%); all other grade 3/4 events were uncommon (&lt;5%). </w:t>
      </w:r>
      <w:r w:rsidR="00DB6AEC" w:rsidRPr="00E35F4D">
        <w:rPr>
          <w:sz w:val="20"/>
          <w:szCs w:val="20"/>
          <w:lang w:bidi="ar-SA"/>
        </w:rPr>
        <w:t>Four</w:t>
      </w:r>
      <w:r w:rsidRPr="00E35F4D">
        <w:rPr>
          <w:sz w:val="20"/>
          <w:szCs w:val="20"/>
          <w:lang w:bidi="ar-SA"/>
        </w:rPr>
        <w:t xml:space="preserve"> patients </w:t>
      </w:r>
      <w:r w:rsidR="00DB6AEC" w:rsidRPr="00E35F4D">
        <w:rPr>
          <w:sz w:val="20"/>
          <w:szCs w:val="20"/>
          <w:lang w:bidi="ar-SA"/>
        </w:rPr>
        <w:t>(</w:t>
      </w:r>
      <w:r w:rsidR="0039389D" w:rsidRPr="00E35F4D">
        <w:rPr>
          <w:sz w:val="20"/>
          <w:szCs w:val="20"/>
          <w:lang w:bidi="ar-SA"/>
        </w:rPr>
        <w:t>12.9</w:t>
      </w:r>
      <w:r w:rsidRPr="00E35F4D">
        <w:rPr>
          <w:sz w:val="20"/>
          <w:szCs w:val="20"/>
          <w:lang w:bidi="ar-SA"/>
        </w:rPr>
        <w:t xml:space="preserve">%) </w:t>
      </w:r>
      <w:r w:rsidR="00DB6AEC" w:rsidRPr="00E35F4D">
        <w:rPr>
          <w:sz w:val="20"/>
          <w:szCs w:val="20"/>
          <w:lang w:bidi="ar-SA"/>
        </w:rPr>
        <w:t xml:space="preserve">required dose reduction of </w:t>
      </w:r>
      <w:proofErr w:type="spellStart"/>
      <w:r w:rsidR="00FA37F0" w:rsidRPr="00E35F4D">
        <w:rPr>
          <w:sz w:val="20"/>
          <w:szCs w:val="20"/>
          <w:lang w:bidi="ar-SA"/>
        </w:rPr>
        <w:t>c</w:t>
      </w:r>
      <w:r w:rsidR="00DB6AEC" w:rsidRPr="00E35F4D">
        <w:rPr>
          <w:sz w:val="20"/>
          <w:szCs w:val="20"/>
          <w:lang w:bidi="ar-SA"/>
        </w:rPr>
        <w:t>apecitabine</w:t>
      </w:r>
      <w:proofErr w:type="spellEnd"/>
      <w:r w:rsidR="00DB6AEC" w:rsidRPr="00E35F4D">
        <w:rPr>
          <w:sz w:val="20"/>
          <w:szCs w:val="20"/>
          <w:lang w:bidi="ar-SA"/>
        </w:rPr>
        <w:t xml:space="preserve"> by 25% of the planned dose and only 1 </w:t>
      </w:r>
      <w:r w:rsidR="00DB6AEC" w:rsidRPr="00E35F4D">
        <w:rPr>
          <w:sz w:val="20"/>
          <w:szCs w:val="20"/>
          <w:lang w:bidi="ar-SA"/>
        </w:rPr>
        <w:lastRenderedPageBreak/>
        <w:t>patient discont</w:t>
      </w:r>
      <w:r w:rsidR="00FA37F0" w:rsidRPr="00E35F4D">
        <w:rPr>
          <w:sz w:val="20"/>
          <w:szCs w:val="20"/>
          <w:lang w:bidi="ar-SA"/>
        </w:rPr>
        <w:t>i</w:t>
      </w:r>
      <w:r w:rsidR="00DB6AEC" w:rsidRPr="00E35F4D">
        <w:rPr>
          <w:sz w:val="20"/>
          <w:szCs w:val="20"/>
          <w:lang w:bidi="ar-SA"/>
        </w:rPr>
        <w:t xml:space="preserve">nued </w:t>
      </w:r>
      <w:proofErr w:type="spellStart"/>
      <w:r w:rsidR="00DB6AEC" w:rsidRPr="00E35F4D">
        <w:rPr>
          <w:sz w:val="20"/>
          <w:szCs w:val="20"/>
          <w:lang w:bidi="ar-SA"/>
        </w:rPr>
        <w:t>capecitabine</w:t>
      </w:r>
      <w:proofErr w:type="spellEnd"/>
      <w:r w:rsidR="00DB6AEC" w:rsidRPr="00E35F4D">
        <w:rPr>
          <w:sz w:val="20"/>
          <w:szCs w:val="20"/>
          <w:lang w:bidi="ar-SA"/>
        </w:rPr>
        <w:t xml:space="preserve"> as he developed grade </w:t>
      </w:r>
      <w:r w:rsidR="0039389D" w:rsidRPr="00E35F4D">
        <w:rPr>
          <w:sz w:val="20"/>
          <w:szCs w:val="20"/>
          <w:lang w:bidi="ar-SA"/>
        </w:rPr>
        <w:t xml:space="preserve">3 </w:t>
      </w:r>
      <w:proofErr w:type="spellStart"/>
      <w:r w:rsidR="0039389D" w:rsidRPr="00E35F4D">
        <w:rPr>
          <w:sz w:val="20"/>
          <w:szCs w:val="20"/>
          <w:lang w:bidi="ar-SA"/>
        </w:rPr>
        <w:t>neutropenic</w:t>
      </w:r>
      <w:proofErr w:type="spellEnd"/>
      <w:r w:rsidR="0039389D" w:rsidRPr="00E35F4D">
        <w:rPr>
          <w:sz w:val="20"/>
          <w:szCs w:val="20"/>
          <w:lang w:bidi="ar-SA"/>
        </w:rPr>
        <w:t xml:space="preserve"> </w:t>
      </w:r>
      <w:proofErr w:type="gramStart"/>
      <w:r w:rsidR="0039389D" w:rsidRPr="00E35F4D">
        <w:rPr>
          <w:sz w:val="20"/>
          <w:szCs w:val="20"/>
          <w:lang w:bidi="ar-SA"/>
        </w:rPr>
        <w:t>fever</w:t>
      </w:r>
      <w:proofErr w:type="gramEnd"/>
      <w:r w:rsidRPr="00E35F4D">
        <w:rPr>
          <w:sz w:val="20"/>
          <w:szCs w:val="20"/>
          <w:lang w:bidi="ar-SA"/>
        </w:rPr>
        <w:t xml:space="preserve">. </w:t>
      </w:r>
      <w:r w:rsidR="00657B21" w:rsidRPr="00E35F4D">
        <w:rPr>
          <w:sz w:val="20"/>
          <w:szCs w:val="20"/>
          <w:lang w:bidi="ar-SA"/>
        </w:rPr>
        <w:t>N</w:t>
      </w:r>
      <w:r w:rsidR="004D36F6" w:rsidRPr="00E35F4D">
        <w:rPr>
          <w:sz w:val="20"/>
          <w:szCs w:val="20"/>
          <w:lang w:bidi="ar-SA"/>
        </w:rPr>
        <w:t>o treatment-</w:t>
      </w:r>
      <w:r w:rsidRPr="00E35F4D">
        <w:rPr>
          <w:sz w:val="20"/>
          <w:szCs w:val="20"/>
          <w:lang w:bidi="ar-SA"/>
        </w:rPr>
        <w:t xml:space="preserve">related death had </w:t>
      </w:r>
      <w:r w:rsidR="00721F1F" w:rsidRPr="00E35F4D">
        <w:rPr>
          <w:sz w:val="20"/>
          <w:szCs w:val="20"/>
          <w:lang w:bidi="ar-SA"/>
        </w:rPr>
        <w:t xml:space="preserve">been </w:t>
      </w:r>
      <w:r w:rsidRPr="00E35F4D">
        <w:rPr>
          <w:sz w:val="20"/>
          <w:szCs w:val="20"/>
          <w:lang w:bidi="ar-SA"/>
        </w:rPr>
        <w:t>recorded</w:t>
      </w:r>
      <w:r w:rsidR="00411C74" w:rsidRPr="00E35F4D">
        <w:rPr>
          <w:sz w:val="20"/>
          <w:szCs w:val="20"/>
          <w:lang w:bidi="ar-SA"/>
        </w:rPr>
        <w:t xml:space="preserve"> (Table 4).</w:t>
      </w:r>
    </w:p>
    <w:p w:rsidR="00657B21" w:rsidRPr="00E35F4D" w:rsidRDefault="00657B21" w:rsidP="002B2928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Only one patient required </w:t>
      </w:r>
      <w:r w:rsidR="009773BB" w:rsidRPr="00E35F4D">
        <w:rPr>
          <w:sz w:val="20"/>
          <w:szCs w:val="20"/>
          <w:lang w:bidi="ar-SA"/>
        </w:rPr>
        <w:t>discontinuation</w:t>
      </w:r>
      <w:r w:rsidRPr="00E35F4D">
        <w:rPr>
          <w:sz w:val="20"/>
          <w:szCs w:val="20"/>
          <w:lang w:bidi="ar-SA"/>
        </w:rPr>
        <w:t xml:space="preserve"> of RT after 3</w:t>
      </w:r>
      <w:r w:rsidR="00107C97" w:rsidRPr="00E35F4D">
        <w:rPr>
          <w:sz w:val="20"/>
          <w:szCs w:val="20"/>
          <w:lang w:bidi="ar-SA"/>
        </w:rPr>
        <w:t>60</w:t>
      </w:r>
      <w:r w:rsidRPr="00E35F4D">
        <w:rPr>
          <w:sz w:val="20"/>
          <w:szCs w:val="20"/>
          <w:lang w:bidi="ar-SA"/>
        </w:rPr>
        <w:t xml:space="preserve">0 </w:t>
      </w:r>
      <w:proofErr w:type="spellStart"/>
      <w:r w:rsidRPr="00E35F4D">
        <w:rPr>
          <w:sz w:val="20"/>
          <w:szCs w:val="20"/>
          <w:lang w:bidi="ar-SA"/>
        </w:rPr>
        <w:t>cGy</w:t>
      </w:r>
      <w:proofErr w:type="spellEnd"/>
      <w:r w:rsidRPr="00E35F4D">
        <w:rPr>
          <w:sz w:val="20"/>
          <w:szCs w:val="20"/>
          <w:lang w:bidi="ar-SA"/>
        </w:rPr>
        <w:t xml:space="preserve"> due to grade </w:t>
      </w:r>
      <w:proofErr w:type="gramStart"/>
      <w:r w:rsidRPr="00E35F4D">
        <w:rPr>
          <w:sz w:val="20"/>
          <w:szCs w:val="20"/>
          <w:lang w:bidi="ar-SA"/>
        </w:rPr>
        <w:t>3 non</w:t>
      </w:r>
      <w:r w:rsidR="004D36F6" w:rsidRPr="00E35F4D">
        <w:rPr>
          <w:sz w:val="20"/>
          <w:szCs w:val="20"/>
          <w:lang w:bidi="ar-SA"/>
        </w:rPr>
        <w:t>-</w:t>
      </w:r>
      <w:r w:rsidRPr="00E35F4D">
        <w:rPr>
          <w:sz w:val="20"/>
          <w:szCs w:val="20"/>
          <w:lang w:bidi="ar-SA"/>
        </w:rPr>
        <w:t xml:space="preserve">hematological toxicity </w:t>
      </w:r>
      <w:r w:rsidR="004D36F6" w:rsidRPr="00E35F4D">
        <w:rPr>
          <w:sz w:val="20"/>
          <w:szCs w:val="20"/>
          <w:lang w:bidi="ar-SA"/>
        </w:rPr>
        <w:t>with</w:t>
      </w:r>
      <w:r w:rsidRPr="00E35F4D">
        <w:rPr>
          <w:sz w:val="20"/>
          <w:szCs w:val="20"/>
          <w:lang w:bidi="ar-SA"/>
        </w:rPr>
        <w:t xml:space="preserve"> median time</w:t>
      </w:r>
      <w:proofErr w:type="gramEnd"/>
      <w:r w:rsidRPr="00E35F4D">
        <w:rPr>
          <w:sz w:val="20"/>
          <w:szCs w:val="20"/>
          <w:lang w:bidi="ar-SA"/>
        </w:rPr>
        <w:t xml:space="preserve"> for </w:t>
      </w:r>
      <w:r w:rsidR="00C734F9" w:rsidRPr="00E35F4D">
        <w:rPr>
          <w:sz w:val="20"/>
          <w:szCs w:val="20"/>
          <w:lang w:bidi="ar-SA"/>
        </w:rPr>
        <w:t xml:space="preserve">concomitant </w:t>
      </w:r>
      <w:r w:rsidRPr="00E35F4D">
        <w:rPr>
          <w:sz w:val="20"/>
          <w:szCs w:val="20"/>
          <w:lang w:bidi="ar-SA"/>
        </w:rPr>
        <w:t>CRT was 35 (range 2</w:t>
      </w:r>
      <w:r w:rsidR="00107C97" w:rsidRPr="00E35F4D">
        <w:rPr>
          <w:sz w:val="20"/>
          <w:szCs w:val="20"/>
          <w:lang w:bidi="ar-SA"/>
        </w:rPr>
        <w:t>8</w:t>
      </w:r>
      <w:r w:rsidRPr="00E35F4D">
        <w:rPr>
          <w:sz w:val="20"/>
          <w:szCs w:val="20"/>
          <w:lang w:bidi="ar-SA"/>
        </w:rPr>
        <w:t>-49) days.</w:t>
      </w:r>
    </w:p>
    <w:p w:rsidR="00721F1F" w:rsidRPr="00E35F4D" w:rsidRDefault="00F17E29" w:rsidP="002B2928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E</w:t>
      </w:r>
      <w:r w:rsidR="000A7F3A" w:rsidRPr="00E35F4D">
        <w:rPr>
          <w:sz w:val="20"/>
          <w:szCs w:val="20"/>
          <w:lang w:bidi="ar-SA"/>
        </w:rPr>
        <w:t>arly postoperative complication</w:t>
      </w:r>
      <w:r w:rsidR="00721F1F" w:rsidRPr="00E35F4D">
        <w:rPr>
          <w:sz w:val="20"/>
          <w:szCs w:val="20"/>
          <w:lang w:bidi="ar-SA"/>
        </w:rPr>
        <w:t>, in the form of</w:t>
      </w:r>
      <w:r w:rsidR="000A7F3A" w:rsidRPr="00E35F4D">
        <w:rPr>
          <w:sz w:val="20"/>
          <w:szCs w:val="20"/>
          <w:lang w:bidi="ar-SA"/>
        </w:rPr>
        <w:t xml:space="preserve"> wound infection (6 events), intra-abdominal infections (3 </w:t>
      </w:r>
      <w:r w:rsidR="00265FBE" w:rsidRPr="00E35F4D">
        <w:rPr>
          <w:sz w:val="20"/>
          <w:szCs w:val="20"/>
          <w:lang w:bidi="ar-SA"/>
        </w:rPr>
        <w:t>events</w:t>
      </w:r>
      <w:r w:rsidR="000A7F3A" w:rsidRPr="00E35F4D">
        <w:rPr>
          <w:sz w:val="20"/>
          <w:szCs w:val="20"/>
          <w:lang w:bidi="ar-SA"/>
        </w:rPr>
        <w:t xml:space="preserve">), </w:t>
      </w:r>
      <w:proofErr w:type="spellStart"/>
      <w:r w:rsidR="000A7F3A" w:rsidRPr="00E35F4D">
        <w:rPr>
          <w:sz w:val="20"/>
          <w:szCs w:val="20"/>
          <w:lang w:bidi="ar-SA"/>
        </w:rPr>
        <w:t>anastomotic</w:t>
      </w:r>
      <w:proofErr w:type="spellEnd"/>
      <w:r w:rsidR="000A7F3A" w:rsidRPr="00E35F4D">
        <w:rPr>
          <w:sz w:val="20"/>
          <w:szCs w:val="20"/>
          <w:lang w:bidi="ar-SA"/>
        </w:rPr>
        <w:t xml:space="preserve"> leak (3 </w:t>
      </w:r>
      <w:r w:rsidR="00663DE1" w:rsidRPr="00E35F4D">
        <w:rPr>
          <w:sz w:val="20"/>
          <w:szCs w:val="20"/>
          <w:lang w:bidi="ar-SA"/>
        </w:rPr>
        <w:t>events</w:t>
      </w:r>
      <w:r w:rsidR="000A7F3A" w:rsidRPr="00E35F4D">
        <w:rPr>
          <w:sz w:val="20"/>
          <w:szCs w:val="20"/>
          <w:lang w:bidi="ar-SA"/>
        </w:rPr>
        <w:t xml:space="preserve">), stoma </w:t>
      </w:r>
      <w:r w:rsidR="000A7F3A" w:rsidRPr="00E35F4D">
        <w:rPr>
          <w:sz w:val="20"/>
          <w:szCs w:val="20"/>
          <w:lang w:bidi="ar-SA"/>
        </w:rPr>
        <w:lastRenderedPageBreak/>
        <w:t xml:space="preserve">complications (1 patient), and </w:t>
      </w:r>
      <w:r w:rsidR="000A7F3A" w:rsidRPr="00E35F4D">
        <w:rPr>
          <w:sz w:val="20"/>
          <w:szCs w:val="20"/>
        </w:rPr>
        <w:t>delayed wound healing</w:t>
      </w:r>
      <w:r w:rsidR="000A7F3A" w:rsidRPr="00E35F4D">
        <w:rPr>
          <w:sz w:val="20"/>
          <w:szCs w:val="20"/>
          <w:lang w:bidi="ar-SA"/>
        </w:rPr>
        <w:t xml:space="preserve"> (5 </w:t>
      </w:r>
      <w:r w:rsidR="00663DE1" w:rsidRPr="00E35F4D">
        <w:rPr>
          <w:sz w:val="20"/>
          <w:szCs w:val="20"/>
          <w:lang w:bidi="ar-SA"/>
        </w:rPr>
        <w:t>events)</w:t>
      </w:r>
      <w:r w:rsidR="000A7F3A" w:rsidRPr="00E35F4D">
        <w:rPr>
          <w:sz w:val="20"/>
          <w:szCs w:val="20"/>
          <w:lang w:bidi="ar-SA"/>
        </w:rPr>
        <w:t>.</w:t>
      </w:r>
    </w:p>
    <w:p w:rsidR="009D001E" w:rsidRPr="00E35F4D" w:rsidRDefault="000A7F3A" w:rsidP="002B2928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</w:rPr>
        <w:t xml:space="preserve">Delayed postoperative surgical complications were encountered in two patients who underwent LAR, one patient had </w:t>
      </w:r>
      <w:proofErr w:type="spellStart"/>
      <w:r w:rsidRPr="00E35F4D">
        <w:rPr>
          <w:rStyle w:val="A7"/>
          <w:sz w:val="20"/>
          <w:szCs w:val="20"/>
        </w:rPr>
        <w:t>a</w:t>
      </w:r>
      <w:r w:rsidRPr="00E35F4D">
        <w:rPr>
          <w:sz w:val="20"/>
          <w:szCs w:val="20"/>
          <w:lang w:bidi="ar-SA"/>
        </w:rPr>
        <w:t>n</w:t>
      </w:r>
      <w:r w:rsidR="004D36F6" w:rsidRPr="00E35F4D">
        <w:rPr>
          <w:sz w:val="20"/>
          <w:szCs w:val="20"/>
          <w:lang w:bidi="ar-SA"/>
        </w:rPr>
        <w:t>a</w:t>
      </w:r>
      <w:r w:rsidRPr="00E35F4D">
        <w:rPr>
          <w:sz w:val="20"/>
          <w:szCs w:val="20"/>
          <w:lang w:bidi="ar-SA"/>
        </w:rPr>
        <w:t>stomos</w:t>
      </w:r>
      <w:r w:rsidR="00107C97" w:rsidRPr="00E35F4D">
        <w:rPr>
          <w:sz w:val="20"/>
          <w:szCs w:val="20"/>
          <w:lang w:bidi="ar-SA"/>
        </w:rPr>
        <w:t>t</w:t>
      </w:r>
      <w:r w:rsidRPr="00E35F4D">
        <w:rPr>
          <w:sz w:val="20"/>
          <w:szCs w:val="20"/>
          <w:lang w:bidi="ar-SA"/>
        </w:rPr>
        <w:t>i</w:t>
      </w:r>
      <w:r w:rsidR="00107C97" w:rsidRPr="00E35F4D">
        <w:rPr>
          <w:sz w:val="20"/>
          <w:szCs w:val="20"/>
          <w:lang w:bidi="ar-SA"/>
        </w:rPr>
        <w:t>c</w:t>
      </w:r>
      <w:proofErr w:type="spellEnd"/>
      <w:r w:rsidRPr="00E35F4D">
        <w:rPr>
          <w:sz w:val="20"/>
          <w:szCs w:val="20"/>
          <w:lang w:bidi="ar-SA"/>
        </w:rPr>
        <w:t xml:space="preserve"> </w:t>
      </w:r>
      <w:proofErr w:type="spellStart"/>
      <w:r w:rsidRPr="00E35F4D">
        <w:rPr>
          <w:sz w:val="20"/>
          <w:szCs w:val="20"/>
          <w:lang w:bidi="ar-SA"/>
        </w:rPr>
        <w:t>stenosis</w:t>
      </w:r>
      <w:proofErr w:type="spellEnd"/>
      <w:r w:rsidRPr="00E35F4D">
        <w:rPr>
          <w:sz w:val="20"/>
          <w:szCs w:val="20"/>
        </w:rPr>
        <w:t xml:space="preserve"> and the other one had f</w:t>
      </w:r>
      <w:r w:rsidRPr="00E35F4D">
        <w:rPr>
          <w:sz w:val="20"/>
          <w:szCs w:val="20"/>
          <w:lang w:bidi="ar-SA"/>
        </w:rPr>
        <w:t>istula formation.</w:t>
      </w:r>
    </w:p>
    <w:p w:rsidR="00C734F9" w:rsidRPr="00E35F4D" w:rsidRDefault="00C734F9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The total number of </w:t>
      </w:r>
      <w:r w:rsidR="00107C97" w:rsidRPr="00E35F4D">
        <w:rPr>
          <w:sz w:val="20"/>
          <w:szCs w:val="20"/>
        </w:rPr>
        <w:t xml:space="preserve">adjuvant </w:t>
      </w:r>
      <w:r w:rsidRPr="00E35F4D">
        <w:rPr>
          <w:sz w:val="20"/>
          <w:szCs w:val="20"/>
        </w:rPr>
        <w:t xml:space="preserve">CT cycles delivered was 83 cycles with median 3 cycles (range, 1-4). Twenty-one </w:t>
      </w:r>
      <w:r w:rsidR="00107C97" w:rsidRPr="00E35F4D">
        <w:rPr>
          <w:sz w:val="20"/>
          <w:szCs w:val="20"/>
        </w:rPr>
        <w:t>(67.7%) patients had received ≥</w:t>
      </w:r>
      <w:r w:rsidRPr="00E35F4D">
        <w:rPr>
          <w:sz w:val="20"/>
          <w:szCs w:val="20"/>
        </w:rPr>
        <w:t xml:space="preserve">3 </w:t>
      </w:r>
      <w:r w:rsidR="00107C97" w:rsidRPr="00E35F4D">
        <w:rPr>
          <w:sz w:val="20"/>
          <w:szCs w:val="20"/>
        </w:rPr>
        <w:t>CT</w:t>
      </w:r>
      <w:r w:rsidRPr="00E35F4D">
        <w:rPr>
          <w:sz w:val="20"/>
          <w:szCs w:val="20"/>
        </w:rPr>
        <w:t xml:space="preserve"> cycles and about 80% of all cycles were given with full planned</w:t>
      </w:r>
      <w:r w:rsidR="00107C97" w:rsidRPr="00E35F4D">
        <w:rPr>
          <w:sz w:val="20"/>
          <w:szCs w:val="20"/>
        </w:rPr>
        <w:t xml:space="preserve"> dose</w:t>
      </w:r>
      <w:r w:rsidRPr="00E35F4D">
        <w:rPr>
          <w:sz w:val="20"/>
          <w:szCs w:val="20"/>
        </w:rPr>
        <w:t>.</w:t>
      </w:r>
    </w:p>
    <w:p w:rsidR="002B2928" w:rsidRPr="00E35F4D" w:rsidRDefault="002B2928" w:rsidP="002B2928">
      <w:pPr>
        <w:snapToGrid w:val="0"/>
        <w:ind w:firstLine="425"/>
        <w:jc w:val="both"/>
        <w:rPr>
          <w:b/>
          <w:bCs/>
          <w:sz w:val="20"/>
          <w:szCs w:val="20"/>
        </w:rPr>
        <w:sectPr w:rsidR="002B2928" w:rsidRPr="00E35F4D" w:rsidSect="002B2928">
          <w:headerReference w:type="default" r:id="rId17"/>
          <w:footerReference w:type="default" r:id="rId18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0A7F3A" w:rsidRPr="00E35F4D" w:rsidRDefault="000A7F3A" w:rsidP="002B2928">
      <w:pPr>
        <w:snapToGrid w:val="0"/>
        <w:jc w:val="center"/>
        <w:rPr>
          <w:b/>
          <w:bCs/>
          <w:sz w:val="20"/>
          <w:szCs w:val="20"/>
        </w:rPr>
      </w:pPr>
    </w:p>
    <w:p w:rsidR="003422E4" w:rsidRPr="00E35F4D" w:rsidRDefault="003422E4" w:rsidP="002B2928">
      <w:pPr>
        <w:snapToGrid w:val="0"/>
        <w:jc w:val="center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Table </w:t>
      </w:r>
      <w:r w:rsidR="00B4635B" w:rsidRPr="00E35F4D">
        <w:rPr>
          <w:b/>
          <w:bCs/>
          <w:sz w:val="20"/>
          <w:szCs w:val="20"/>
        </w:rPr>
        <w:t>4</w:t>
      </w:r>
      <w:r w:rsidR="00BA2E25" w:rsidRPr="00E35F4D">
        <w:rPr>
          <w:b/>
          <w:bCs/>
          <w:sz w:val="20"/>
          <w:szCs w:val="20"/>
        </w:rPr>
        <w:t>:</w:t>
      </w:r>
      <w:r w:rsidRPr="00E35F4D">
        <w:rPr>
          <w:b/>
          <w:bCs/>
          <w:sz w:val="20"/>
          <w:szCs w:val="20"/>
        </w:rPr>
        <w:t xml:space="preserve"> </w:t>
      </w:r>
      <w:r w:rsidR="004D7E22" w:rsidRPr="00E35F4D">
        <w:rPr>
          <w:b/>
          <w:bCs/>
          <w:sz w:val="20"/>
          <w:szCs w:val="20"/>
          <w:lang w:bidi="ar-SA"/>
        </w:rPr>
        <w:t>Treatment-induced grade 3 and 4 toxic effects</w:t>
      </w:r>
      <w:r w:rsidRPr="00E35F4D">
        <w:rPr>
          <w:b/>
          <w:bCs/>
          <w:sz w:val="20"/>
          <w:szCs w:val="20"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67"/>
        <w:gridCol w:w="1350"/>
        <w:gridCol w:w="1333"/>
        <w:gridCol w:w="1391"/>
      </w:tblGrid>
      <w:tr w:rsidR="00411C74" w:rsidRPr="00E35F4D" w:rsidTr="002B2928">
        <w:trPr>
          <w:trHeight w:val="60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C74" w:rsidRPr="00E35F4D" w:rsidRDefault="00411C7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Toxicity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C74" w:rsidRPr="00E35F4D" w:rsidRDefault="00411C74" w:rsidP="002B2928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During induction CT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C74" w:rsidRPr="00E35F4D" w:rsidRDefault="00411C7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During </w:t>
            </w:r>
            <w:r w:rsidR="0021171C"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concomitant </w:t>
            </w: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CRT</w:t>
            </w:r>
          </w:p>
        </w:tc>
      </w:tr>
      <w:tr w:rsidR="009D001E" w:rsidRPr="00E35F4D" w:rsidTr="002B2928">
        <w:trPr>
          <w:trHeight w:val="60"/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1E" w:rsidRPr="00E35F4D" w:rsidRDefault="00411C7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Grade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411C7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Grade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411C7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Grade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411C74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Grade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</w:tr>
      <w:tr w:rsidR="009D001E" w:rsidRPr="00E35F4D" w:rsidTr="002B2928">
        <w:trPr>
          <w:trHeight w:val="6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Hematologica</w:t>
            </w:r>
            <w:r w:rsidRPr="00E35F4D">
              <w:rPr>
                <w:color w:val="000000"/>
                <w:sz w:val="20"/>
                <w:szCs w:val="20"/>
              </w:rPr>
              <w:t>l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Anemia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Leucopenia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Thrombocytopenia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 (6.5)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01E" w:rsidRPr="00E35F4D" w:rsidTr="002B2928">
        <w:trPr>
          <w:trHeight w:val="134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Non-hematological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 xml:space="preserve">Nausea </w:t>
            </w:r>
            <w:r w:rsidR="00EE0572" w:rsidRPr="00E35F4D">
              <w:rPr>
                <w:color w:val="000000"/>
                <w:sz w:val="20"/>
                <w:szCs w:val="20"/>
              </w:rPr>
              <w:t>&amp;</w:t>
            </w:r>
            <w:r w:rsidRPr="00E35F4D">
              <w:rPr>
                <w:color w:val="000000"/>
                <w:sz w:val="20"/>
                <w:szCs w:val="20"/>
              </w:rPr>
              <w:t xml:space="preserve"> </w:t>
            </w:r>
            <w:r w:rsidR="00EE0572" w:rsidRPr="00E35F4D">
              <w:rPr>
                <w:color w:val="000000"/>
                <w:sz w:val="20"/>
                <w:szCs w:val="20"/>
              </w:rPr>
              <w:t>v</w:t>
            </w:r>
            <w:r w:rsidRPr="00E35F4D">
              <w:rPr>
                <w:color w:val="000000"/>
                <w:sz w:val="20"/>
                <w:szCs w:val="20"/>
              </w:rPr>
              <w:t>omiting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Diarrhea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Fatigue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Anorexia</w:t>
            </w:r>
          </w:p>
          <w:p w:rsidR="009D001E" w:rsidRPr="00E35F4D" w:rsidRDefault="00FA37F0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35F4D">
              <w:rPr>
                <w:color w:val="000000"/>
                <w:sz w:val="20"/>
                <w:szCs w:val="20"/>
                <w:lang w:bidi="ar-SA"/>
              </w:rPr>
              <w:t>N</w:t>
            </w:r>
            <w:r w:rsidR="0039389D" w:rsidRPr="00E35F4D">
              <w:rPr>
                <w:color w:val="000000"/>
                <w:sz w:val="20"/>
                <w:szCs w:val="20"/>
                <w:lang w:bidi="ar-SA"/>
              </w:rPr>
              <w:t>e</w:t>
            </w:r>
            <w:r w:rsidRPr="00E35F4D">
              <w:rPr>
                <w:color w:val="000000"/>
                <w:sz w:val="20"/>
                <w:szCs w:val="20"/>
                <w:lang w:bidi="ar-SA"/>
              </w:rPr>
              <w:t>utropenic</w:t>
            </w:r>
            <w:proofErr w:type="spellEnd"/>
            <w:r w:rsidRPr="00E35F4D">
              <w:rPr>
                <w:color w:val="000000"/>
                <w:sz w:val="20"/>
                <w:szCs w:val="20"/>
                <w:lang w:bidi="ar-SA"/>
              </w:rPr>
              <w:t xml:space="preserve"> fever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35F4D">
              <w:rPr>
                <w:color w:val="000000"/>
                <w:sz w:val="20"/>
                <w:szCs w:val="20"/>
                <w:lang w:bidi="ar-SA"/>
              </w:rPr>
              <w:t>Mucositis</w:t>
            </w:r>
            <w:proofErr w:type="spellEnd"/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35F4D">
              <w:rPr>
                <w:color w:val="000000"/>
                <w:sz w:val="20"/>
                <w:szCs w:val="20"/>
              </w:rPr>
              <w:t>Dysurea</w:t>
            </w:r>
            <w:proofErr w:type="spellEnd"/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Hand-foot skin syndrome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EE0572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</w:t>
            </w:r>
            <w:r w:rsidR="009D001E" w:rsidRPr="00E35F4D">
              <w:rPr>
                <w:color w:val="000000"/>
                <w:sz w:val="20"/>
                <w:szCs w:val="20"/>
              </w:rPr>
              <w:t xml:space="preserve"> (</w:t>
            </w:r>
            <w:r w:rsidRPr="00E35F4D">
              <w:rPr>
                <w:color w:val="000000"/>
                <w:sz w:val="20"/>
                <w:szCs w:val="20"/>
              </w:rPr>
              <w:t>9.7</w:t>
            </w:r>
            <w:r w:rsidR="009D001E" w:rsidRPr="00E35F4D">
              <w:rPr>
                <w:color w:val="000000"/>
                <w:sz w:val="20"/>
                <w:szCs w:val="20"/>
              </w:rPr>
              <w:t>)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 (16.1)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FA37F0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 (6.5)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FA37F0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B2928" w:rsidRPr="00E35F4D" w:rsidRDefault="002B2928" w:rsidP="002B2928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i/>
          <w:iCs/>
          <w:sz w:val="20"/>
          <w:szCs w:val="20"/>
        </w:rPr>
      </w:pPr>
    </w:p>
    <w:tbl>
      <w:tblPr>
        <w:tblW w:w="8568" w:type="dxa"/>
        <w:jc w:val="center"/>
        <w:tblLayout w:type="fixed"/>
        <w:tblLook w:val="04A0"/>
      </w:tblPr>
      <w:tblGrid>
        <w:gridCol w:w="4248"/>
        <w:gridCol w:w="4320"/>
      </w:tblGrid>
      <w:tr w:rsidR="004E754F" w:rsidRPr="00E35F4D" w:rsidTr="002B2928">
        <w:trPr>
          <w:jc w:val="center"/>
        </w:trPr>
        <w:tc>
          <w:tcPr>
            <w:tcW w:w="4248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noProof/>
                <w:color w:val="000000"/>
                <w:sz w:val="20"/>
                <w:szCs w:val="20"/>
                <w:lang w:eastAsia="zh-CN" w:bidi="ar-SA"/>
              </w:rPr>
            </w:pPr>
            <w:r w:rsidRPr="00E35F4D">
              <w:rPr>
                <w:noProof/>
                <w:color w:val="00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592070" cy="2711450"/>
                  <wp:effectExtent l="19050" t="0" r="0" b="0"/>
                  <wp:docPr id="1" name="Picture 8" descr="Description: D:\ابحاث الترقية الجديدة\3 Rectum\Overall survi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:\ابحاث الترقية الجديدة\3 Rectum\Overall surviv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271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928" w:rsidRPr="00E35F4D" w:rsidRDefault="002B2928" w:rsidP="002B2928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Figure (1):</w:t>
            </w:r>
            <w:r w:rsidRPr="00E35F4D">
              <w:rPr>
                <w:color w:val="000000"/>
                <w:sz w:val="20"/>
                <w:szCs w:val="20"/>
              </w:rPr>
              <w:t xml:space="preserve"> Overall survival of all patients.</w:t>
            </w:r>
          </w:p>
        </w:tc>
        <w:tc>
          <w:tcPr>
            <w:tcW w:w="4320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noProof/>
                <w:color w:val="000000"/>
                <w:sz w:val="20"/>
                <w:szCs w:val="20"/>
                <w:lang w:eastAsia="zh-CN" w:bidi="ar-SA"/>
              </w:rPr>
            </w:pPr>
            <w:r w:rsidRPr="00E35F4D">
              <w:rPr>
                <w:noProof/>
                <w:color w:val="00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592070" cy="2711450"/>
                  <wp:effectExtent l="19050" t="0" r="0" b="0"/>
                  <wp:docPr id="2" name="Picture 7" descr="Description: D:\ابحاث الترقية الجديدة\3 Rectum\Disease Free Survi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D:\ابحاث الترقية الجديدة\3 Rectum\Disease Free Surviv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271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928" w:rsidRPr="00E35F4D" w:rsidRDefault="002B2928" w:rsidP="002B2928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Figure (2):</w:t>
            </w:r>
            <w:r w:rsidRPr="00E35F4D">
              <w:rPr>
                <w:color w:val="000000"/>
                <w:sz w:val="20"/>
                <w:szCs w:val="20"/>
              </w:rPr>
              <w:t xml:space="preserve"> Disease free survival of all patients.</w:t>
            </w:r>
          </w:p>
        </w:tc>
      </w:tr>
    </w:tbl>
    <w:p w:rsidR="002B2928" w:rsidRPr="00E35F4D" w:rsidRDefault="002B2928">
      <w:pPr>
        <w:rPr>
          <w:sz w:val="20"/>
          <w:szCs w:val="20"/>
          <w:lang w:eastAsia="zh-CN"/>
        </w:rPr>
      </w:pPr>
    </w:p>
    <w:p w:rsidR="002B2928" w:rsidRPr="00E35F4D" w:rsidRDefault="002B2928" w:rsidP="002B2928">
      <w:pPr>
        <w:autoSpaceDE w:val="0"/>
        <w:autoSpaceDN w:val="0"/>
        <w:adjustRightInd w:val="0"/>
        <w:snapToGrid w:val="0"/>
        <w:jc w:val="both"/>
        <w:rPr>
          <w:b/>
          <w:bCs/>
          <w:i/>
          <w:iCs/>
          <w:sz w:val="20"/>
          <w:szCs w:val="20"/>
        </w:rPr>
        <w:sectPr w:rsidR="002B2928" w:rsidRPr="00E35F4D" w:rsidSect="00BC5AB1">
          <w:headerReference w:type="default" r:id="rId21"/>
          <w:footerReference w:type="default" r:id="rId22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2B2928" w:rsidRPr="00E35F4D" w:rsidRDefault="002B2928" w:rsidP="002B2928">
      <w:pPr>
        <w:autoSpaceDE w:val="0"/>
        <w:autoSpaceDN w:val="0"/>
        <w:adjustRightInd w:val="0"/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lastRenderedPageBreak/>
        <w:t>Survival</w:t>
      </w:r>
    </w:p>
    <w:p w:rsidR="002B2928" w:rsidRPr="00E35F4D" w:rsidRDefault="002B2928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As regard the survival outcome for all patients, the median OS time was 28 months (range, 14-42), mean ± SD was 27.8±7.1 months and the 2-year OS rate was 83% (figure 1).</w:t>
      </w:r>
    </w:p>
    <w:p w:rsidR="002B2928" w:rsidRPr="00E35F4D" w:rsidRDefault="002B2928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lastRenderedPageBreak/>
        <w:t>The median DFS time was 26 (range, 9-42) months, mean ± SD was 25.6±9.3 months and the 2-year DFS rate was 67.4% (figure 2).</w:t>
      </w:r>
    </w:p>
    <w:p w:rsidR="002B2928" w:rsidRPr="00E35F4D" w:rsidRDefault="002B2928" w:rsidP="002B2928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Local failure had occurred in 4 (</w:t>
      </w:r>
      <w:r w:rsidRPr="00E35F4D">
        <w:rPr>
          <w:sz w:val="20"/>
          <w:szCs w:val="20"/>
          <w:lang w:bidi="ar-SA"/>
        </w:rPr>
        <w:t>12.9</w:t>
      </w:r>
      <w:r w:rsidRPr="00E35F4D">
        <w:rPr>
          <w:sz w:val="20"/>
          <w:szCs w:val="20"/>
        </w:rPr>
        <w:t xml:space="preserve">%) patients, 2 (6.5%) of them had local failure alone and 2 (6.5%) </w:t>
      </w:r>
      <w:r w:rsidRPr="00E35F4D">
        <w:rPr>
          <w:sz w:val="20"/>
          <w:szCs w:val="20"/>
        </w:rPr>
        <w:lastRenderedPageBreak/>
        <w:t xml:space="preserve">patients had both local and distant failures. </w:t>
      </w:r>
      <w:proofErr w:type="spellStart"/>
      <w:r w:rsidRPr="00E35F4D">
        <w:rPr>
          <w:sz w:val="20"/>
          <w:szCs w:val="20"/>
          <w:lang w:bidi="ar-SA"/>
        </w:rPr>
        <w:t>Anastomosis</w:t>
      </w:r>
      <w:proofErr w:type="spellEnd"/>
      <w:r w:rsidRPr="00E35F4D">
        <w:rPr>
          <w:sz w:val="20"/>
          <w:szCs w:val="20"/>
          <w:lang w:bidi="ar-SA"/>
        </w:rPr>
        <w:t xml:space="preserve"> site</w:t>
      </w:r>
      <w:r w:rsidRPr="00E35F4D">
        <w:rPr>
          <w:sz w:val="20"/>
          <w:szCs w:val="20"/>
        </w:rPr>
        <w:t xml:space="preserve"> was the commonest site of local failure constituted 9.7% of all patients followed with perineum (</w:t>
      </w:r>
      <w:r w:rsidRPr="00E35F4D">
        <w:rPr>
          <w:sz w:val="20"/>
          <w:szCs w:val="20"/>
          <w:lang w:bidi="ar-SA"/>
        </w:rPr>
        <w:t>3.2</w:t>
      </w:r>
      <w:r w:rsidRPr="00E35F4D">
        <w:rPr>
          <w:sz w:val="20"/>
          <w:szCs w:val="20"/>
        </w:rPr>
        <w:t>%). The median local recurrence free survival (LRFS) time was 27 (range 9-42) months, mean ± SD was 27±8 months and the 2-year LRFS rate was 86% (figure 3).</w:t>
      </w:r>
    </w:p>
    <w:p w:rsidR="002B2928" w:rsidRPr="00E35F4D" w:rsidRDefault="002B2928" w:rsidP="002B2928">
      <w:pPr>
        <w:ind w:firstLine="425"/>
        <w:jc w:val="both"/>
        <w:rPr>
          <w:sz w:val="20"/>
          <w:szCs w:val="20"/>
          <w:lang w:eastAsia="zh-CN"/>
        </w:rPr>
      </w:pPr>
      <w:r w:rsidRPr="00E35F4D">
        <w:rPr>
          <w:sz w:val="20"/>
          <w:szCs w:val="20"/>
        </w:rPr>
        <w:t>Distant failure had occurred in 9 (</w:t>
      </w:r>
      <w:r w:rsidRPr="00E35F4D">
        <w:rPr>
          <w:sz w:val="20"/>
          <w:szCs w:val="20"/>
          <w:lang w:bidi="ar-SA"/>
        </w:rPr>
        <w:t>29</w:t>
      </w:r>
      <w:r w:rsidRPr="00E35F4D">
        <w:rPr>
          <w:sz w:val="20"/>
          <w:szCs w:val="20"/>
        </w:rPr>
        <w:t xml:space="preserve">%) patients, 7 (22.6%) of them had distant failure alone and 2 </w:t>
      </w:r>
      <w:r w:rsidRPr="00E35F4D">
        <w:rPr>
          <w:sz w:val="20"/>
          <w:szCs w:val="20"/>
        </w:rPr>
        <w:lastRenderedPageBreak/>
        <w:t>(6.5%) patents had both local and distant failures. The lung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</w:rPr>
        <w:t xml:space="preserve">was the commonest site of distant failure that constituted </w:t>
      </w:r>
      <w:r w:rsidRPr="00E35F4D">
        <w:rPr>
          <w:sz w:val="20"/>
          <w:szCs w:val="20"/>
          <w:lang w:bidi="ar-SA"/>
        </w:rPr>
        <w:t>12.9</w:t>
      </w:r>
      <w:r w:rsidRPr="00E35F4D">
        <w:rPr>
          <w:sz w:val="20"/>
          <w:szCs w:val="20"/>
        </w:rPr>
        <w:t>% of all patients followed by the l</w:t>
      </w:r>
      <w:r w:rsidRPr="00E35F4D">
        <w:rPr>
          <w:sz w:val="20"/>
          <w:szCs w:val="20"/>
          <w:lang w:bidi="ar-SA"/>
        </w:rPr>
        <w:t>iver</w:t>
      </w:r>
      <w:r w:rsidRPr="00E35F4D">
        <w:rPr>
          <w:sz w:val="20"/>
          <w:szCs w:val="20"/>
        </w:rPr>
        <w:t xml:space="preserve"> (</w:t>
      </w:r>
      <w:r w:rsidRPr="00E35F4D">
        <w:rPr>
          <w:sz w:val="20"/>
          <w:szCs w:val="20"/>
          <w:lang w:bidi="ar-SA"/>
        </w:rPr>
        <w:t>9.7</w:t>
      </w:r>
      <w:r w:rsidRPr="00E35F4D">
        <w:rPr>
          <w:sz w:val="20"/>
          <w:szCs w:val="20"/>
        </w:rPr>
        <w:t>%),</w:t>
      </w:r>
      <w:r w:rsidRPr="00E35F4D">
        <w:rPr>
          <w:sz w:val="20"/>
          <w:szCs w:val="20"/>
          <w:lang w:bidi="ar-SA"/>
        </w:rPr>
        <w:t xml:space="preserve"> both lung and liver (4%)</w:t>
      </w:r>
      <w:r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  <w:lang w:bidi="ar-SA"/>
        </w:rPr>
        <w:t>and lymph nodes (3.2%)</w:t>
      </w:r>
      <w:r w:rsidRPr="00E35F4D">
        <w:rPr>
          <w:sz w:val="20"/>
          <w:szCs w:val="20"/>
        </w:rPr>
        <w:t>.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</w:rPr>
        <w:t>The median distant metastases free survival (DMFS) time was 27 (range 11-42) months, mean ± SD was 26.1±9 months and the 2-year DMFS rate was 71% (figure 4).</w:t>
      </w:r>
    </w:p>
    <w:p w:rsidR="002B2928" w:rsidRPr="00E35F4D" w:rsidRDefault="002B2928">
      <w:pPr>
        <w:rPr>
          <w:sz w:val="20"/>
          <w:szCs w:val="20"/>
          <w:lang w:eastAsia="zh-CN"/>
        </w:rPr>
        <w:sectPr w:rsidR="002B2928" w:rsidRPr="00E35F4D" w:rsidSect="002B2928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B2928" w:rsidRPr="00E35F4D" w:rsidRDefault="002B2928">
      <w:pPr>
        <w:rPr>
          <w:sz w:val="20"/>
          <w:szCs w:val="20"/>
          <w:lang w:eastAsia="zh-CN"/>
        </w:rPr>
      </w:pPr>
    </w:p>
    <w:tbl>
      <w:tblPr>
        <w:tblW w:w="8568" w:type="dxa"/>
        <w:jc w:val="center"/>
        <w:tblLayout w:type="fixed"/>
        <w:tblLook w:val="04A0"/>
      </w:tblPr>
      <w:tblGrid>
        <w:gridCol w:w="4248"/>
        <w:gridCol w:w="4320"/>
      </w:tblGrid>
      <w:tr w:rsidR="004E754F" w:rsidRPr="00E35F4D" w:rsidTr="002B2928">
        <w:trPr>
          <w:jc w:val="center"/>
        </w:trPr>
        <w:tc>
          <w:tcPr>
            <w:tcW w:w="4248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noProof/>
                <w:color w:val="00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600325" cy="2719070"/>
                  <wp:effectExtent l="19050" t="0" r="9525" b="0"/>
                  <wp:docPr id="3" name="Picture 5" descr="Description: D:\ابحاث الترقية الجديدة\3 Rectum\Local recurrence F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:\ابحاث الترقية الجديدة\3 Rectum\Local recurrence F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71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noProof/>
                <w:color w:val="000000"/>
                <w:sz w:val="20"/>
                <w:szCs w:val="20"/>
                <w:lang w:eastAsia="zh-CN" w:bidi="ar-SA"/>
              </w:rPr>
              <w:drawing>
                <wp:inline distT="0" distB="0" distL="0" distR="0">
                  <wp:extent cx="2592070" cy="2711450"/>
                  <wp:effectExtent l="19050" t="0" r="0" b="0"/>
                  <wp:docPr id="4" name="Picture 6" descr="Description: D:\ابحاث الترقية الجديدة\3 Rectum\Local recurrence F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:\ابحاث الترقية الجديدة\3 Rectum\Local recurrence F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271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54F" w:rsidRPr="00E35F4D" w:rsidTr="002B2928">
        <w:trPr>
          <w:jc w:val="center"/>
        </w:trPr>
        <w:tc>
          <w:tcPr>
            <w:tcW w:w="4248" w:type="dxa"/>
            <w:shd w:val="clear" w:color="auto" w:fill="auto"/>
          </w:tcPr>
          <w:p w:rsidR="004E754F" w:rsidRPr="00E35F4D" w:rsidRDefault="004E754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Figure (3):</w:t>
            </w:r>
            <w:r w:rsidRPr="00E35F4D">
              <w:rPr>
                <w:color w:val="000000"/>
                <w:sz w:val="20"/>
                <w:szCs w:val="20"/>
              </w:rPr>
              <w:t xml:space="preserve"> Local </w:t>
            </w:r>
            <w:r w:rsidR="00010559" w:rsidRPr="00E35F4D">
              <w:rPr>
                <w:color w:val="000000"/>
                <w:sz w:val="20"/>
                <w:szCs w:val="20"/>
              </w:rPr>
              <w:t>recurrence f</w:t>
            </w:r>
            <w:r w:rsidRPr="00E35F4D">
              <w:rPr>
                <w:color w:val="000000"/>
                <w:sz w:val="20"/>
                <w:szCs w:val="20"/>
              </w:rPr>
              <w:t xml:space="preserve">ree survival of </w:t>
            </w:r>
            <w:r w:rsidR="00010559" w:rsidRPr="00E35F4D">
              <w:rPr>
                <w:color w:val="000000"/>
                <w:sz w:val="20"/>
                <w:szCs w:val="20"/>
              </w:rPr>
              <w:t>all</w:t>
            </w:r>
            <w:r w:rsidRPr="00E35F4D">
              <w:rPr>
                <w:color w:val="000000"/>
                <w:sz w:val="20"/>
                <w:szCs w:val="20"/>
              </w:rPr>
              <w:t xml:space="preserve"> patients.</w:t>
            </w:r>
          </w:p>
        </w:tc>
        <w:tc>
          <w:tcPr>
            <w:tcW w:w="4320" w:type="dxa"/>
            <w:shd w:val="clear" w:color="auto" w:fill="auto"/>
          </w:tcPr>
          <w:p w:rsidR="004E754F" w:rsidRPr="00E35F4D" w:rsidRDefault="004E754F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Figure (4): </w:t>
            </w:r>
            <w:r w:rsidRPr="00E35F4D">
              <w:rPr>
                <w:color w:val="000000"/>
                <w:sz w:val="20"/>
                <w:szCs w:val="20"/>
              </w:rPr>
              <w:t xml:space="preserve">Distant </w:t>
            </w:r>
            <w:r w:rsidR="00010559" w:rsidRPr="00E35F4D">
              <w:rPr>
                <w:color w:val="000000"/>
                <w:sz w:val="20"/>
                <w:szCs w:val="20"/>
              </w:rPr>
              <w:t>m</w:t>
            </w:r>
            <w:r w:rsidRPr="00E35F4D">
              <w:rPr>
                <w:color w:val="000000"/>
                <w:sz w:val="20"/>
                <w:szCs w:val="20"/>
              </w:rPr>
              <w:t xml:space="preserve">etastases </w:t>
            </w:r>
            <w:r w:rsidR="00010559" w:rsidRPr="00E35F4D">
              <w:rPr>
                <w:color w:val="000000"/>
                <w:sz w:val="20"/>
                <w:szCs w:val="20"/>
              </w:rPr>
              <w:t>f</w:t>
            </w:r>
            <w:r w:rsidRPr="00E35F4D">
              <w:rPr>
                <w:color w:val="000000"/>
                <w:sz w:val="20"/>
                <w:szCs w:val="20"/>
              </w:rPr>
              <w:t xml:space="preserve">ree </w:t>
            </w:r>
            <w:r w:rsidR="00010559" w:rsidRPr="00E35F4D">
              <w:rPr>
                <w:color w:val="000000"/>
                <w:sz w:val="20"/>
                <w:szCs w:val="20"/>
              </w:rPr>
              <w:t>s</w:t>
            </w:r>
            <w:r w:rsidRPr="00E35F4D">
              <w:rPr>
                <w:color w:val="000000"/>
                <w:sz w:val="20"/>
                <w:szCs w:val="20"/>
              </w:rPr>
              <w:t xml:space="preserve">urvival of </w:t>
            </w:r>
            <w:r w:rsidR="00010559" w:rsidRPr="00E35F4D">
              <w:rPr>
                <w:color w:val="000000"/>
                <w:sz w:val="20"/>
                <w:szCs w:val="20"/>
              </w:rPr>
              <w:t>all</w:t>
            </w:r>
            <w:r w:rsidRPr="00E35F4D">
              <w:rPr>
                <w:color w:val="000000"/>
                <w:sz w:val="20"/>
                <w:szCs w:val="20"/>
              </w:rPr>
              <w:t xml:space="preserve"> patients.</w:t>
            </w:r>
          </w:p>
        </w:tc>
      </w:tr>
    </w:tbl>
    <w:p w:rsidR="002B2928" w:rsidRPr="00E35F4D" w:rsidRDefault="002B2928" w:rsidP="002B2928">
      <w:pPr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</w:p>
    <w:p w:rsidR="002B2928" w:rsidRPr="00E35F4D" w:rsidRDefault="002B2928" w:rsidP="002B2928">
      <w:pPr>
        <w:snapToGrid w:val="0"/>
        <w:ind w:firstLine="425"/>
        <w:jc w:val="both"/>
        <w:rPr>
          <w:b/>
          <w:bCs/>
          <w:sz w:val="20"/>
          <w:szCs w:val="20"/>
          <w:lang w:bidi="ar-SA"/>
        </w:rPr>
        <w:sectPr w:rsidR="002B2928" w:rsidRPr="00E35F4D" w:rsidSect="00BC5AB1"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0E6496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  <w:lang w:bidi="ar-SA"/>
        </w:rPr>
        <w:lastRenderedPageBreak/>
        <w:t xml:space="preserve">4. </w:t>
      </w:r>
      <w:r w:rsidR="00282ACB" w:rsidRPr="00E35F4D">
        <w:rPr>
          <w:b/>
          <w:bCs/>
          <w:sz w:val="20"/>
          <w:szCs w:val="20"/>
          <w:lang w:bidi="ar-SA"/>
        </w:rPr>
        <w:t>Discussion</w:t>
      </w:r>
    </w:p>
    <w:p w:rsidR="006706A3" w:rsidRPr="00E35F4D" w:rsidRDefault="00D26D70" w:rsidP="002B2928">
      <w:pPr>
        <w:snapToGrid w:val="0"/>
        <w:ind w:firstLine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color w:val="131313"/>
          <w:sz w:val="20"/>
          <w:szCs w:val="20"/>
          <w:lang w:bidi="ar-SA"/>
        </w:rPr>
        <w:t>Chemoradiation</w:t>
      </w:r>
      <w:proofErr w:type="spellEnd"/>
      <w:r w:rsidRPr="00E35F4D">
        <w:rPr>
          <w:color w:val="131313"/>
          <w:sz w:val="20"/>
          <w:szCs w:val="20"/>
          <w:lang w:bidi="ar-SA"/>
        </w:rPr>
        <w:t xml:space="preserve"> </w:t>
      </w:r>
      <w:r w:rsidR="00B753F3" w:rsidRPr="00E35F4D">
        <w:rPr>
          <w:color w:val="131313"/>
          <w:sz w:val="20"/>
          <w:szCs w:val="20"/>
          <w:lang w:bidi="ar-SA"/>
        </w:rPr>
        <w:t>and surgical resection are important elements of multimodality treatment for patients</w:t>
      </w:r>
      <w:r w:rsidR="00BA23B2" w:rsidRPr="00E35F4D">
        <w:rPr>
          <w:color w:val="131313"/>
          <w:sz w:val="20"/>
          <w:szCs w:val="20"/>
          <w:lang w:bidi="ar-SA"/>
        </w:rPr>
        <w:t xml:space="preserve"> with</w:t>
      </w:r>
      <w:r w:rsidR="00B753F3" w:rsidRPr="00E35F4D">
        <w:rPr>
          <w:color w:val="131313"/>
          <w:sz w:val="20"/>
          <w:szCs w:val="20"/>
          <w:lang w:bidi="ar-SA"/>
        </w:rPr>
        <w:t xml:space="preserve"> rectal cancer. The optimum sequence of these modalities </w:t>
      </w:r>
      <w:r w:rsidR="00E31D83" w:rsidRPr="00E35F4D">
        <w:rPr>
          <w:color w:val="131313"/>
          <w:sz w:val="20"/>
          <w:szCs w:val="20"/>
          <w:lang w:bidi="ar-SA"/>
        </w:rPr>
        <w:t xml:space="preserve">had </w:t>
      </w:r>
      <w:r w:rsidR="00B753F3" w:rsidRPr="00E35F4D">
        <w:rPr>
          <w:color w:val="131313"/>
          <w:sz w:val="20"/>
          <w:szCs w:val="20"/>
          <w:lang w:bidi="ar-SA"/>
        </w:rPr>
        <w:t>been addressed in several randomized trials</w:t>
      </w:r>
      <w:r w:rsidR="00E31D83" w:rsidRPr="00E35F4D">
        <w:rPr>
          <w:color w:val="131313"/>
          <w:sz w:val="20"/>
          <w:szCs w:val="20"/>
          <w:lang w:bidi="ar-SA"/>
        </w:rPr>
        <w:t>.</w:t>
      </w:r>
      <w:r w:rsidR="00B753F3" w:rsidRPr="00E35F4D">
        <w:rPr>
          <w:color w:val="131313"/>
          <w:sz w:val="20"/>
          <w:szCs w:val="20"/>
          <w:lang w:bidi="ar-SA"/>
        </w:rPr>
        <w:t xml:space="preserve"> </w:t>
      </w:r>
      <w:r w:rsidR="00E31D83" w:rsidRPr="00E35F4D">
        <w:rPr>
          <w:color w:val="131313"/>
          <w:sz w:val="20"/>
          <w:szCs w:val="20"/>
          <w:lang w:bidi="ar-SA"/>
        </w:rPr>
        <w:t>P</w:t>
      </w:r>
      <w:r w:rsidR="00B753F3" w:rsidRPr="00E35F4D">
        <w:rPr>
          <w:color w:val="131313"/>
          <w:sz w:val="20"/>
          <w:szCs w:val="20"/>
          <w:lang w:bidi="ar-SA"/>
        </w:rPr>
        <w:t xml:space="preserve">reoperative RT/CRT has been </w:t>
      </w:r>
      <w:r w:rsidR="00B753F3" w:rsidRPr="00E35F4D">
        <w:rPr>
          <w:color w:val="000000"/>
          <w:sz w:val="20"/>
          <w:szCs w:val="20"/>
          <w:lang w:bidi="ar-SA"/>
        </w:rPr>
        <w:t xml:space="preserve">shown to be superior to </w:t>
      </w:r>
      <w:r w:rsidR="00BA23B2" w:rsidRPr="00E35F4D">
        <w:rPr>
          <w:color w:val="000000"/>
          <w:sz w:val="20"/>
          <w:szCs w:val="20"/>
          <w:lang w:bidi="ar-SA"/>
        </w:rPr>
        <w:t>adjuvant</w:t>
      </w:r>
      <w:r w:rsidR="00B753F3" w:rsidRPr="00E35F4D">
        <w:rPr>
          <w:color w:val="000000"/>
          <w:sz w:val="20"/>
          <w:szCs w:val="20"/>
          <w:lang w:bidi="ar-SA"/>
        </w:rPr>
        <w:t xml:space="preserve"> treatment for a variety of endpoints</w:t>
      </w:r>
      <w:r w:rsidR="00E36315" w:rsidRPr="00E35F4D">
        <w:rPr>
          <w:color w:val="000000"/>
          <w:sz w:val="20"/>
          <w:szCs w:val="20"/>
          <w:lang w:bidi="ar-SA"/>
        </w:rPr>
        <w:t xml:space="preserve"> in locally advanced rectal cancer with</w:t>
      </w:r>
      <w:r w:rsidR="00B753F3" w:rsidRPr="00E35F4D">
        <w:rPr>
          <w:color w:val="000000"/>
          <w:sz w:val="20"/>
          <w:szCs w:val="20"/>
          <w:lang w:bidi="ar-SA"/>
        </w:rPr>
        <w:t xml:space="preserve"> </w:t>
      </w:r>
      <w:r w:rsidR="00E36315" w:rsidRPr="00E35F4D">
        <w:rPr>
          <w:color w:val="000000"/>
          <w:sz w:val="20"/>
          <w:szCs w:val="20"/>
          <w:lang w:bidi="ar-SA"/>
        </w:rPr>
        <w:t xml:space="preserve">local recurrence rates </w:t>
      </w:r>
      <w:r w:rsidR="00070043" w:rsidRPr="00E35F4D">
        <w:rPr>
          <w:color w:val="000000"/>
          <w:sz w:val="20"/>
          <w:szCs w:val="20"/>
          <w:lang w:bidi="ar-SA"/>
        </w:rPr>
        <w:t>were</w:t>
      </w:r>
      <w:r w:rsidR="00E36315" w:rsidRPr="00E35F4D">
        <w:rPr>
          <w:color w:val="000000"/>
          <w:sz w:val="20"/>
          <w:szCs w:val="20"/>
          <w:lang w:bidi="ar-SA"/>
        </w:rPr>
        <w:t xml:space="preserve"> less than 10% </w:t>
      </w:r>
      <w:r w:rsidR="00B753F3" w:rsidRPr="00E35F4D">
        <w:rPr>
          <w:b/>
          <w:bCs/>
          <w:color w:val="000000"/>
          <w:sz w:val="20"/>
          <w:szCs w:val="20"/>
          <w:lang w:bidi="ar-SA"/>
        </w:rPr>
        <w:t>[</w:t>
      </w:r>
      <w:r w:rsidR="008364A4" w:rsidRPr="00E35F4D">
        <w:rPr>
          <w:b/>
          <w:bCs/>
          <w:color w:val="000000"/>
          <w:sz w:val="20"/>
          <w:szCs w:val="20"/>
          <w:lang w:bidi="ar-SA"/>
        </w:rPr>
        <w:t>3</w:t>
      </w:r>
      <w:r w:rsidR="00B753F3" w:rsidRPr="00E35F4D">
        <w:rPr>
          <w:b/>
          <w:bCs/>
          <w:color w:val="000000"/>
          <w:sz w:val="20"/>
          <w:szCs w:val="20"/>
          <w:lang w:bidi="ar-SA"/>
        </w:rPr>
        <w:t xml:space="preserve">, </w:t>
      </w:r>
      <w:r w:rsidR="008364A4" w:rsidRPr="00E35F4D">
        <w:rPr>
          <w:b/>
          <w:bCs/>
          <w:color w:val="000000"/>
          <w:sz w:val="20"/>
          <w:szCs w:val="20"/>
          <w:lang w:bidi="ar-SA"/>
        </w:rPr>
        <w:t>4</w:t>
      </w:r>
      <w:r w:rsidR="001C5928" w:rsidRPr="00E35F4D">
        <w:rPr>
          <w:b/>
          <w:bCs/>
          <w:color w:val="000000"/>
          <w:sz w:val="20"/>
          <w:szCs w:val="20"/>
          <w:lang w:bidi="ar-SA"/>
        </w:rPr>
        <w:t>,</w:t>
      </w:r>
      <w:r w:rsidR="001C5928" w:rsidRPr="00E35F4D">
        <w:rPr>
          <w:rFonts w:eastAsia="OfficinaSansLT-Book"/>
          <w:b/>
          <w:bCs/>
          <w:color w:val="000000"/>
          <w:sz w:val="20"/>
          <w:szCs w:val="20"/>
          <w:lang w:bidi="ar-SA"/>
        </w:rPr>
        <w:t xml:space="preserve"> </w:t>
      </w:r>
      <w:proofErr w:type="gramStart"/>
      <w:r w:rsidR="001C5928" w:rsidRPr="00E35F4D">
        <w:rPr>
          <w:rFonts w:eastAsia="OfficinaSansLT-Book"/>
          <w:b/>
          <w:bCs/>
          <w:color w:val="000000"/>
          <w:sz w:val="20"/>
          <w:szCs w:val="20"/>
          <w:lang w:bidi="ar-SA"/>
        </w:rPr>
        <w:t>17</w:t>
      </w:r>
      <w:proofErr w:type="gramEnd"/>
      <w:r w:rsidR="00B753F3" w:rsidRPr="00E35F4D">
        <w:rPr>
          <w:b/>
          <w:bCs/>
          <w:color w:val="000000"/>
          <w:sz w:val="20"/>
          <w:szCs w:val="20"/>
          <w:lang w:bidi="ar-SA"/>
        </w:rPr>
        <w:t>]</w:t>
      </w:r>
      <w:r w:rsidR="00B753F3" w:rsidRPr="00E35F4D">
        <w:rPr>
          <w:color w:val="000000"/>
          <w:sz w:val="20"/>
          <w:szCs w:val="20"/>
          <w:lang w:bidi="ar-SA"/>
        </w:rPr>
        <w:t xml:space="preserve">. The development of distant metastases </w:t>
      </w:r>
      <w:r w:rsidR="00070043" w:rsidRPr="00E35F4D">
        <w:rPr>
          <w:color w:val="000000"/>
          <w:sz w:val="20"/>
          <w:szCs w:val="20"/>
          <w:lang w:bidi="ar-SA"/>
        </w:rPr>
        <w:t>recorded to be</w:t>
      </w:r>
      <w:r w:rsidR="00B753F3" w:rsidRPr="00E35F4D">
        <w:rPr>
          <w:color w:val="000000"/>
          <w:sz w:val="20"/>
          <w:szCs w:val="20"/>
          <w:lang w:bidi="ar-SA"/>
        </w:rPr>
        <w:t xml:space="preserve"> the predominant mode of failure in rectal cancer (30–35%). </w:t>
      </w:r>
      <w:r w:rsidR="00BA23B2" w:rsidRPr="00E35F4D">
        <w:rPr>
          <w:color w:val="000000"/>
          <w:sz w:val="20"/>
          <w:szCs w:val="20"/>
          <w:lang w:bidi="ar-SA"/>
        </w:rPr>
        <w:t>So,</w:t>
      </w:r>
      <w:r w:rsidR="00B753F3" w:rsidRPr="00E35F4D">
        <w:rPr>
          <w:color w:val="000000"/>
          <w:sz w:val="20"/>
          <w:szCs w:val="20"/>
          <w:lang w:bidi="ar-SA"/>
        </w:rPr>
        <w:t xml:space="preserve"> integrating more effective systemic </w:t>
      </w:r>
      <w:r w:rsidR="00070043" w:rsidRPr="00E35F4D">
        <w:rPr>
          <w:color w:val="000000"/>
          <w:sz w:val="20"/>
          <w:szCs w:val="20"/>
          <w:lang w:bidi="ar-SA"/>
        </w:rPr>
        <w:t>chemo</w:t>
      </w:r>
      <w:r w:rsidR="00B753F3" w:rsidRPr="00E35F4D">
        <w:rPr>
          <w:color w:val="000000"/>
          <w:sz w:val="20"/>
          <w:szCs w:val="20"/>
          <w:lang w:bidi="ar-SA"/>
        </w:rPr>
        <w:t xml:space="preserve">therapy into combined modality programs </w:t>
      </w:r>
      <w:r w:rsidR="006706A3" w:rsidRPr="00E35F4D">
        <w:rPr>
          <w:color w:val="000000"/>
          <w:sz w:val="20"/>
          <w:szCs w:val="20"/>
          <w:lang w:bidi="ar-SA"/>
        </w:rPr>
        <w:t>in rectal cancer patients is a matter of debate</w:t>
      </w:r>
      <w:r w:rsidR="002B2928" w:rsidRPr="00E35F4D">
        <w:rPr>
          <w:color w:val="000000"/>
          <w:sz w:val="20"/>
          <w:szCs w:val="20"/>
          <w:lang w:bidi="ar-SA"/>
        </w:rPr>
        <w:t xml:space="preserve"> </w:t>
      </w:r>
      <w:r w:rsidR="006706A3" w:rsidRPr="00E35F4D">
        <w:rPr>
          <w:color w:val="000000"/>
          <w:sz w:val="20"/>
          <w:szCs w:val="20"/>
          <w:lang w:bidi="ar-SA"/>
        </w:rPr>
        <w:t>primarily because satisfactory local control rates can be achieved with preoperative CRT alone</w:t>
      </w:r>
      <w:r w:rsidR="00070043" w:rsidRPr="00E35F4D">
        <w:rPr>
          <w:sz w:val="20"/>
          <w:szCs w:val="20"/>
          <w:lang w:bidi="ar-SA"/>
        </w:rPr>
        <w:t xml:space="preserve"> </w:t>
      </w:r>
      <w:r w:rsidR="00070043" w:rsidRPr="00E35F4D">
        <w:rPr>
          <w:b/>
          <w:bCs/>
          <w:sz w:val="20"/>
          <w:szCs w:val="20"/>
        </w:rPr>
        <w:t>[</w:t>
      </w:r>
      <w:r w:rsidR="00070043" w:rsidRPr="00E35F4D">
        <w:rPr>
          <w:b/>
          <w:bCs/>
          <w:sz w:val="20"/>
          <w:szCs w:val="20"/>
          <w:lang w:bidi="ar-SA"/>
        </w:rPr>
        <w:t>10, 18]</w:t>
      </w:r>
      <w:r w:rsidR="006706A3" w:rsidRPr="00E35F4D">
        <w:rPr>
          <w:sz w:val="20"/>
          <w:szCs w:val="20"/>
          <w:lang w:bidi="ar-SA"/>
        </w:rPr>
        <w:t>.</w:t>
      </w:r>
    </w:p>
    <w:p w:rsidR="000C7381" w:rsidRPr="00E35F4D" w:rsidRDefault="00515BD3" w:rsidP="002B2928">
      <w:pPr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In the present study</w:t>
      </w:r>
      <w:r w:rsidR="00D4029F" w:rsidRPr="00E35F4D">
        <w:rPr>
          <w:sz w:val="20"/>
          <w:szCs w:val="20"/>
          <w:lang w:bidi="ar-SA"/>
        </w:rPr>
        <w:t xml:space="preserve"> out of the 31 patients treated with surgery, 29 (93.5%) patients had a radical R0 resection</w:t>
      </w:r>
      <w:r w:rsidR="002B7363" w:rsidRPr="00E35F4D">
        <w:rPr>
          <w:sz w:val="20"/>
          <w:szCs w:val="20"/>
          <w:lang w:bidi="ar-SA"/>
        </w:rPr>
        <w:t xml:space="preserve"> and this</w:t>
      </w:r>
      <w:r w:rsidR="00BB61C3" w:rsidRPr="00E35F4D">
        <w:rPr>
          <w:sz w:val="20"/>
          <w:szCs w:val="20"/>
          <w:lang w:bidi="ar-SA"/>
        </w:rPr>
        <w:t xml:space="preserve"> result</w:t>
      </w:r>
      <w:r w:rsidR="0027779D" w:rsidRPr="00E35F4D">
        <w:rPr>
          <w:sz w:val="20"/>
          <w:szCs w:val="20"/>
          <w:lang w:bidi="ar-SA"/>
        </w:rPr>
        <w:t xml:space="preserve"> was </w:t>
      </w:r>
      <w:r w:rsidR="00070043" w:rsidRPr="00E35F4D">
        <w:rPr>
          <w:sz w:val="20"/>
          <w:szCs w:val="20"/>
          <w:lang w:bidi="ar-SA"/>
        </w:rPr>
        <w:t>nearly</w:t>
      </w:r>
      <w:r w:rsidR="0027779D" w:rsidRPr="00E35F4D">
        <w:rPr>
          <w:sz w:val="20"/>
          <w:szCs w:val="20"/>
          <w:lang w:bidi="ar-SA"/>
        </w:rPr>
        <w:t xml:space="preserve"> similar to that reported by </w:t>
      </w:r>
      <w:proofErr w:type="spellStart"/>
      <w:r w:rsidR="0027779D" w:rsidRPr="00E35F4D">
        <w:rPr>
          <w:sz w:val="20"/>
          <w:szCs w:val="20"/>
          <w:lang w:bidi="ar-SA"/>
        </w:rPr>
        <w:t>Schou</w:t>
      </w:r>
      <w:proofErr w:type="spellEnd"/>
      <w:r w:rsidR="0027779D" w:rsidRPr="00E35F4D">
        <w:rPr>
          <w:sz w:val="20"/>
          <w:szCs w:val="20"/>
        </w:rPr>
        <w:t xml:space="preserve"> et al</w:t>
      </w:r>
      <w:r w:rsidR="0021171C" w:rsidRPr="00E35F4D">
        <w:rPr>
          <w:sz w:val="20"/>
          <w:szCs w:val="20"/>
        </w:rPr>
        <w:t>.</w:t>
      </w:r>
      <w:r w:rsidR="0027779D" w:rsidRPr="00E35F4D">
        <w:rPr>
          <w:sz w:val="20"/>
          <w:szCs w:val="20"/>
        </w:rPr>
        <w:t xml:space="preserve"> </w:t>
      </w:r>
      <w:r w:rsidR="0027779D" w:rsidRPr="00E35F4D">
        <w:rPr>
          <w:rFonts w:eastAsia="OfficinaSansLT-Book"/>
          <w:color w:val="131313"/>
          <w:sz w:val="20"/>
          <w:szCs w:val="20"/>
          <w:lang w:bidi="ar-SA"/>
        </w:rPr>
        <w:t>(94%</w:t>
      </w:r>
      <w:r w:rsidR="0027779D" w:rsidRPr="00E35F4D">
        <w:rPr>
          <w:sz w:val="20"/>
          <w:szCs w:val="20"/>
          <w:lang w:bidi="ar-SA"/>
        </w:rPr>
        <w:t>)</w:t>
      </w:r>
      <w:r w:rsidR="0027779D" w:rsidRPr="00E35F4D">
        <w:rPr>
          <w:sz w:val="20"/>
          <w:szCs w:val="20"/>
        </w:rPr>
        <w:t xml:space="preserve"> </w:t>
      </w:r>
      <w:r w:rsidR="000A75E8" w:rsidRPr="00E35F4D">
        <w:rPr>
          <w:b/>
          <w:bCs/>
          <w:sz w:val="20"/>
          <w:szCs w:val="20"/>
          <w:lang w:bidi="ar-SA"/>
        </w:rPr>
        <w:t>[19]</w:t>
      </w:r>
      <w:r w:rsidR="00BA23B2" w:rsidRPr="00E35F4D">
        <w:rPr>
          <w:b/>
          <w:bCs/>
          <w:sz w:val="20"/>
          <w:szCs w:val="20"/>
          <w:lang w:bidi="ar-SA"/>
        </w:rPr>
        <w:t>.</w:t>
      </w:r>
      <w:r w:rsidR="00BA23B2" w:rsidRPr="00E35F4D">
        <w:rPr>
          <w:sz w:val="20"/>
          <w:szCs w:val="20"/>
          <w:lang w:bidi="ar-SA"/>
        </w:rPr>
        <w:t xml:space="preserve"> It</w:t>
      </w:r>
      <w:r w:rsidR="0027779D" w:rsidRPr="00E35F4D">
        <w:rPr>
          <w:sz w:val="20"/>
          <w:szCs w:val="20"/>
          <w:lang w:bidi="ar-SA"/>
        </w:rPr>
        <w:t xml:space="preserve"> </w:t>
      </w:r>
      <w:r w:rsidR="002B7363" w:rsidRPr="00E35F4D">
        <w:rPr>
          <w:sz w:val="20"/>
          <w:szCs w:val="20"/>
          <w:lang w:bidi="ar-SA"/>
        </w:rPr>
        <w:t xml:space="preserve">was </w:t>
      </w:r>
      <w:r w:rsidR="00070043" w:rsidRPr="00E35F4D">
        <w:rPr>
          <w:sz w:val="20"/>
          <w:szCs w:val="20"/>
          <w:lang w:bidi="ar-SA"/>
        </w:rPr>
        <w:t xml:space="preserve">slightly </w:t>
      </w:r>
      <w:r w:rsidR="002B7363" w:rsidRPr="00E35F4D">
        <w:rPr>
          <w:sz w:val="20"/>
          <w:szCs w:val="20"/>
          <w:lang w:bidi="ar-SA"/>
        </w:rPr>
        <w:t xml:space="preserve">lower than reported by </w:t>
      </w:r>
      <w:proofErr w:type="spellStart"/>
      <w:r w:rsidR="002B7363" w:rsidRPr="00E35F4D">
        <w:rPr>
          <w:sz w:val="20"/>
          <w:szCs w:val="20"/>
          <w:lang w:bidi="ar-SA"/>
        </w:rPr>
        <w:t>Koeberle</w:t>
      </w:r>
      <w:proofErr w:type="spellEnd"/>
      <w:r w:rsidR="002B7363" w:rsidRPr="00E35F4D">
        <w:rPr>
          <w:sz w:val="20"/>
          <w:szCs w:val="20"/>
        </w:rPr>
        <w:t xml:space="preserve"> et al</w:t>
      </w:r>
      <w:r w:rsidR="0021171C" w:rsidRPr="00E35F4D">
        <w:rPr>
          <w:sz w:val="20"/>
          <w:szCs w:val="20"/>
        </w:rPr>
        <w:t>.</w:t>
      </w:r>
      <w:r w:rsidR="002B7363" w:rsidRPr="00E35F4D">
        <w:rPr>
          <w:b/>
          <w:bCs/>
          <w:sz w:val="20"/>
          <w:szCs w:val="20"/>
        </w:rPr>
        <w:t xml:space="preserve"> </w:t>
      </w:r>
      <w:r w:rsidR="000A75E8" w:rsidRPr="00E35F4D">
        <w:rPr>
          <w:b/>
          <w:bCs/>
          <w:sz w:val="20"/>
          <w:szCs w:val="20"/>
          <w:lang w:bidi="ar-SA"/>
        </w:rPr>
        <w:t>[</w:t>
      </w:r>
      <w:r w:rsidR="006051DE" w:rsidRPr="00E35F4D">
        <w:rPr>
          <w:b/>
          <w:bCs/>
          <w:sz w:val="20"/>
          <w:szCs w:val="20"/>
          <w:lang w:bidi="ar-SA"/>
        </w:rPr>
        <w:t>20</w:t>
      </w:r>
      <w:r w:rsidR="000A75E8" w:rsidRPr="00E35F4D">
        <w:rPr>
          <w:b/>
          <w:bCs/>
          <w:sz w:val="20"/>
          <w:szCs w:val="20"/>
          <w:lang w:bidi="ar-SA"/>
        </w:rPr>
        <w:t>]</w:t>
      </w:r>
      <w:r w:rsidR="002B7363" w:rsidRPr="00E35F4D">
        <w:rPr>
          <w:sz w:val="20"/>
          <w:szCs w:val="20"/>
          <w:lang w:bidi="ar-SA"/>
        </w:rPr>
        <w:t xml:space="preserve"> who </w:t>
      </w:r>
      <w:r w:rsidR="00070043" w:rsidRPr="00E35F4D">
        <w:rPr>
          <w:sz w:val="20"/>
          <w:szCs w:val="20"/>
          <w:lang w:bidi="ar-SA"/>
        </w:rPr>
        <w:t>reported that</w:t>
      </w:r>
      <w:r w:rsidR="006051DE" w:rsidRPr="00E35F4D">
        <w:rPr>
          <w:sz w:val="20"/>
          <w:szCs w:val="20"/>
          <w:lang w:bidi="ar-SA"/>
        </w:rPr>
        <w:t>,</w:t>
      </w:r>
      <w:r w:rsidR="002B7363" w:rsidRPr="00E35F4D">
        <w:rPr>
          <w:sz w:val="20"/>
          <w:szCs w:val="20"/>
          <w:lang w:bidi="ar-SA"/>
        </w:rPr>
        <w:t xml:space="preserve"> 98% of the patients who underwent surgery</w:t>
      </w:r>
      <w:r w:rsidR="00070043" w:rsidRPr="00E35F4D">
        <w:rPr>
          <w:sz w:val="20"/>
          <w:szCs w:val="20"/>
          <w:lang w:bidi="ar-SA"/>
        </w:rPr>
        <w:t xml:space="preserve"> had achiev</w:t>
      </w:r>
      <w:r w:rsidR="00652B96" w:rsidRPr="00E35F4D">
        <w:rPr>
          <w:sz w:val="20"/>
          <w:szCs w:val="20"/>
          <w:lang w:bidi="ar-SA"/>
        </w:rPr>
        <w:t>e</w:t>
      </w:r>
      <w:r w:rsidR="00070043" w:rsidRPr="00E35F4D">
        <w:rPr>
          <w:sz w:val="20"/>
          <w:szCs w:val="20"/>
          <w:lang w:bidi="ar-SA"/>
        </w:rPr>
        <w:t>d R0 resection</w:t>
      </w:r>
      <w:r w:rsidR="002B7363" w:rsidRPr="00E35F4D">
        <w:rPr>
          <w:sz w:val="20"/>
          <w:szCs w:val="20"/>
          <w:lang w:bidi="ar-SA"/>
        </w:rPr>
        <w:t xml:space="preserve">. On the other hand, </w:t>
      </w:r>
      <w:r w:rsidR="002B7363" w:rsidRPr="00E35F4D">
        <w:rPr>
          <w:sz w:val="20"/>
          <w:szCs w:val="20"/>
          <w:lang w:bidi="ar-SA"/>
        </w:rPr>
        <w:lastRenderedPageBreak/>
        <w:t xml:space="preserve">our result </w:t>
      </w:r>
      <w:r w:rsidR="0027779D" w:rsidRPr="00E35F4D">
        <w:rPr>
          <w:sz w:val="20"/>
          <w:szCs w:val="20"/>
          <w:lang w:bidi="ar-SA"/>
        </w:rPr>
        <w:t>was</w:t>
      </w:r>
      <w:r w:rsidR="002B7363" w:rsidRPr="00E35F4D">
        <w:rPr>
          <w:sz w:val="20"/>
          <w:szCs w:val="20"/>
          <w:lang w:bidi="ar-SA"/>
        </w:rPr>
        <w:t xml:space="preserve"> higher than findings reported by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Fernandez-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Martos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B71EF" w:rsidRPr="00E35F4D">
        <w:rPr>
          <w:sz w:val="20"/>
          <w:szCs w:val="20"/>
        </w:rPr>
        <w:t>et al</w:t>
      </w:r>
      <w:r w:rsidR="0021171C" w:rsidRPr="00E35F4D">
        <w:rPr>
          <w:sz w:val="20"/>
          <w:szCs w:val="20"/>
        </w:rPr>
        <w:t>.</w:t>
      </w:r>
      <w:r w:rsidR="001B71EF" w:rsidRPr="00E35F4D">
        <w:rPr>
          <w:sz w:val="20"/>
          <w:szCs w:val="20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(86%</w:t>
      </w:r>
      <w:r w:rsidR="00112516" w:rsidRPr="00E35F4D">
        <w:rPr>
          <w:sz w:val="20"/>
          <w:szCs w:val="20"/>
          <w:lang w:bidi="ar-SA"/>
        </w:rPr>
        <w:t>)</w:t>
      </w:r>
      <w:r w:rsidR="00112516" w:rsidRPr="00E35F4D">
        <w:rPr>
          <w:b/>
          <w:bCs/>
          <w:sz w:val="20"/>
          <w:szCs w:val="20"/>
          <w:lang w:bidi="ar-SA"/>
        </w:rPr>
        <w:t xml:space="preserve"> </w:t>
      </w:r>
      <w:r w:rsidR="00CF7B59" w:rsidRPr="00E35F4D">
        <w:rPr>
          <w:b/>
          <w:bCs/>
          <w:sz w:val="20"/>
          <w:szCs w:val="20"/>
          <w:lang w:bidi="ar-SA"/>
        </w:rPr>
        <w:t>[21]</w:t>
      </w:r>
      <w:r w:rsidR="00112516" w:rsidRPr="00E35F4D">
        <w:rPr>
          <w:b/>
          <w:bCs/>
          <w:sz w:val="20"/>
          <w:szCs w:val="20"/>
          <w:lang w:bidi="ar-SA"/>
        </w:rPr>
        <w:t>.</w:t>
      </w:r>
    </w:p>
    <w:p w:rsidR="00797C47" w:rsidRPr="00E35F4D" w:rsidRDefault="00A11836" w:rsidP="002B2928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E35F4D">
        <w:rPr>
          <w:sz w:val="20"/>
          <w:szCs w:val="20"/>
          <w:lang w:bidi="ar-SA"/>
        </w:rPr>
        <w:t>S</w:t>
      </w:r>
      <w:r w:rsidR="006513B7" w:rsidRPr="00E35F4D">
        <w:rPr>
          <w:sz w:val="20"/>
          <w:szCs w:val="20"/>
          <w:lang w:bidi="ar-SA"/>
        </w:rPr>
        <w:t xml:space="preserve">phincter preservation </w:t>
      </w:r>
      <w:r w:rsidR="001B71EF" w:rsidRPr="00E35F4D">
        <w:rPr>
          <w:sz w:val="20"/>
          <w:szCs w:val="20"/>
          <w:lang w:bidi="ar-SA"/>
        </w:rPr>
        <w:t>had</w:t>
      </w:r>
      <w:r w:rsidR="006513B7" w:rsidRPr="00E35F4D">
        <w:rPr>
          <w:sz w:val="20"/>
          <w:szCs w:val="20"/>
          <w:lang w:bidi="ar-SA"/>
        </w:rPr>
        <w:t xml:space="preserve"> achieved in 64</w:t>
      </w:r>
      <w:r w:rsidR="00CD2D20" w:rsidRPr="00E35F4D">
        <w:rPr>
          <w:sz w:val="20"/>
          <w:szCs w:val="20"/>
          <w:lang w:bidi="ar-SA"/>
        </w:rPr>
        <w:t>.5</w:t>
      </w:r>
      <w:r w:rsidR="006513B7" w:rsidRPr="00E35F4D">
        <w:rPr>
          <w:sz w:val="20"/>
          <w:szCs w:val="20"/>
          <w:lang w:bidi="ar-SA"/>
        </w:rPr>
        <w:t xml:space="preserve">% of </w:t>
      </w:r>
      <w:r w:rsidRPr="00E35F4D">
        <w:rPr>
          <w:sz w:val="20"/>
          <w:szCs w:val="20"/>
          <w:lang w:bidi="ar-SA"/>
        </w:rPr>
        <w:t xml:space="preserve">our </w:t>
      </w:r>
      <w:r w:rsidR="006513B7" w:rsidRPr="00E35F4D">
        <w:rPr>
          <w:sz w:val="20"/>
          <w:szCs w:val="20"/>
          <w:lang w:bidi="ar-SA"/>
        </w:rPr>
        <w:t>patients.</w:t>
      </w:r>
      <w:r w:rsidR="002B2928" w:rsidRPr="00E35F4D">
        <w:rPr>
          <w:sz w:val="20"/>
          <w:szCs w:val="20"/>
          <w:lang w:bidi="ar-SA"/>
        </w:rPr>
        <w:t xml:space="preserve"> </w:t>
      </w:r>
      <w:r w:rsidR="00CA1C5E" w:rsidRPr="00E35F4D">
        <w:rPr>
          <w:sz w:val="20"/>
          <w:szCs w:val="20"/>
          <w:lang w:bidi="ar-SA"/>
        </w:rPr>
        <w:t>In</w:t>
      </w:r>
      <w:r w:rsidR="00720607" w:rsidRPr="00E35F4D">
        <w:rPr>
          <w:b/>
          <w:bCs/>
          <w:sz w:val="20"/>
          <w:szCs w:val="20"/>
          <w:lang w:bidi="ar-SA"/>
        </w:rPr>
        <w:t xml:space="preserve"> </w:t>
      </w:r>
      <w:proofErr w:type="spellStart"/>
      <w:r w:rsidR="00720607" w:rsidRPr="00E35F4D">
        <w:rPr>
          <w:sz w:val="20"/>
          <w:szCs w:val="20"/>
          <w:lang w:bidi="ar-SA"/>
        </w:rPr>
        <w:t>Koeberle</w:t>
      </w:r>
      <w:proofErr w:type="spellEnd"/>
      <w:r w:rsidR="00C07021" w:rsidRPr="00E35F4D">
        <w:rPr>
          <w:sz w:val="20"/>
          <w:szCs w:val="20"/>
        </w:rPr>
        <w:t xml:space="preserve"> et </w:t>
      </w:r>
      <w:r w:rsidR="00774626" w:rsidRPr="00E35F4D">
        <w:rPr>
          <w:sz w:val="20"/>
          <w:szCs w:val="20"/>
        </w:rPr>
        <w:t>al</w:t>
      </w:r>
      <w:r w:rsidR="0021171C" w:rsidRPr="00E35F4D">
        <w:rPr>
          <w:sz w:val="20"/>
          <w:szCs w:val="20"/>
        </w:rPr>
        <w:t>.</w:t>
      </w:r>
      <w:r w:rsidR="0021171C" w:rsidRPr="00E35F4D">
        <w:rPr>
          <w:sz w:val="20"/>
          <w:szCs w:val="20"/>
          <w:lang w:bidi="ar-SA"/>
        </w:rPr>
        <w:t xml:space="preserve"> </w:t>
      </w:r>
      <w:r w:rsidR="0021171C" w:rsidRPr="00E35F4D">
        <w:rPr>
          <w:b/>
          <w:bCs/>
          <w:sz w:val="20"/>
          <w:szCs w:val="20"/>
          <w:lang w:bidi="ar-SA"/>
        </w:rPr>
        <w:t>[20]</w:t>
      </w:r>
      <w:r w:rsidR="00774626" w:rsidRPr="00E35F4D">
        <w:rPr>
          <w:b/>
          <w:bCs/>
          <w:sz w:val="20"/>
          <w:szCs w:val="20"/>
        </w:rPr>
        <w:t xml:space="preserve"> </w:t>
      </w:r>
      <w:r w:rsidR="00774626" w:rsidRPr="00E35F4D">
        <w:rPr>
          <w:sz w:val="20"/>
          <w:szCs w:val="20"/>
          <w:lang w:bidi="ar-SA"/>
        </w:rPr>
        <w:t>study</w:t>
      </w:r>
      <w:r w:rsidRPr="00E35F4D">
        <w:rPr>
          <w:sz w:val="20"/>
          <w:szCs w:val="20"/>
          <w:lang w:bidi="ar-SA"/>
        </w:rPr>
        <w:t>,</w:t>
      </w:r>
      <w:r w:rsidR="00774626" w:rsidRPr="00E35F4D">
        <w:rPr>
          <w:sz w:val="20"/>
          <w:szCs w:val="20"/>
          <w:lang w:bidi="ar-SA"/>
        </w:rPr>
        <w:t xml:space="preserve"> </w:t>
      </w:r>
      <w:r w:rsidR="009B74C4" w:rsidRPr="00E35F4D">
        <w:rPr>
          <w:sz w:val="20"/>
          <w:szCs w:val="20"/>
          <w:lang w:bidi="ar-SA"/>
        </w:rPr>
        <w:t xml:space="preserve">sphincter </w:t>
      </w:r>
      <w:r w:rsidR="00CA1C5E" w:rsidRPr="00E35F4D">
        <w:rPr>
          <w:sz w:val="20"/>
          <w:szCs w:val="20"/>
          <w:lang w:bidi="ar-SA"/>
        </w:rPr>
        <w:t xml:space="preserve">preservation </w:t>
      </w:r>
      <w:r w:rsidR="001B71EF" w:rsidRPr="00E35F4D">
        <w:rPr>
          <w:sz w:val="20"/>
          <w:szCs w:val="20"/>
          <w:lang w:bidi="ar-SA"/>
        </w:rPr>
        <w:t>had</w:t>
      </w:r>
      <w:r w:rsidR="00CA1C5E" w:rsidRPr="00E35F4D">
        <w:rPr>
          <w:sz w:val="20"/>
          <w:szCs w:val="20"/>
          <w:lang w:bidi="ar-SA"/>
        </w:rPr>
        <w:t xml:space="preserve"> achieved in 84% of patients. </w:t>
      </w:r>
      <w:r w:rsidR="00236BCA" w:rsidRPr="00E35F4D">
        <w:rPr>
          <w:sz w:val="20"/>
          <w:szCs w:val="20"/>
          <w:lang w:bidi="ar-SA"/>
        </w:rPr>
        <w:t>This may</w:t>
      </w:r>
      <w:r w:rsidRPr="00E35F4D">
        <w:rPr>
          <w:sz w:val="20"/>
          <w:szCs w:val="20"/>
          <w:lang w:bidi="ar-SA"/>
        </w:rPr>
        <w:t xml:space="preserve"> be</w:t>
      </w:r>
      <w:r w:rsidR="00236BCA" w:rsidRPr="00E35F4D">
        <w:rPr>
          <w:sz w:val="20"/>
          <w:szCs w:val="20"/>
          <w:lang w:bidi="ar-SA"/>
        </w:rPr>
        <w:t xml:space="preserve"> explained by</w:t>
      </w:r>
      <w:r w:rsidR="00A07692" w:rsidRPr="00E35F4D">
        <w:rPr>
          <w:sz w:val="20"/>
          <w:szCs w:val="20"/>
          <w:lang w:bidi="ar-SA"/>
        </w:rPr>
        <w:t xml:space="preserve"> that</w:t>
      </w:r>
      <w:r w:rsidR="00236BCA" w:rsidRPr="00E35F4D">
        <w:rPr>
          <w:sz w:val="20"/>
          <w:szCs w:val="20"/>
          <w:lang w:bidi="ar-SA"/>
        </w:rPr>
        <w:t xml:space="preserve"> 61.3% of our patients had low-lying tumors (</w:t>
      </w:r>
      <w:r w:rsidR="00112516" w:rsidRPr="00E35F4D">
        <w:rPr>
          <w:sz w:val="20"/>
          <w:szCs w:val="20"/>
          <w:lang w:bidi="ar-SA"/>
        </w:rPr>
        <w:t>≤</w:t>
      </w:r>
      <w:r w:rsidR="00BE1915" w:rsidRPr="00E35F4D">
        <w:rPr>
          <w:sz w:val="20"/>
          <w:szCs w:val="20"/>
          <w:lang w:bidi="ar-SA"/>
        </w:rPr>
        <w:t xml:space="preserve">5 </w:t>
      </w:r>
      <w:r w:rsidR="00236BCA" w:rsidRPr="00E35F4D">
        <w:rPr>
          <w:sz w:val="20"/>
          <w:szCs w:val="20"/>
          <w:lang w:bidi="ar-SA"/>
        </w:rPr>
        <w:t>cm from anal verge)</w:t>
      </w:r>
      <w:r w:rsidR="00A07692" w:rsidRPr="00E35F4D">
        <w:rPr>
          <w:sz w:val="20"/>
          <w:szCs w:val="20"/>
          <w:lang w:bidi="ar-SA"/>
        </w:rPr>
        <w:t xml:space="preserve"> versus </w:t>
      </w:r>
      <w:r w:rsidR="00E751C8" w:rsidRPr="00E35F4D">
        <w:rPr>
          <w:sz w:val="20"/>
          <w:szCs w:val="20"/>
          <w:lang w:bidi="ar-SA"/>
        </w:rPr>
        <w:t xml:space="preserve">37% in </w:t>
      </w:r>
      <w:proofErr w:type="spellStart"/>
      <w:r w:rsidR="0046227A" w:rsidRPr="00E35F4D">
        <w:rPr>
          <w:sz w:val="20"/>
          <w:szCs w:val="20"/>
          <w:lang w:bidi="ar-SA"/>
        </w:rPr>
        <w:t>Koeberle</w:t>
      </w:r>
      <w:proofErr w:type="spellEnd"/>
      <w:r w:rsidR="0046227A" w:rsidRPr="00E35F4D">
        <w:rPr>
          <w:sz w:val="20"/>
          <w:szCs w:val="20"/>
        </w:rPr>
        <w:t xml:space="preserve"> et al</w:t>
      </w:r>
      <w:r w:rsidR="0021171C" w:rsidRPr="00E35F4D">
        <w:rPr>
          <w:sz w:val="20"/>
          <w:szCs w:val="20"/>
        </w:rPr>
        <w:t>.</w:t>
      </w:r>
      <w:r w:rsidR="0046227A" w:rsidRPr="00E35F4D">
        <w:rPr>
          <w:b/>
          <w:bCs/>
          <w:sz w:val="20"/>
          <w:szCs w:val="20"/>
        </w:rPr>
        <w:t xml:space="preserve"> </w:t>
      </w:r>
      <w:r w:rsidR="0046227A" w:rsidRPr="00E35F4D">
        <w:rPr>
          <w:b/>
          <w:bCs/>
          <w:sz w:val="20"/>
          <w:szCs w:val="20"/>
          <w:lang w:bidi="ar-SA"/>
        </w:rPr>
        <w:t>[20]</w:t>
      </w:r>
      <w:r w:rsidR="009B74C4" w:rsidRPr="00E35F4D">
        <w:rPr>
          <w:sz w:val="20"/>
          <w:szCs w:val="20"/>
          <w:lang w:bidi="ar-SA"/>
        </w:rPr>
        <w:t xml:space="preserve"> study</w:t>
      </w:r>
      <w:r w:rsidR="00CA1C5E" w:rsidRPr="00E35F4D">
        <w:rPr>
          <w:sz w:val="20"/>
          <w:szCs w:val="20"/>
          <w:lang w:bidi="ar-SA"/>
        </w:rPr>
        <w:t>.</w:t>
      </w:r>
    </w:p>
    <w:p w:rsidR="00447C41" w:rsidRPr="00E35F4D" w:rsidRDefault="001B71EF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 xml:space="preserve">In </w:t>
      </w:r>
      <w:r w:rsidR="00E41576" w:rsidRPr="00E35F4D">
        <w:rPr>
          <w:sz w:val="20"/>
          <w:szCs w:val="20"/>
          <w:lang w:bidi="ar-SA"/>
        </w:rPr>
        <w:t>this</w:t>
      </w:r>
      <w:r w:rsidRPr="00E35F4D">
        <w:rPr>
          <w:sz w:val="20"/>
          <w:szCs w:val="20"/>
          <w:lang w:bidi="ar-SA"/>
        </w:rPr>
        <w:t xml:space="preserve"> study</w:t>
      </w:r>
      <w:r w:rsidR="00652B96" w:rsidRPr="00E35F4D">
        <w:rPr>
          <w:sz w:val="20"/>
          <w:szCs w:val="20"/>
          <w:lang w:bidi="ar-SA"/>
        </w:rPr>
        <w:t>, the</w:t>
      </w:r>
      <w:r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  <w:lang w:bidi="ar-SA"/>
        </w:rPr>
        <w:t>o</w:t>
      </w:r>
      <w:r w:rsidRPr="00E35F4D">
        <w:rPr>
          <w:rFonts w:eastAsia="OfficinaSansLT-Book"/>
          <w:color w:val="131313"/>
          <w:sz w:val="20"/>
          <w:szCs w:val="20"/>
          <w:lang w:bidi="ar-SA"/>
        </w:rPr>
        <w:t>bjective response</w:t>
      </w:r>
      <w:r w:rsidR="00E41576" w:rsidRPr="00E35F4D">
        <w:rPr>
          <w:sz w:val="20"/>
          <w:szCs w:val="20"/>
          <w:lang w:bidi="ar-SA"/>
        </w:rPr>
        <w:t xml:space="preserve"> rate</w:t>
      </w:r>
      <w:r w:rsidRPr="00E35F4D">
        <w:rPr>
          <w:sz w:val="20"/>
          <w:szCs w:val="20"/>
          <w:lang w:bidi="ar-SA"/>
        </w:rPr>
        <w:t xml:space="preserve"> </w:t>
      </w:r>
      <w:r w:rsidR="00652B96" w:rsidRPr="00E35F4D">
        <w:rPr>
          <w:sz w:val="20"/>
          <w:szCs w:val="20"/>
          <w:lang w:bidi="ar-SA"/>
        </w:rPr>
        <w:t>had</w:t>
      </w:r>
      <w:r w:rsidRPr="00E35F4D">
        <w:rPr>
          <w:sz w:val="20"/>
          <w:szCs w:val="20"/>
          <w:lang w:bidi="ar-SA"/>
        </w:rPr>
        <w:t xml:space="preserve"> achieved</w:t>
      </w:r>
      <w:r w:rsidRPr="00E35F4D">
        <w:rPr>
          <w:sz w:val="20"/>
          <w:szCs w:val="20"/>
        </w:rPr>
        <w:t xml:space="preserve"> in 54.8% of all patients </w:t>
      </w:r>
      <w:r w:rsidR="00652B96" w:rsidRPr="00E35F4D">
        <w:rPr>
          <w:sz w:val="20"/>
          <w:szCs w:val="20"/>
        </w:rPr>
        <w:t>that</w:t>
      </w:r>
      <w:r w:rsidRPr="00E35F4D">
        <w:rPr>
          <w:sz w:val="20"/>
          <w:szCs w:val="20"/>
        </w:rPr>
        <w:t xml:space="preserve"> was lower than</w:t>
      </w:r>
      <w:r w:rsidR="00E41576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652B96" w:rsidRPr="00E35F4D">
        <w:rPr>
          <w:rFonts w:eastAsia="OfficinaSansLT-Book"/>
          <w:color w:val="131313"/>
          <w:sz w:val="20"/>
          <w:szCs w:val="20"/>
          <w:lang w:bidi="ar-SA"/>
        </w:rPr>
        <w:t>t</w:t>
      </w:r>
      <w:r w:rsidR="00E41576" w:rsidRPr="00E35F4D">
        <w:rPr>
          <w:sz w:val="20"/>
          <w:szCs w:val="20"/>
        </w:rPr>
        <w:t>hat reported by</w:t>
      </w:r>
      <w:r w:rsidR="00E41576" w:rsidRPr="00E35F4D">
        <w:rPr>
          <w:rFonts w:eastAsia="OfficinaSansLT-Book"/>
          <w:b/>
          <w:bCs/>
          <w:color w:val="131313"/>
          <w:sz w:val="20"/>
          <w:szCs w:val="20"/>
          <w:lang w:bidi="ar-SA"/>
        </w:rPr>
        <w:t xml:space="preserve"> </w:t>
      </w:r>
      <w:r w:rsidR="00E41576" w:rsidRPr="00E35F4D">
        <w:rPr>
          <w:rFonts w:eastAsia="OfficinaSansLT-Book"/>
          <w:color w:val="131313"/>
          <w:sz w:val="20"/>
          <w:szCs w:val="20"/>
          <w:lang w:bidi="ar-SA"/>
        </w:rPr>
        <w:t>Fernandez-</w:t>
      </w:r>
      <w:proofErr w:type="spellStart"/>
      <w:r w:rsidR="00E41576" w:rsidRPr="00E35F4D">
        <w:rPr>
          <w:rFonts w:eastAsia="OfficinaSansLT-Book"/>
          <w:color w:val="131313"/>
          <w:sz w:val="20"/>
          <w:szCs w:val="20"/>
          <w:lang w:bidi="ar-SA"/>
        </w:rPr>
        <w:t>Martos</w:t>
      </w:r>
      <w:proofErr w:type="spellEnd"/>
      <w:r w:rsidR="00E41576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E41576" w:rsidRPr="00E35F4D">
        <w:rPr>
          <w:sz w:val="20"/>
          <w:szCs w:val="20"/>
        </w:rPr>
        <w:t>et al</w:t>
      </w:r>
      <w:r w:rsidR="0021171C" w:rsidRPr="00E35F4D">
        <w:rPr>
          <w:sz w:val="20"/>
          <w:szCs w:val="20"/>
        </w:rPr>
        <w:t>.</w:t>
      </w:r>
      <w:r w:rsidR="00E41576" w:rsidRPr="00E35F4D">
        <w:rPr>
          <w:b/>
          <w:bCs/>
          <w:sz w:val="20"/>
          <w:szCs w:val="20"/>
        </w:rPr>
        <w:t xml:space="preserve"> </w:t>
      </w:r>
      <w:r w:rsidR="00E41576" w:rsidRPr="00E35F4D">
        <w:rPr>
          <w:b/>
          <w:bCs/>
          <w:sz w:val="20"/>
          <w:szCs w:val="20"/>
          <w:lang w:bidi="ar-SA"/>
        </w:rPr>
        <w:t>[21]</w:t>
      </w:r>
      <w:r w:rsidRPr="00E35F4D">
        <w:rPr>
          <w:sz w:val="20"/>
          <w:szCs w:val="20"/>
        </w:rPr>
        <w:t xml:space="preserve"> </w:t>
      </w:r>
      <w:r w:rsidR="00BA23B2" w:rsidRPr="00E35F4D">
        <w:rPr>
          <w:sz w:val="20"/>
          <w:szCs w:val="20"/>
        </w:rPr>
        <w:t xml:space="preserve">who reported 89%, </w:t>
      </w:r>
      <w:r w:rsidRPr="00E35F4D">
        <w:rPr>
          <w:sz w:val="20"/>
          <w:szCs w:val="20"/>
        </w:rPr>
        <w:t xml:space="preserve">making in consideration that CAPOX </w:t>
      </w:r>
      <w:r w:rsidR="002F0F63" w:rsidRPr="00E35F4D">
        <w:rPr>
          <w:sz w:val="20"/>
          <w:szCs w:val="20"/>
        </w:rPr>
        <w:t>induction</w:t>
      </w:r>
      <w:r w:rsidRPr="00E35F4D">
        <w:rPr>
          <w:sz w:val="20"/>
          <w:szCs w:val="20"/>
        </w:rPr>
        <w:t xml:space="preserve"> CT had administer</w:t>
      </w:r>
      <w:r w:rsidR="00652B96" w:rsidRPr="00E35F4D">
        <w:rPr>
          <w:sz w:val="20"/>
          <w:szCs w:val="20"/>
        </w:rPr>
        <w:t>e</w:t>
      </w:r>
      <w:r w:rsidRPr="00E35F4D">
        <w:rPr>
          <w:sz w:val="20"/>
          <w:szCs w:val="20"/>
        </w:rPr>
        <w:t>d for 4 cycles</w:t>
      </w:r>
      <w:r w:rsidR="00E41576" w:rsidRPr="00E35F4D">
        <w:rPr>
          <w:sz w:val="20"/>
          <w:szCs w:val="20"/>
        </w:rPr>
        <w:t xml:space="preserve"> versus 2 cycles in our study</w:t>
      </w:r>
      <w:r w:rsidR="00070043" w:rsidRPr="00E35F4D">
        <w:rPr>
          <w:sz w:val="20"/>
          <w:szCs w:val="20"/>
        </w:rPr>
        <w:t>.</w:t>
      </w:r>
    </w:p>
    <w:p w:rsidR="00447C41" w:rsidRPr="00E35F4D" w:rsidRDefault="00EC40DD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T</w:t>
      </w:r>
      <w:r w:rsidR="009B6735" w:rsidRPr="00E35F4D">
        <w:rPr>
          <w:sz w:val="20"/>
          <w:szCs w:val="20"/>
          <w:lang w:bidi="ar-SA"/>
        </w:rPr>
        <w:t xml:space="preserve">umor and nodal </w:t>
      </w:r>
      <w:proofErr w:type="spellStart"/>
      <w:r w:rsidR="009B6735" w:rsidRPr="00E35F4D">
        <w:rPr>
          <w:sz w:val="20"/>
          <w:szCs w:val="20"/>
          <w:lang w:bidi="ar-SA"/>
        </w:rPr>
        <w:t>downstaging</w:t>
      </w:r>
      <w:proofErr w:type="spellEnd"/>
      <w:r w:rsidR="009B6735" w:rsidRPr="00E35F4D">
        <w:rPr>
          <w:sz w:val="20"/>
          <w:szCs w:val="20"/>
          <w:lang w:bidi="ar-SA"/>
        </w:rPr>
        <w:t xml:space="preserve"> </w:t>
      </w:r>
      <w:r w:rsidR="004E0C75" w:rsidRPr="00E35F4D">
        <w:rPr>
          <w:sz w:val="20"/>
          <w:szCs w:val="20"/>
          <w:lang w:bidi="ar-SA"/>
        </w:rPr>
        <w:t>were</w:t>
      </w:r>
      <w:r w:rsidR="009B6735" w:rsidRPr="00E35F4D">
        <w:rPr>
          <w:sz w:val="20"/>
          <w:szCs w:val="20"/>
          <w:lang w:bidi="ar-SA"/>
        </w:rPr>
        <w:t xml:space="preserve"> observed in</w:t>
      </w:r>
      <w:r w:rsidR="009B6735" w:rsidRPr="00E35F4D">
        <w:rPr>
          <w:sz w:val="20"/>
          <w:szCs w:val="20"/>
        </w:rPr>
        <w:t xml:space="preserve"> 61.3</w:t>
      </w:r>
      <w:r w:rsidR="009B6735" w:rsidRPr="00E35F4D">
        <w:rPr>
          <w:sz w:val="20"/>
          <w:szCs w:val="20"/>
          <w:lang w:bidi="ar-SA"/>
        </w:rPr>
        <w:t>% and</w:t>
      </w:r>
      <w:r w:rsidR="009B6735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476713" w:rsidRPr="00E35F4D">
        <w:rPr>
          <w:rFonts w:eastAsia="OfficinaSansLT-Book"/>
          <w:color w:val="131313"/>
          <w:sz w:val="20"/>
          <w:szCs w:val="20"/>
          <w:lang w:bidi="ar-SA"/>
        </w:rPr>
        <w:t>5</w:t>
      </w:r>
      <w:r w:rsidR="009B6735" w:rsidRPr="00E35F4D">
        <w:rPr>
          <w:sz w:val="20"/>
          <w:szCs w:val="20"/>
        </w:rPr>
        <w:t>1.6</w:t>
      </w:r>
      <w:r w:rsidR="009B6735" w:rsidRPr="00E35F4D">
        <w:rPr>
          <w:sz w:val="20"/>
          <w:szCs w:val="20"/>
          <w:lang w:bidi="ar-SA"/>
        </w:rPr>
        <w:t>%</w:t>
      </w:r>
      <w:r w:rsidR="009B6735" w:rsidRPr="00E35F4D">
        <w:rPr>
          <w:sz w:val="20"/>
          <w:szCs w:val="20"/>
        </w:rPr>
        <w:t xml:space="preserve"> of all </w:t>
      </w:r>
      <w:r w:rsidRPr="00E35F4D">
        <w:rPr>
          <w:sz w:val="20"/>
          <w:szCs w:val="20"/>
        </w:rPr>
        <w:t xml:space="preserve">our </w:t>
      </w:r>
      <w:r w:rsidR="009B6735" w:rsidRPr="00E35F4D">
        <w:rPr>
          <w:sz w:val="20"/>
          <w:szCs w:val="20"/>
        </w:rPr>
        <w:t xml:space="preserve">patients </w:t>
      </w:r>
      <w:r w:rsidR="009B6735" w:rsidRPr="00E35F4D">
        <w:rPr>
          <w:rFonts w:eastAsia="OfficinaSansLT-Book"/>
          <w:color w:val="131313"/>
          <w:sz w:val="20"/>
          <w:szCs w:val="20"/>
          <w:lang w:bidi="ar-SA"/>
        </w:rPr>
        <w:t>respectively</w:t>
      </w:r>
      <w:r w:rsidR="00476713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4E0C75" w:rsidRPr="00E35F4D">
        <w:rPr>
          <w:rFonts w:eastAsia="OfficinaSansLT-Book"/>
          <w:color w:val="131313"/>
          <w:sz w:val="20"/>
          <w:szCs w:val="20"/>
          <w:lang w:bidi="ar-SA"/>
        </w:rPr>
        <w:t>and this was co</w:t>
      </w:r>
      <w:r w:rsidR="00476713" w:rsidRPr="00E35F4D">
        <w:rPr>
          <w:rFonts w:eastAsia="OfficinaSansLT-Book"/>
          <w:color w:val="131313"/>
          <w:sz w:val="20"/>
          <w:szCs w:val="20"/>
          <w:lang w:bidi="ar-SA"/>
        </w:rPr>
        <w:t>m</w:t>
      </w:r>
      <w:r w:rsidR="004E0C75" w:rsidRPr="00E35F4D">
        <w:rPr>
          <w:rFonts w:eastAsia="OfficinaSansLT-Book"/>
          <w:color w:val="131313"/>
          <w:sz w:val="20"/>
          <w:szCs w:val="20"/>
          <w:lang w:bidi="ar-SA"/>
        </w:rPr>
        <w:t xml:space="preserve">parable with </w:t>
      </w:r>
      <w:r w:rsidR="00476713" w:rsidRPr="00E35F4D">
        <w:rPr>
          <w:rFonts w:eastAsia="OfficinaSansLT-Book"/>
          <w:color w:val="131313"/>
          <w:sz w:val="20"/>
          <w:szCs w:val="20"/>
          <w:lang w:bidi="ar-SA"/>
        </w:rPr>
        <w:t xml:space="preserve">the </w:t>
      </w:r>
      <w:r w:rsidR="004E0C75" w:rsidRPr="00E35F4D">
        <w:rPr>
          <w:rFonts w:eastAsia="OfficinaSansLT-Book"/>
          <w:color w:val="131313"/>
          <w:sz w:val="20"/>
          <w:szCs w:val="20"/>
          <w:lang w:bidi="ar-SA"/>
        </w:rPr>
        <w:t xml:space="preserve">percent of tumor or nodal </w:t>
      </w:r>
      <w:proofErr w:type="spellStart"/>
      <w:r w:rsidR="004E0C75" w:rsidRPr="00E35F4D">
        <w:rPr>
          <w:rFonts w:eastAsia="OfficinaSansLT-Book"/>
          <w:color w:val="131313"/>
          <w:sz w:val="20"/>
          <w:szCs w:val="20"/>
          <w:lang w:bidi="ar-SA"/>
        </w:rPr>
        <w:t>downstagin</w:t>
      </w:r>
      <w:r w:rsidR="00652B96" w:rsidRPr="00E35F4D">
        <w:rPr>
          <w:rFonts w:eastAsia="OfficinaSansLT-Book"/>
          <w:color w:val="131313"/>
          <w:sz w:val="20"/>
          <w:szCs w:val="20"/>
          <w:lang w:bidi="ar-SA"/>
        </w:rPr>
        <w:t>g</w:t>
      </w:r>
      <w:proofErr w:type="spellEnd"/>
      <w:r w:rsidRPr="00E35F4D">
        <w:rPr>
          <w:rFonts w:eastAsia="OfficinaSansLT-Book"/>
          <w:color w:val="131313"/>
          <w:sz w:val="20"/>
          <w:szCs w:val="20"/>
          <w:lang w:bidi="ar-SA"/>
        </w:rPr>
        <w:t xml:space="preserve"> that</w:t>
      </w:r>
      <w:r w:rsidR="00476713" w:rsidRPr="00E35F4D">
        <w:rPr>
          <w:rFonts w:eastAsia="OfficinaSansLT-Book"/>
          <w:color w:val="131313"/>
          <w:sz w:val="20"/>
          <w:szCs w:val="20"/>
          <w:lang w:bidi="ar-SA"/>
        </w:rPr>
        <w:t xml:space="preserve"> rang</w:t>
      </w:r>
      <w:r w:rsidRPr="00E35F4D">
        <w:rPr>
          <w:rFonts w:eastAsia="OfficinaSansLT-Book"/>
          <w:color w:val="131313"/>
          <w:sz w:val="20"/>
          <w:szCs w:val="20"/>
          <w:lang w:bidi="ar-SA"/>
        </w:rPr>
        <w:t>ed</w:t>
      </w:r>
      <w:r w:rsidR="00476713" w:rsidRPr="00E35F4D">
        <w:rPr>
          <w:rFonts w:eastAsia="OfficinaSansLT-Book"/>
          <w:color w:val="131313"/>
          <w:sz w:val="20"/>
          <w:szCs w:val="20"/>
          <w:lang w:bidi="ar-SA"/>
        </w:rPr>
        <w:t xml:space="preserve"> between 43%</w:t>
      </w:r>
      <w:r w:rsidR="00BA23B2" w:rsidRPr="00E35F4D">
        <w:rPr>
          <w:rFonts w:eastAsia="OfficinaSansLT-Book"/>
          <w:color w:val="131313"/>
          <w:sz w:val="20"/>
          <w:szCs w:val="20"/>
          <w:lang w:bidi="ar-SA"/>
        </w:rPr>
        <w:t xml:space="preserve"> to </w:t>
      </w:r>
      <w:r w:rsidR="00476713" w:rsidRPr="00E35F4D">
        <w:rPr>
          <w:rFonts w:eastAsia="OfficinaSansLT-Book"/>
          <w:color w:val="131313"/>
          <w:sz w:val="20"/>
          <w:szCs w:val="20"/>
          <w:lang w:bidi="ar-SA"/>
        </w:rPr>
        <w:t>69%</w:t>
      </w:r>
      <w:r w:rsidR="004E0C75" w:rsidRPr="00E35F4D">
        <w:rPr>
          <w:rFonts w:eastAsia="OfficinaSansLT-Book"/>
          <w:color w:val="131313"/>
          <w:sz w:val="20"/>
          <w:szCs w:val="20"/>
          <w:lang w:bidi="ar-SA"/>
        </w:rPr>
        <w:t xml:space="preserve"> in other </w:t>
      </w:r>
      <w:r w:rsidR="00BB61C3" w:rsidRPr="00E35F4D">
        <w:rPr>
          <w:rFonts w:eastAsia="OfficinaSansLT-Book"/>
          <w:color w:val="131313"/>
          <w:sz w:val="20"/>
          <w:szCs w:val="20"/>
          <w:lang w:bidi="ar-SA"/>
        </w:rPr>
        <w:t>trials</w:t>
      </w:r>
      <w:r w:rsidR="004E0C75" w:rsidRPr="00E35F4D">
        <w:rPr>
          <w:rFonts w:eastAsia="OfficinaSansLT-Book"/>
          <w:color w:val="131313"/>
          <w:sz w:val="20"/>
          <w:szCs w:val="20"/>
          <w:lang w:bidi="ar-SA"/>
        </w:rPr>
        <w:t xml:space="preserve"> used CAPOX regimen as induction CT befor</w:t>
      </w:r>
      <w:r w:rsidR="00B51ABC" w:rsidRPr="00E35F4D">
        <w:rPr>
          <w:rFonts w:eastAsia="OfficinaSansLT-Book"/>
          <w:color w:val="131313"/>
          <w:sz w:val="20"/>
          <w:szCs w:val="20"/>
          <w:lang w:bidi="ar-SA"/>
        </w:rPr>
        <w:t>e</w:t>
      </w:r>
      <w:r w:rsidR="004E0C75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4E0C75" w:rsidRPr="00E35F4D">
        <w:rPr>
          <w:rFonts w:eastAsia="OfficinaSansLT-Book"/>
          <w:color w:val="131313"/>
          <w:sz w:val="20"/>
          <w:szCs w:val="20"/>
          <w:lang w:bidi="ar-SA"/>
        </w:rPr>
        <w:t>neoadjuvant</w:t>
      </w:r>
      <w:proofErr w:type="spellEnd"/>
      <w:r w:rsidR="004E0C75" w:rsidRPr="00E35F4D">
        <w:rPr>
          <w:rFonts w:eastAsia="OfficinaSansLT-Book"/>
          <w:color w:val="131313"/>
          <w:sz w:val="20"/>
          <w:szCs w:val="20"/>
          <w:lang w:bidi="ar-SA"/>
        </w:rPr>
        <w:t xml:space="preserve"> concomitant CRT </w:t>
      </w:r>
      <w:r w:rsidR="00476713" w:rsidRPr="00E35F4D">
        <w:rPr>
          <w:rFonts w:eastAsia="OfficinaSansLT-Book"/>
          <w:color w:val="131313"/>
          <w:sz w:val="20"/>
          <w:szCs w:val="20"/>
          <w:lang w:bidi="ar-SA"/>
        </w:rPr>
        <w:t>for rectal cancer</w:t>
      </w:r>
      <w:r w:rsidRPr="00E35F4D">
        <w:rPr>
          <w:rFonts w:eastAsia="OfficinaSansLT-Book"/>
          <w:b/>
          <w:bCs/>
          <w:color w:val="131313"/>
          <w:sz w:val="20"/>
          <w:szCs w:val="20"/>
          <w:lang w:bidi="ar-SA"/>
        </w:rPr>
        <w:t xml:space="preserve"> </w:t>
      </w:r>
      <w:r w:rsidRPr="00E35F4D">
        <w:rPr>
          <w:rFonts w:eastAsia="OfficinaSansLT-Book"/>
          <w:color w:val="131313"/>
          <w:sz w:val="20"/>
          <w:szCs w:val="20"/>
          <w:lang w:bidi="ar-SA"/>
        </w:rPr>
        <w:t>patients</w:t>
      </w:r>
      <w:r w:rsidR="00476713" w:rsidRPr="00E35F4D">
        <w:rPr>
          <w:rFonts w:eastAsia="OfficinaSansLT-Book"/>
          <w:b/>
          <w:bCs/>
          <w:color w:val="131313"/>
          <w:sz w:val="20"/>
          <w:szCs w:val="20"/>
          <w:lang w:bidi="ar-SA"/>
        </w:rPr>
        <w:t xml:space="preserve"> </w:t>
      </w:r>
      <w:r w:rsidR="006301ED" w:rsidRPr="00E35F4D">
        <w:rPr>
          <w:b/>
          <w:bCs/>
          <w:sz w:val="20"/>
          <w:szCs w:val="20"/>
        </w:rPr>
        <w:t>[</w:t>
      </w:r>
      <w:r w:rsidR="00BD1C26" w:rsidRPr="00E35F4D">
        <w:rPr>
          <w:rFonts w:eastAsia="OfficinaSansLT-Book"/>
          <w:b/>
          <w:bCs/>
          <w:color w:val="131313"/>
          <w:sz w:val="20"/>
          <w:szCs w:val="20"/>
          <w:lang w:bidi="ar-SA"/>
        </w:rPr>
        <w:t>19</w:t>
      </w:r>
      <w:r w:rsidR="00476713" w:rsidRPr="00E35F4D">
        <w:rPr>
          <w:b/>
          <w:bCs/>
          <w:sz w:val="20"/>
          <w:szCs w:val="20"/>
          <w:lang w:bidi="ar-SA"/>
        </w:rPr>
        <w:t xml:space="preserve">, </w:t>
      </w:r>
      <w:r w:rsidR="00BD1C26" w:rsidRPr="00E35F4D">
        <w:rPr>
          <w:b/>
          <w:bCs/>
          <w:sz w:val="20"/>
          <w:szCs w:val="20"/>
          <w:lang w:bidi="ar-SA"/>
        </w:rPr>
        <w:t>20, 21</w:t>
      </w:r>
      <w:r w:rsidR="009B6735" w:rsidRPr="00E35F4D">
        <w:rPr>
          <w:b/>
          <w:bCs/>
          <w:sz w:val="20"/>
          <w:szCs w:val="20"/>
          <w:lang w:bidi="ar-SA"/>
        </w:rPr>
        <w:t>]</w:t>
      </w:r>
      <w:r w:rsidR="009D0434" w:rsidRPr="00E35F4D">
        <w:rPr>
          <w:sz w:val="20"/>
          <w:szCs w:val="20"/>
          <w:lang w:bidi="ar-SA"/>
        </w:rPr>
        <w:t>.</w:t>
      </w:r>
    </w:p>
    <w:p w:rsidR="00EE076B" w:rsidRPr="00E35F4D" w:rsidRDefault="00EE076B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Chau</w:t>
      </w:r>
      <w:proofErr w:type="spellEnd"/>
      <w:r w:rsidRPr="00E35F4D">
        <w:rPr>
          <w:sz w:val="20"/>
          <w:szCs w:val="20"/>
          <w:lang w:bidi="ar-SA"/>
        </w:rPr>
        <w:t xml:space="preserve"> et al</w:t>
      </w:r>
      <w:r w:rsidR="0021171C" w:rsidRPr="00E35F4D">
        <w:rPr>
          <w:sz w:val="20"/>
          <w:szCs w:val="20"/>
          <w:lang w:bidi="ar-SA"/>
        </w:rPr>
        <w:t>.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b/>
          <w:bCs/>
          <w:color w:val="000000"/>
          <w:sz w:val="20"/>
          <w:szCs w:val="20"/>
          <w:lang w:bidi="ar-SA"/>
        </w:rPr>
        <w:t>[</w:t>
      </w:r>
      <w:r w:rsidRPr="00E35F4D">
        <w:rPr>
          <w:b/>
          <w:bCs/>
          <w:sz w:val="20"/>
          <w:szCs w:val="20"/>
          <w:lang w:bidi="ar-SA"/>
        </w:rPr>
        <w:t>11</w:t>
      </w:r>
      <w:r w:rsidRPr="00E35F4D">
        <w:rPr>
          <w:b/>
          <w:bCs/>
          <w:color w:val="000000"/>
          <w:sz w:val="20"/>
          <w:szCs w:val="20"/>
          <w:lang w:bidi="ar-SA"/>
        </w:rPr>
        <w:t>]</w:t>
      </w:r>
      <w:r w:rsidRPr="00E35F4D">
        <w:rPr>
          <w:sz w:val="20"/>
          <w:szCs w:val="20"/>
          <w:lang w:bidi="ar-SA"/>
        </w:rPr>
        <w:t xml:space="preserve"> questioned the advantage of using </w:t>
      </w:r>
      <w:r w:rsidR="002F0F63" w:rsidRPr="00E35F4D">
        <w:rPr>
          <w:sz w:val="20"/>
          <w:szCs w:val="20"/>
          <w:lang w:bidi="ar-SA"/>
        </w:rPr>
        <w:t>induction</w:t>
      </w:r>
      <w:r w:rsidRPr="00E35F4D">
        <w:rPr>
          <w:sz w:val="20"/>
          <w:szCs w:val="20"/>
          <w:lang w:bidi="ar-SA"/>
        </w:rPr>
        <w:t xml:space="preserve"> CT prior to preoperative </w:t>
      </w:r>
      <w:r w:rsidR="006F65B9" w:rsidRPr="00E35F4D">
        <w:rPr>
          <w:sz w:val="20"/>
          <w:szCs w:val="20"/>
          <w:lang w:bidi="ar-SA"/>
        </w:rPr>
        <w:t xml:space="preserve">concomitant </w:t>
      </w:r>
      <w:r w:rsidRPr="00E35F4D">
        <w:rPr>
          <w:sz w:val="20"/>
          <w:szCs w:val="20"/>
          <w:lang w:bidi="ar-SA"/>
        </w:rPr>
        <w:t xml:space="preserve">CRT in rectal cancer patients by adding four cycles of </w:t>
      </w:r>
      <w:r w:rsidR="006F65B9" w:rsidRPr="00E35F4D">
        <w:rPr>
          <w:sz w:val="20"/>
          <w:szCs w:val="20"/>
          <w:lang w:bidi="ar-SA"/>
        </w:rPr>
        <w:lastRenderedPageBreak/>
        <w:t>induction</w:t>
      </w:r>
      <w:r w:rsidRPr="00E35F4D">
        <w:rPr>
          <w:sz w:val="20"/>
          <w:szCs w:val="20"/>
          <w:lang w:bidi="ar-SA"/>
        </w:rPr>
        <w:t xml:space="preserve"> CAPOX before </w:t>
      </w:r>
      <w:r w:rsidR="006F65B9" w:rsidRPr="00E35F4D">
        <w:rPr>
          <w:sz w:val="20"/>
          <w:szCs w:val="20"/>
          <w:lang w:bidi="ar-SA"/>
        </w:rPr>
        <w:t xml:space="preserve">concomitant </w:t>
      </w:r>
      <w:r w:rsidRPr="00E35F4D">
        <w:rPr>
          <w:sz w:val="20"/>
          <w:szCs w:val="20"/>
          <w:lang w:bidi="ar-SA"/>
        </w:rPr>
        <w:t xml:space="preserve">CRT. Pathological complete tumor response was achieved in 24% of patients, which was superior to the 19.4% </w:t>
      </w:r>
      <w:proofErr w:type="spellStart"/>
      <w:r w:rsidRPr="00E35F4D">
        <w:rPr>
          <w:sz w:val="20"/>
          <w:szCs w:val="20"/>
          <w:lang w:bidi="ar-SA"/>
        </w:rPr>
        <w:t>pCR</w:t>
      </w:r>
      <w:proofErr w:type="spellEnd"/>
      <w:r w:rsidRPr="00E35F4D">
        <w:rPr>
          <w:sz w:val="20"/>
          <w:szCs w:val="20"/>
          <w:lang w:bidi="ar-SA"/>
        </w:rPr>
        <w:t xml:space="preserve"> recorded in our trial. Also</w:t>
      </w:r>
      <w:r w:rsidR="00BB61C3" w:rsidRPr="00E35F4D">
        <w:rPr>
          <w:sz w:val="20"/>
          <w:szCs w:val="20"/>
          <w:lang w:bidi="ar-SA"/>
        </w:rPr>
        <w:t>,</w:t>
      </w:r>
      <w:r w:rsidRPr="00E35F4D">
        <w:rPr>
          <w:sz w:val="20"/>
          <w:szCs w:val="20"/>
          <w:lang w:bidi="ar-SA"/>
        </w:rPr>
        <w:t xml:space="preserve"> </w:t>
      </w:r>
      <w:proofErr w:type="spellStart"/>
      <w:r w:rsidRPr="00E35F4D">
        <w:rPr>
          <w:sz w:val="20"/>
          <w:szCs w:val="20"/>
          <w:lang w:bidi="ar-SA"/>
        </w:rPr>
        <w:t>Schou</w:t>
      </w:r>
      <w:proofErr w:type="spellEnd"/>
      <w:r w:rsidRPr="00E35F4D">
        <w:rPr>
          <w:sz w:val="20"/>
          <w:szCs w:val="20"/>
        </w:rPr>
        <w:t xml:space="preserve"> et al</w:t>
      </w:r>
      <w:r w:rsidR="0021171C" w:rsidRPr="00E35F4D">
        <w:rPr>
          <w:sz w:val="20"/>
          <w:szCs w:val="20"/>
        </w:rPr>
        <w:t>.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b/>
          <w:bCs/>
          <w:color w:val="000000"/>
          <w:sz w:val="20"/>
          <w:szCs w:val="20"/>
          <w:lang w:bidi="ar-SA"/>
        </w:rPr>
        <w:t>[</w:t>
      </w:r>
      <w:r w:rsidRPr="00E35F4D">
        <w:rPr>
          <w:b/>
          <w:bCs/>
          <w:sz w:val="20"/>
          <w:szCs w:val="20"/>
          <w:lang w:bidi="ar-SA"/>
        </w:rPr>
        <w:t>19</w:t>
      </w:r>
      <w:r w:rsidRPr="00E35F4D">
        <w:rPr>
          <w:b/>
          <w:bCs/>
          <w:color w:val="000000"/>
          <w:sz w:val="20"/>
          <w:szCs w:val="20"/>
          <w:lang w:bidi="ar-SA"/>
        </w:rPr>
        <w:t>]</w:t>
      </w:r>
      <w:r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reported a </w:t>
      </w:r>
      <w:proofErr w:type="spellStart"/>
      <w:r w:rsidRPr="00E35F4D">
        <w:rPr>
          <w:sz w:val="20"/>
          <w:szCs w:val="20"/>
          <w:lang w:bidi="ar-SA"/>
        </w:rPr>
        <w:t>pCR</w:t>
      </w:r>
      <w:proofErr w:type="spellEnd"/>
      <w:r w:rsidRPr="00E35F4D">
        <w:rPr>
          <w:sz w:val="20"/>
          <w:szCs w:val="20"/>
          <w:lang w:bidi="ar-SA"/>
        </w:rPr>
        <w:t xml:space="preserve"> rate of 23%.</w:t>
      </w:r>
      <w:r w:rsidRPr="00E35F4D">
        <w:rPr>
          <w:rFonts w:eastAsia="OfficinaSansLT-Book"/>
          <w:color w:val="131313"/>
          <w:sz w:val="20"/>
          <w:szCs w:val="20"/>
          <w:lang w:bidi="ar-SA"/>
        </w:rPr>
        <w:t xml:space="preserve"> On the other hand</w:t>
      </w:r>
      <w:r w:rsidR="00B51ABC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Pr="00E35F4D">
        <w:rPr>
          <w:rFonts w:eastAsia="OfficinaSansLT-Book"/>
          <w:color w:val="131313"/>
          <w:sz w:val="20"/>
          <w:szCs w:val="20"/>
          <w:lang w:bidi="ar-SA"/>
        </w:rPr>
        <w:t xml:space="preserve"> Fernandez-</w:t>
      </w:r>
      <w:proofErr w:type="spellStart"/>
      <w:r w:rsidRPr="00E35F4D">
        <w:rPr>
          <w:rFonts w:eastAsia="OfficinaSansLT-Book"/>
          <w:color w:val="131313"/>
          <w:sz w:val="20"/>
          <w:szCs w:val="20"/>
          <w:lang w:bidi="ar-SA"/>
        </w:rPr>
        <w:t>Martos</w:t>
      </w:r>
      <w:proofErr w:type="spellEnd"/>
      <w:r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</w:rPr>
        <w:t>et al</w:t>
      </w:r>
      <w:r w:rsidR="0021171C" w:rsidRPr="00E35F4D">
        <w:rPr>
          <w:sz w:val="20"/>
          <w:szCs w:val="20"/>
        </w:rPr>
        <w:t>.</w:t>
      </w:r>
      <w:r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b/>
          <w:bCs/>
          <w:color w:val="000000"/>
          <w:sz w:val="20"/>
          <w:szCs w:val="20"/>
          <w:lang w:bidi="ar-SA"/>
        </w:rPr>
        <w:t>[</w:t>
      </w:r>
      <w:r w:rsidRPr="00E35F4D">
        <w:rPr>
          <w:b/>
          <w:bCs/>
          <w:sz w:val="20"/>
          <w:szCs w:val="20"/>
          <w:lang w:bidi="ar-SA"/>
        </w:rPr>
        <w:t>21</w:t>
      </w:r>
      <w:r w:rsidRPr="00E35F4D">
        <w:rPr>
          <w:b/>
          <w:bCs/>
          <w:color w:val="000000"/>
          <w:sz w:val="20"/>
          <w:szCs w:val="20"/>
          <w:lang w:bidi="ar-SA"/>
        </w:rPr>
        <w:t>]</w:t>
      </w:r>
      <w:r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reported a </w:t>
      </w:r>
      <w:proofErr w:type="spellStart"/>
      <w:r w:rsidRPr="00E35F4D">
        <w:rPr>
          <w:sz w:val="20"/>
          <w:szCs w:val="20"/>
          <w:lang w:bidi="ar-SA"/>
        </w:rPr>
        <w:t>pCR</w:t>
      </w:r>
      <w:proofErr w:type="spellEnd"/>
      <w:r w:rsidRPr="00E35F4D">
        <w:rPr>
          <w:sz w:val="20"/>
          <w:szCs w:val="20"/>
          <w:lang w:bidi="ar-SA"/>
        </w:rPr>
        <w:t xml:space="preserve"> rate of 14.3%.</w:t>
      </w:r>
    </w:p>
    <w:p w:rsidR="00491EAF" w:rsidRPr="00E35F4D" w:rsidRDefault="00491EAF" w:rsidP="002B2928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Patients in our study had </w:t>
      </w:r>
      <w:r w:rsidR="00E75D16" w:rsidRPr="00E35F4D">
        <w:rPr>
          <w:sz w:val="20"/>
          <w:szCs w:val="20"/>
        </w:rPr>
        <w:t>2</w:t>
      </w:r>
      <w:r w:rsidRPr="00E35F4D">
        <w:rPr>
          <w:sz w:val="20"/>
          <w:szCs w:val="20"/>
        </w:rPr>
        <w:t>-year OS and DFS rate</w:t>
      </w:r>
      <w:r w:rsidR="005B675E" w:rsidRPr="00E35F4D">
        <w:rPr>
          <w:sz w:val="20"/>
          <w:szCs w:val="20"/>
        </w:rPr>
        <w:t>s, 83% and</w:t>
      </w:r>
      <w:r w:rsidRPr="00E35F4D">
        <w:rPr>
          <w:sz w:val="20"/>
          <w:szCs w:val="20"/>
        </w:rPr>
        <w:t xml:space="preserve"> 67.4% </w:t>
      </w:r>
      <w:r w:rsidR="005B675E" w:rsidRPr="00E35F4D">
        <w:rPr>
          <w:sz w:val="20"/>
          <w:szCs w:val="20"/>
        </w:rPr>
        <w:t>respective</w:t>
      </w:r>
      <w:r w:rsidR="00267B35" w:rsidRPr="00E35F4D">
        <w:rPr>
          <w:sz w:val="20"/>
          <w:szCs w:val="20"/>
        </w:rPr>
        <w:t>l</w:t>
      </w:r>
      <w:r w:rsidR="005B675E" w:rsidRPr="00E35F4D">
        <w:rPr>
          <w:sz w:val="20"/>
          <w:szCs w:val="20"/>
        </w:rPr>
        <w:t xml:space="preserve">y </w:t>
      </w:r>
      <w:r w:rsidRPr="00E35F4D">
        <w:rPr>
          <w:sz w:val="20"/>
          <w:szCs w:val="20"/>
        </w:rPr>
        <w:t>and this result was comparable with results from Chua et al</w:t>
      </w:r>
      <w:r w:rsidR="0021171C" w:rsidRPr="00E35F4D">
        <w:rPr>
          <w:sz w:val="20"/>
          <w:szCs w:val="20"/>
        </w:rPr>
        <w:t>.</w:t>
      </w:r>
      <w:r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b/>
          <w:bCs/>
          <w:color w:val="000000"/>
          <w:sz w:val="20"/>
          <w:szCs w:val="20"/>
          <w:lang w:bidi="ar-SA"/>
        </w:rPr>
        <w:t>[</w:t>
      </w:r>
      <w:r w:rsidRPr="00E35F4D">
        <w:rPr>
          <w:b/>
          <w:bCs/>
          <w:color w:val="333333"/>
          <w:sz w:val="20"/>
          <w:szCs w:val="20"/>
          <w:lang w:bidi="ar-SA"/>
        </w:rPr>
        <w:t>12</w:t>
      </w:r>
      <w:r w:rsidRPr="00E35F4D">
        <w:rPr>
          <w:b/>
          <w:bCs/>
          <w:color w:val="000000"/>
          <w:sz w:val="20"/>
          <w:szCs w:val="20"/>
          <w:lang w:bidi="ar-SA"/>
        </w:rPr>
        <w:t>].</w:t>
      </w:r>
      <w:r w:rsidRPr="00E35F4D">
        <w:rPr>
          <w:sz w:val="20"/>
          <w:szCs w:val="20"/>
        </w:rPr>
        <w:t xml:space="preserve"> </w:t>
      </w:r>
      <w:proofErr w:type="spellStart"/>
      <w:r w:rsidRPr="00E35F4D">
        <w:rPr>
          <w:sz w:val="20"/>
          <w:szCs w:val="20"/>
          <w:lang w:bidi="ar-SA"/>
        </w:rPr>
        <w:t>Schou</w:t>
      </w:r>
      <w:proofErr w:type="spellEnd"/>
      <w:r w:rsidRPr="00E35F4D">
        <w:rPr>
          <w:sz w:val="20"/>
          <w:szCs w:val="20"/>
        </w:rPr>
        <w:t xml:space="preserve"> et al</w:t>
      </w:r>
      <w:r w:rsidR="0021171C" w:rsidRPr="00E35F4D">
        <w:rPr>
          <w:sz w:val="20"/>
          <w:szCs w:val="20"/>
        </w:rPr>
        <w:t>.</w:t>
      </w:r>
      <w:r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b/>
          <w:bCs/>
          <w:color w:val="000000"/>
          <w:sz w:val="20"/>
          <w:szCs w:val="20"/>
          <w:lang w:bidi="ar-SA"/>
        </w:rPr>
        <w:t>[</w:t>
      </w:r>
      <w:r w:rsidRPr="00E35F4D">
        <w:rPr>
          <w:b/>
          <w:bCs/>
          <w:sz w:val="20"/>
          <w:szCs w:val="20"/>
          <w:lang w:bidi="ar-SA"/>
        </w:rPr>
        <w:t>19</w:t>
      </w:r>
      <w:r w:rsidRPr="00E35F4D">
        <w:rPr>
          <w:b/>
          <w:bCs/>
          <w:color w:val="000000"/>
          <w:sz w:val="20"/>
          <w:szCs w:val="20"/>
          <w:lang w:bidi="ar-SA"/>
        </w:rPr>
        <w:t>]</w:t>
      </w:r>
      <w:r w:rsidRPr="00E35F4D">
        <w:rPr>
          <w:color w:val="000000"/>
          <w:sz w:val="20"/>
          <w:szCs w:val="20"/>
          <w:lang w:bidi="ar-SA"/>
        </w:rPr>
        <w:t xml:space="preserve"> reported </w:t>
      </w:r>
      <w:r w:rsidRPr="00E35F4D">
        <w:rPr>
          <w:sz w:val="20"/>
          <w:szCs w:val="20"/>
        </w:rPr>
        <w:t>5-year OS and DFS were 67%</w:t>
      </w:r>
      <w:r w:rsidR="00436D18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 xml:space="preserve">and 63%, respectively. </w:t>
      </w:r>
      <w:r w:rsidRPr="00E35F4D">
        <w:rPr>
          <w:rFonts w:eastAsia="OfficinaSansLT-Book"/>
          <w:sz w:val="20"/>
          <w:szCs w:val="20"/>
          <w:lang w:bidi="ar-SA"/>
        </w:rPr>
        <w:t>Fernandez-</w:t>
      </w:r>
      <w:proofErr w:type="spellStart"/>
      <w:r w:rsidRPr="00E35F4D">
        <w:rPr>
          <w:rFonts w:eastAsia="OfficinaSansLT-Book"/>
          <w:sz w:val="20"/>
          <w:szCs w:val="20"/>
          <w:lang w:bidi="ar-SA"/>
        </w:rPr>
        <w:t>Martos</w:t>
      </w:r>
      <w:proofErr w:type="spellEnd"/>
      <w:r w:rsidRPr="00E35F4D">
        <w:rPr>
          <w:rFonts w:eastAsia="OfficinaSansLT-Book"/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</w:rPr>
        <w:t>et al</w:t>
      </w:r>
      <w:r w:rsidR="0021171C" w:rsidRPr="00E35F4D">
        <w:rPr>
          <w:sz w:val="20"/>
          <w:szCs w:val="20"/>
        </w:rPr>
        <w:t>.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b/>
          <w:bCs/>
          <w:sz w:val="20"/>
          <w:szCs w:val="20"/>
          <w:lang w:bidi="ar-SA"/>
        </w:rPr>
        <w:t>[21</w:t>
      </w:r>
      <w:r w:rsidR="00C213B1" w:rsidRPr="00E35F4D">
        <w:rPr>
          <w:b/>
          <w:bCs/>
          <w:sz w:val="20"/>
          <w:szCs w:val="20"/>
          <w:lang w:bidi="ar-SA"/>
        </w:rPr>
        <w:t>]</w:t>
      </w:r>
      <w:r w:rsidR="00C213B1" w:rsidRPr="00E35F4D">
        <w:rPr>
          <w:sz w:val="20"/>
          <w:szCs w:val="20"/>
          <w:lang w:bidi="ar-SA"/>
        </w:rPr>
        <w:t xml:space="preserve"> reported that</w:t>
      </w:r>
      <w:r w:rsidRPr="00E35F4D">
        <w:rPr>
          <w:sz w:val="20"/>
          <w:szCs w:val="20"/>
          <w:lang w:bidi="ar-SA"/>
        </w:rPr>
        <w:t xml:space="preserve"> the 18-month OS and FFS rates were 91% and 76% respectively in the studied arm treated with induction CAPOX followed by CRT and surgery</w:t>
      </w:r>
      <w:r w:rsidR="00E75D16" w:rsidRPr="00E35F4D">
        <w:rPr>
          <w:sz w:val="20"/>
          <w:szCs w:val="20"/>
        </w:rPr>
        <w:t>.</w:t>
      </w:r>
    </w:p>
    <w:p w:rsidR="00B63633" w:rsidRPr="00E35F4D" w:rsidRDefault="001C74D4" w:rsidP="002B2928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O</w:t>
      </w:r>
      <w:r w:rsidR="00E44805" w:rsidRPr="00E35F4D">
        <w:rPr>
          <w:sz w:val="20"/>
          <w:szCs w:val="20"/>
        </w:rPr>
        <w:t>verall survival</w:t>
      </w:r>
      <w:r w:rsidRPr="00E35F4D">
        <w:rPr>
          <w:sz w:val="20"/>
          <w:szCs w:val="20"/>
        </w:rPr>
        <w:t xml:space="preserve"> is the gold standard</w:t>
      </w:r>
      <w:r w:rsidR="00B35D33" w:rsidRPr="00E35F4D">
        <w:rPr>
          <w:sz w:val="20"/>
          <w:szCs w:val="20"/>
        </w:rPr>
        <w:t xml:space="preserve"> primary</w:t>
      </w:r>
      <w:r w:rsidRPr="00E35F4D">
        <w:rPr>
          <w:sz w:val="20"/>
          <w:szCs w:val="20"/>
        </w:rPr>
        <w:t xml:space="preserve"> end point</w:t>
      </w:r>
      <w:r w:rsidR="00B35D33" w:rsidRPr="00E35F4D">
        <w:rPr>
          <w:sz w:val="20"/>
          <w:szCs w:val="20"/>
        </w:rPr>
        <w:t xml:space="preserve"> in most trials</w:t>
      </w:r>
      <w:r w:rsidRPr="00E35F4D">
        <w:rPr>
          <w:sz w:val="20"/>
          <w:szCs w:val="20"/>
        </w:rPr>
        <w:t xml:space="preserve">, but </w:t>
      </w:r>
      <w:r w:rsidR="00B35D33" w:rsidRPr="00E35F4D">
        <w:rPr>
          <w:sz w:val="20"/>
          <w:szCs w:val="20"/>
        </w:rPr>
        <w:t>the real evaluation of OS</w:t>
      </w:r>
      <w:r w:rsidRPr="00E35F4D">
        <w:rPr>
          <w:sz w:val="20"/>
          <w:szCs w:val="20"/>
        </w:rPr>
        <w:t xml:space="preserve"> may require a long follow-up time. To overco</w:t>
      </w:r>
      <w:r w:rsidR="00BB61C3" w:rsidRPr="00E35F4D">
        <w:rPr>
          <w:sz w:val="20"/>
          <w:szCs w:val="20"/>
        </w:rPr>
        <w:t xml:space="preserve">me this drawback, </w:t>
      </w:r>
      <w:r w:rsidR="0086709C" w:rsidRPr="00E35F4D">
        <w:rPr>
          <w:sz w:val="20"/>
          <w:szCs w:val="20"/>
        </w:rPr>
        <w:t>a surrogate end point has</w:t>
      </w:r>
      <w:r w:rsidRPr="00E35F4D">
        <w:rPr>
          <w:sz w:val="20"/>
          <w:szCs w:val="20"/>
        </w:rPr>
        <w:t xml:space="preserve"> been proposed such as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. </w:t>
      </w:r>
      <w:r w:rsidR="00D64A9A" w:rsidRPr="00E35F4D">
        <w:rPr>
          <w:sz w:val="20"/>
          <w:szCs w:val="20"/>
        </w:rPr>
        <w:t>Although a</w:t>
      </w:r>
      <w:r w:rsidRPr="00E35F4D">
        <w:rPr>
          <w:sz w:val="20"/>
          <w:szCs w:val="20"/>
        </w:rPr>
        <w:t xml:space="preserve"> better outcome for patients with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has been suggested, in randomized trials, the addition of </w:t>
      </w:r>
      <w:r w:rsidR="006F65B9" w:rsidRPr="00E35F4D">
        <w:rPr>
          <w:sz w:val="20"/>
          <w:szCs w:val="20"/>
        </w:rPr>
        <w:t>CT</w:t>
      </w:r>
      <w:r w:rsidRPr="00E35F4D">
        <w:rPr>
          <w:sz w:val="20"/>
          <w:szCs w:val="20"/>
        </w:rPr>
        <w:t xml:space="preserve"> produced higher rates of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</w:t>
      </w:r>
      <w:r w:rsidR="00BA23B2" w:rsidRPr="00E35F4D">
        <w:rPr>
          <w:sz w:val="20"/>
          <w:szCs w:val="20"/>
        </w:rPr>
        <w:t>with</w:t>
      </w:r>
      <w:r w:rsidRPr="00E35F4D">
        <w:rPr>
          <w:sz w:val="20"/>
          <w:szCs w:val="20"/>
        </w:rPr>
        <w:t xml:space="preserve"> no impact on OS </w:t>
      </w:r>
      <w:r w:rsidRPr="00E35F4D">
        <w:rPr>
          <w:b/>
          <w:bCs/>
          <w:sz w:val="20"/>
          <w:szCs w:val="20"/>
        </w:rPr>
        <w:t>[</w:t>
      </w:r>
      <w:r w:rsidR="00265E9F" w:rsidRPr="00E35F4D">
        <w:rPr>
          <w:b/>
          <w:bCs/>
          <w:sz w:val="20"/>
          <w:szCs w:val="20"/>
        </w:rPr>
        <w:t>5</w:t>
      </w:r>
      <w:r w:rsidRPr="00E35F4D">
        <w:rPr>
          <w:b/>
          <w:bCs/>
          <w:sz w:val="20"/>
          <w:szCs w:val="20"/>
        </w:rPr>
        <w:t xml:space="preserve">, </w:t>
      </w:r>
      <w:r w:rsidR="00265E9F" w:rsidRPr="00E35F4D">
        <w:rPr>
          <w:b/>
          <w:bCs/>
          <w:sz w:val="20"/>
          <w:szCs w:val="20"/>
        </w:rPr>
        <w:t>6</w:t>
      </w:r>
      <w:r w:rsidRPr="00E35F4D">
        <w:rPr>
          <w:b/>
          <w:bCs/>
          <w:sz w:val="20"/>
          <w:szCs w:val="20"/>
        </w:rPr>
        <w:t>]</w:t>
      </w:r>
      <w:r w:rsidRPr="00E35F4D">
        <w:rPr>
          <w:sz w:val="20"/>
          <w:szCs w:val="20"/>
        </w:rPr>
        <w:t xml:space="preserve"> </w:t>
      </w:r>
      <w:r w:rsidR="00C213B1" w:rsidRPr="00E35F4D">
        <w:rPr>
          <w:sz w:val="20"/>
          <w:szCs w:val="20"/>
        </w:rPr>
        <w:t xml:space="preserve">with controversial conclusions about </w:t>
      </w:r>
      <w:r w:rsidRPr="00E35F4D">
        <w:rPr>
          <w:sz w:val="20"/>
          <w:szCs w:val="20"/>
        </w:rPr>
        <w:t xml:space="preserve">the use of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as a surrogate end point for outcome.</w:t>
      </w:r>
      <w:r w:rsidR="000F400E" w:rsidRPr="00E35F4D">
        <w:rPr>
          <w:sz w:val="20"/>
          <w:szCs w:val="20"/>
        </w:rPr>
        <w:t xml:space="preserve"> In the present study</w:t>
      </w:r>
      <w:r w:rsidR="00C213B1" w:rsidRPr="00E35F4D">
        <w:rPr>
          <w:sz w:val="20"/>
          <w:szCs w:val="20"/>
        </w:rPr>
        <w:t>,</w:t>
      </w:r>
      <w:r w:rsidR="000F400E" w:rsidRPr="00E35F4D">
        <w:rPr>
          <w:sz w:val="20"/>
          <w:szCs w:val="20"/>
        </w:rPr>
        <w:t xml:space="preserve"> </w:t>
      </w:r>
      <w:proofErr w:type="spellStart"/>
      <w:r w:rsidR="000F400E"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</w:t>
      </w:r>
      <w:r w:rsidR="00C213B1" w:rsidRPr="00E35F4D">
        <w:rPr>
          <w:sz w:val="20"/>
          <w:szCs w:val="20"/>
        </w:rPr>
        <w:t>did not significantly improve</w:t>
      </w:r>
      <w:r w:rsidR="000F400E" w:rsidRPr="00E35F4D">
        <w:rPr>
          <w:sz w:val="20"/>
          <w:szCs w:val="20"/>
        </w:rPr>
        <w:t xml:space="preserve"> the OS </w:t>
      </w:r>
      <w:r w:rsidR="008830D7" w:rsidRPr="00E35F4D">
        <w:rPr>
          <w:sz w:val="20"/>
          <w:szCs w:val="20"/>
        </w:rPr>
        <w:t xml:space="preserve">and this may </w:t>
      </w:r>
      <w:r w:rsidR="00B51ABC" w:rsidRPr="00E35F4D">
        <w:rPr>
          <w:sz w:val="20"/>
          <w:szCs w:val="20"/>
        </w:rPr>
        <w:t xml:space="preserve">be </w:t>
      </w:r>
      <w:r w:rsidR="008830D7" w:rsidRPr="00E35F4D">
        <w:rPr>
          <w:sz w:val="20"/>
          <w:szCs w:val="20"/>
        </w:rPr>
        <w:t>explained by the small number o</w:t>
      </w:r>
      <w:r w:rsidR="00B51ABC" w:rsidRPr="00E35F4D">
        <w:rPr>
          <w:sz w:val="20"/>
          <w:szCs w:val="20"/>
        </w:rPr>
        <w:t>f patients and the short follow-</w:t>
      </w:r>
      <w:r w:rsidR="008830D7" w:rsidRPr="00E35F4D">
        <w:rPr>
          <w:sz w:val="20"/>
          <w:szCs w:val="20"/>
        </w:rPr>
        <w:t>up period.</w:t>
      </w:r>
      <w:r w:rsidR="000F400E" w:rsidRPr="00E35F4D">
        <w:rPr>
          <w:sz w:val="20"/>
          <w:szCs w:val="20"/>
        </w:rPr>
        <w:t xml:space="preserve"> </w:t>
      </w:r>
      <w:r w:rsidR="00E659C3" w:rsidRPr="00E35F4D">
        <w:rPr>
          <w:sz w:val="20"/>
          <w:szCs w:val="20"/>
        </w:rPr>
        <w:t>Howev</w:t>
      </w:r>
      <w:r w:rsidR="00B51ABC" w:rsidRPr="00E35F4D">
        <w:rPr>
          <w:sz w:val="20"/>
          <w:szCs w:val="20"/>
        </w:rPr>
        <w:t>e</w:t>
      </w:r>
      <w:r w:rsidR="00E659C3" w:rsidRPr="00E35F4D">
        <w:rPr>
          <w:sz w:val="20"/>
          <w:szCs w:val="20"/>
        </w:rPr>
        <w:t xml:space="preserve">r, none of the 6 patients </w:t>
      </w:r>
      <w:r w:rsidR="006F65B9" w:rsidRPr="00E35F4D">
        <w:rPr>
          <w:sz w:val="20"/>
          <w:szCs w:val="20"/>
        </w:rPr>
        <w:t xml:space="preserve">who </w:t>
      </w:r>
      <w:r w:rsidR="00273B17" w:rsidRPr="00E35F4D">
        <w:rPr>
          <w:sz w:val="20"/>
          <w:szCs w:val="20"/>
        </w:rPr>
        <w:t>achieved</w:t>
      </w:r>
      <w:r w:rsidR="00E659C3" w:rsidRPr="00E35F4D">
        <w:rPr>
          <w:sz w:val="20"/>
          <w:szCs w:val="20"/>
        </w:rPr>
        <w:t xml:space="preserve"> </w:t>
      </w:r>
      <w:proofErr w:type="spellStart"/>
      <w:r w:rsidR="00E659C3" w:rsidRPr="00E35F4D">
        <w:rPr>
          <w:sz w:val="20"/>
          <w:szCs w:val="20"/>
        </w:rPr>
        <w:t>pCR</w:t>
      </w:r>
      <w:proofErr w:type="spellEnd"/>
      <w:r w:rsidR="00E659C3" w:rsidRPr="00E35F4D">
        <w:rPr>
          <w:sz w:val="20"/>
          <w:szCs w:val="20"/>
        </w:rPr>
        <w:t xml:space="preserve"> had local or distant recurrences nor died during the follow-up period. </w:t>
      </w:r>
      <w:r w:rsidRPr="00E35F4D">
        <w:rPr>
          <w:sz w:val="20"/>
          <w:szCs w:val="20"/>
        </w:rPr>
        <w:t>Maas et al</w:t>
      </w:r>
      <w:r w:rsidR="0021171C" w:rsidRPr="00E35F4D">
        <w:rPr>
          <w:sz w:val="20"/>
          <w:szCs w:val="20"/>
        </w:rPr>
        <w:t>.</w:t>
      </w:r>
      <w:r w:rsidRPr="00E35F4D">
        <w:rPr>
          <w:sz w:val="20"/>
          <w:szCs w:val="20"/>
        </w:rPr>
        <w:t xml:space="preserve"> </w:t>
      </w:r>
      <w:r w:rsidRPr="00E35F4D">
        <w:rPr>
          <w:b/>
          <w:bCs/>
          <w:sz w:val="20"/>
          <w:szCs w:val="20"/>
        </w:rPr>
        <w:t>[</w:t>
      </w:r>
      <w:r w:rsidR="00204814" w:rsidRPr="00E35F4D">
        <w:rPr>
          <w:b/>
          <w:bCs/>
          <w:sz w:val="20"/>
          <w:szCs w:val="20"/>
        </w:rPr>
        <w:t>22</w:t>
      </w:r>
      <w:r w:rsidRPr="00E35F4D">
        <w:rPr>
          <w:b/>
          <w:bCs/>
          <w:sz w:val="20"/>
          <w:szCs w:val="20"/>
        </w:rPr>
        <w:t>]</w:t>
      </w:r>
      <w:r w:rsidRPr="00E35F4D">
        <w:rPr>
          <w:sz w:val="20"/>
          <w:szCs w:val="20"/>
        </w:rPr>
        <w:t xml:space="preserve"> did a pooled analysis of 3105 patients from 14 study datasets to explore the long-term outcome in patients with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after </w:t>
      </w:r>
      <w:r w:rsidR="006F65B9" w:rsidRPr="00E35F4D">
        <w:rPr>
          <w:sz w:val="20"/>
          <w:szCs w:val="20"/>
          <w:lang w:bidi="ar-SA"/>
        </w:rPr>
        <w:t>concomitant</w:t>
      </w:r>
      <w:r w:rsidR="006F65B9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 xml:space="preserve">CRT. </w:t>
      </w:r>
      <w:r w:rsidR="005B675E" w:rsidRPr="00E35F4D">
        <w:rPr>
          <w:sz w:val="20"/>
          <w:szCs w:val="20"/>
        </w:rPr>
        <w:t>T</w:t>
      </w:r>
      <w:r w:rsidRPr="00E35F4D">
        <w:rPr>
          <w:sz w:val="20"/>
          <w:szCs w:val="20"/>
        </w:rPr>
        <w:t xml:space="preserve">he datasets were </w:t>
      </w:r>
      <w:r w:rsidR="003B6C51" w:rsidRPr="00E35F4D">
        <w:rPr>
          <w:sz w:val="20"/>
          <w:szCs w:val="20"/>
        </w:rPr>
        <w:t>widely variable in</w:t>
      </w:r>
      <w:r w:rsidRPr="00E35F4D">
        <w:rPr>
          <w:sz w:val="20"/>
          <w:szCs w:val="20"/>
        </w:rPr>
        <w:t xml:space="preserve"> tumor stages and treatment regimens. They suggested a better outcome</w:t>
      </w:r>
      <w:r w:rsidR="003B6C51" w:rsidRPr="00E35F4D">
        <w:rPr>
          <w:sz w:val="20"/>
          <w:szCs w:val="20"/>
        </w:rPr>
        <w:t xml:space="preserve"> for patients achieved </w:t>
      </w:r>
      <w:proofErr w:type="spellStart"/>
      <w:r w:rsidR="003B6C51"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with a 5-year DFS of 83.3% compared with 65.6% in those patients without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. </w:t>
      </w:r>
      <w:r w:rsidR="00C213B1" w:rsidRPr="00E35F4D">
        <w:rPr>
          <w:sz w:val="20"/>
          <w:szCs w:val="20"/>
        </w:rPr>
        <w:t>A</w:t>
      </w:r>
      <w:r w:rsidRPr="00E35F4D">
        <w:rPr>
          <w:sz w:val="20"/>
          <w:szCs w:val="20"/>
        </w:rPr>
        <w:t>lso</w:t>
      </w:r>
      <w:r w:rsidR="00C213B1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</w:t>
      </w:r>
      <w:proofErr w:type="spellStart"/>
      <w:r w:rsidR="0021171C" w:rsidRPr="00E35F4D">
        <w:rPr>
          <w:sz w:val="20"/>
          <w:szCs w:val="20"/>
          <w:lang w:bidi="ar-SA"/>
        </w:rPr>
        <w:t>Valentini</w:t>
      </w:r>
      <w:proofErr w:type="spellEnd"/>
      <w:r w:rsidR="0021171C" w:rsidRPr="00E35F4D">
        <w:rPr>
          <w:sz w:val="20"/>
          <w:szCs w:val="20"/>
        </w:rPr>
        <w:t xml:space="preserve"> et al. </w:t>
      </w:r>
      <w:r w:rsidR="0021171C" w:rsidRPr="00E35F4D">
        <w:rPr>
          <w:b/>
          <w:bCs/>
          <w:sz w:val="20"/>
          <w:szCs w:val="20"/>
        </w:rPr>
        <w:t>[23]</w:t>
      </w:r>
      <w:r w:rsidR="0021171C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>supported a lower risk for metastat</w:t>
      </w:r>
      <w:r w:rsidR="0021171C" w:rsidRPr="00E35F4D">
        <w:rPr>
          <w:sz w:val="20"/>
          <w:szCs w:val="20"/>
        </w:rPr>
        <w:t xml:space="preserve">ic disease in patients with </w:t>
      </w:r>
      <w:proofErr w:type="spellStart"/>
      <w:r w:rsidR="0021171C"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>.</w:t>
      </w:r>
    </w:p>
    <w:p w:rsidR="001C74D4" w:rsidRPr="00E35F4D" w:rsidRDefault="001C74D4" w:rsidP="002B2928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It has also been suggested that small tumors </w:t>
      </w:r>
      <w:r w:rsidR="00720EEC" w:rsidRPr="00E35F4D">
        <w:rPr>
          <w:sz w:val="20"/>
          <w:szCs w:val="20"/>
        </w:rPr>
        <w:t>≤</w:t>
      </w:r>
      <w:r w:rsidRPr="00E35F4D">
        <w:rPr>
          <w:sz w:val="20"/>
          <w:szCs w:val="20"/>
        </w:rPr>
        <w:t xml:space="preserve">5 cm are more prone to achieve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</w:t>
      </w:r>
      <w:r w:rsidRPr="00E35F4D">
        <w:rPr>
          <w:b/>
          <w:bCs/>
          <w:sz w:val="20"/>
          <w:szCs w:val="20"/>
        </w:rPr>
        <w:t>[</w:t>
      </w:r>
      <w:r w:rsidR="00720EEC" w:rsidRPr="00E35F4D">
        <w:rPr>
          <w:b/>
          <w:bCs/>
          <w:sz w:val="20"/>
          <w:szCs w:val="20"/>
          <w:lang w:bidi="ar-SA"/>
        </w:rPr>
        <w:t>24</w:t>
      </w:r>
      <w:r w:rsidRPr="00E35F4D">
        <w:rPr>
          <w:b/>
          <w:bCs/>
          <w:sz w:val="20"/>
          <w:szCs w:val="20"/>
        </w:rPr>
        <w:t>].</w:t>
      </w:r>
      <w:r w:rsidRPr="00E35F4D">
        <w:rPr>
          <w:sz w:val="20"/>
          <w:szCs w:val="20"/>
        </w:rPr>
        <w:t xml:space="preserve"> </w:t>
      </w:r>
      <w:r w:rsidR="00720EEC" w:rsidRPr="00E35F4D">
        <w:rPr>
          <w:sz w:val="20"/>
          <w:szCs w:val="20"/>
        </w:rPr>
        <w:t>In our study out o</w:t>
      </w:r>
      <w:r w:rsidRPr="00E35F4D">
        <w:rPr>
          <w:sz w:val="20"/>
          <w:szCs w:val="20"/>
        </w:rPr>
        <w:t xml:space="preserve">f the </w:t>
      </w:r>
      <w:r w:rsidR="00441EB2" w:rsidRPr="00E35F4D">
        <w:rPr>
          <w:sz w:val="20"/>
          <w:szCs w:val="20"/>
        </w:rPr>
        <w:t>6</w:t>
      </w:r>
      <w:r w:rsidRPr="00E35F4D">
        <w:rPr>
          <w:sz w:val="20"/>
          <w:szCs w:val="20"/>
        </w:rPr>
        <w:t xml:space="preserve"> patients with </w:t>
      </w:r>
      <w:proofErr w:type="spellStart"/>
      <w:r w:rsidR="00720EEC" w:rsidRPr="00E35F4D">
        <w:rPr>
          <w:sz w:val="20"/>
          <w:szCs w:val="20"/>
        </w:rPr>
        <w:t>pCR</w:t>
      </w:r>
      <w:proofErr w:type="spellEnd"/>
      <w:r w:rsidR="00720EEC" w:rsidRPr="00E35F4D">
        <w:rPr>
          <w:sz w:val="20"/>
          <w:szCs w:val="20"/>
        </w:rPr>
        <w:t>,</w:t>
      </w:r>
      <w:r w:rsidR="00B51ABC" w:rsidRPr="00E35F4D">
        <w:rPr>
          <w:sz w:val="20"/>
          <w:szCs w:val="20"/>
        </w:rPr>
        <w:t xml:space="preserve"> </w:t>
      </w:r>
      <w:r w:rsidR="00B63633" w:rsidRPr="00E35F4D">
        <w:rPr>
          <w:sz w:val="20"/>
          <w:szCs w:val="20"/>
        </w:rPr>
        <w:t xml:space="preserve">one </w:t>
      </w:r>
      <w:r w:rsidRPr="00E35F4D">
        <w:rPr>
          <w:sz w:val="20"/>
          <w:szCs w:val="20"/>
        </w:rPr>
        <w:t>(</w:t>
      </w:r>
      <w:r w:rsidR="00B63633" w:rsidRPr="00E35F4D">
        <w:rPr>
          <w:sz w:val="20"/>
          <w:szCs w:val="20"/>
        </w:rPr>
        <w:t xml:space="preserve">8.3% </w:t>
      </w:r>
      <w:r w:rsidRPr="00E35F4D">
        <w:rPr>
          <w:sz w:val="20"/>
          <w:szCs w:val="20"/>
        </w:rPr>
        <w:t xml:space="preserve">of all large tumors) patient initially had a tumor size </w:t>
      </w:r>
      <w:r w:rsidR="00720EEC" w:rsidRPr="00E35F4D">
        <w:rPr>
          <w:sz w:val="20"/>
          <w:szCs w:val="20"/>
        </w:rPr>
        <w:t>&gt;</w:t>
      </w:r>
      <w:r w:rsidRPr="00E35F4D">
        <w:rPr>
          <w:sz w:val="20"/>
          <w:szCs w:val="20"/>
        </w:rPr>
        <w:t xml:space="preserve">5 cm and </w:t>
      </w:r>
      <w:r w:rsidR="00B63633" w:rsidRPr="00E35F4D">
        <w:rPr>
          <w:sz w:val="20"/>
          <w:szCs w:val="20"/>
        </w:rPr>
        <w:t>five</w:t>
      </w:r>
      <w:r w:rsidRPr="00E35F4D">
        <w:rPr>
          <w:sz w:val="20"/>
          <w:szCs w:val="20"/>
        </w:rPr>
        <w:t xml:space="preserve">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patients </w:t>
      </w:r>
      <w:r w:rsidR="00B63633" w:rsidRPr="00E35F4D">
        <w:rPr>
          <w:sz w:val="20"/>
          <w:szCs w:val="20"/>
        </w:rPr>
        <w:t>had</w:t>
      </w:r>
      <w:r w:rsidRPr="00E35F4D">
        <w:rPr>
          <w:sz w:val="20"/>
          <w:szCs w:val="20"/>
        </w:rPr>
        <w:t xml:space="preserve"> small tumor size (</w:t>
      </w:r>
      <w:r w:rsidR="00B63633" w:rsidRPr="00E35F4D">
        <w:rPr>
          <w:sz w:val="20"/>
          <w:szCs w:val="20"/>
        </w:rPr>
        <w:t>26.3</w:t>
      </w:r>
      <w:r w:rsidRPr="00E35F4D">
        <w:rPr>
          <w:sz w:val="20"/>
          <w:szCs w:val="20"/>
        </w:rPr>
        <w:t>% of all small tumors).</w:t>
      </w:r>
    </w:p>
    <w:p w:rsidR="00634351" w:rsidRPr="00E35F4D" w:rsidRDefault="00C07709" w:rsidP="002B2928">
      <w:pPr>
        <w:autoSpaceDE w:val="0"/>
        <w:autoSpaceDN w:val="0"/>
        <w:adjustRightInd w:val="0"/>
        <w:snapToGrid w:val="0"/>
        <w:ind w:firstLine="425"/>
        <w:jc w:val="both"/>
        <w:rPr>
          <w:color w:val="000000"/>
          <w:sz w:val="20"/>
          <w:szCs w:val="20"/>
          <w:lang w:bidi="ar-SA"/>
        </w:rPr>
      </w:pPr>
      <w:r w:rsidRPr="00E35F4D">
        <w:rPr>
          <w:rFonts w:eastAsia="OfficinaSansLT-Book"/>
          <w:color w:val="000000"/>
          <w:sz w:val="20"/>
          <w:szCs w:val="20"/>
          <w:lang w:bidi="ar-SA"/>
        </w:rPr>
        <w:t>In our study</w:t>
      </w:r>
      <w:r w:rsidR="00B51ABC" w:rsidRPr="00E35F4D">
        <w:rPr>
          <w:rFonts w:eastAsia="OfficinaSansLT-Book"/>
          <w:color w:val="000000"/>
          <w:sz w:val="20"/>
          <w:szCs w:val="20"/>
          <w:lang w:bidi="ar-SA"/>
        </w:rPr>
        <w:t>,</w:t>
      </w:r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no treatment</w:t>
      </w:r>
      <w:r w:rsidR="00B51ABC" w:rsidRPr="00E35F4D">
        <w:rPr>
          <w:rFonts w:eastAsia="OfficinaSansLT-Book"/>
          <w:color w:val="000000"/>
          <w:sz w:val="20"/>
          <w:szCs w:val="20"/>
          <w:lang w:bidi="ar-SA"/>
        </w:rPr>
        <w:t>-</w:t>
      </w:r>
      <w:r w:rsidRPr="00E35F4D">
        <w:rPr>
          <w:rFonts w:eastAsia="OfficinaSansLT-Book"/>
          <w:color w:val="000000"/>
          <w:sz w:val="20"/>
          <w:szCs w:val="20"/>
          <w:lang w:bidi="ar-SA"/>
        </w:rPr>
        <w:t>related death had</w:t>
      </w:r>
      <w:r w:rsidR="00CC5116" w:rsidRPr="00E35F4D">
        <w:rPr>
          <w:rFonts w:eastAsia="OfficinaSansLT-Book"/>
          <w:color w:val="000000"/>
          <w:sz w:val="20"/>
          <w:szCs w:val="20"/>
          <w:lang w:bidi="ar-SA"/>
        </w:rPr>
        <w:t xml:space="preserve"> been</w:t>
      </w:r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recorded</w:t>
      </w:r>
      <w:r w:rsidR="00CC5116" w:rsidRPr="00E35F4D">
        <w:rPr>
          <w:rFonts w:eastAsia="OfficinaSansLT-Book"/>
          <w:color w:val="000000"/>
          <w:sz w:val="20"/>
          <w:szCs w:val="20"/>
          <w:lang w:bidi="ar-SA"/>
        </w:rPr>
        <w:t>.</w:t>
      </w:r>
      <w:r w:rsidRPr="00E35F4D">
        <w:rPr>
          <w:color w:val="000000"/>
          <w:sz w:val="20"/>
          <w:szCs w:val="20"/>
          <w:lang w:bidi="ar-SA"/>
        </w:rPr>
        <w:t xml:space="preserve"> Grade 3/4 toxicity was seen in </w:t>
      </w:r>
      <w:r w:rsidR="000A0593" w:rsidRPr="00E35F4D">
        <w:rPr>
          <w:color w:val="000000"/>
          <w:sz w:val="20"/>
          <w:szCs w:val="20"/>
          <w:lang w:bidi="ar-SA"/>
        </w:rPr>
        <w:t>19.4</w:t>
      </w:r>
      <w:r w:rsidRPr="00E35F4D">
        <w:rPr>
          <w:color w:val="000000"/>
          <w:sz w:val="20"/>
          <w:szCs w:val="20"/>
          <w:lang w:bidi="ar-SA"/>
        </w:rPr>
        <w:t>%</w:t>
      </w:r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of patients</w:t>
      </w:r>
      <w:r w:rsidRPr="00E35F4D">
        <w:rPr>
          <w:color w:val="000000"/>
          <w:sz w:val="20"/>
          <w:szCs w:val="20"/>
          <w:lang w:bidi="ar-SA"/>
        </w:rPr>
        <w:t xml:space="preserve"> and the most common non</w:t>
      </w:r>
      <w:r w:rsidR="00504D3D" w:rsidRPr="00E35F4D">
        <w:rPr>
          <w:color w:val="000000"/>
          <w:sz w:val="20"/>
          <w:szCs w:val="20"/>
          <w:lang w:bidi="ar-SA"/>
        </w:rPr>
        <w:t>-</w:t>
      </w:r>
      <w:r w:rsidR="00652B96" w:rsidRPr="00E35F4D">
        <w:rPr>
          <w:color w:val="000000"/>
          <w:sz w:val="20"/>
          <w:szCs w:val="20"/>
          <w:lang w:bidi="ar-SA"/>
        </w:rPr>
        <w:t>h</w:t>
      </w:r>
      <w:r w:rsidRPr="00E35F4D">
        <w:rPr>
          <w:color w:val="000000"/>
          <w:sz w:val="20"/>
          <w:szCs w:val="20"/>
          <w:lang w:bidi="ar-SA"/>
        </w:rPr>
        <w:t>ematological toxicity was grade 3 diarrh</w:t>
      </w:r>
      <w:r w:rsidR="00267B35" w:rsidRPr="00E35F4D">
        <w:rPr>
          <w:color w:val="000000"/>
          <w:sz w:val="20"/>
          <w:szCs w:val="20"/>
          <w:lang w:bidi="ar-SA"/>
        </w:rPr>
        <w:t xml:space="preserve">ea </w:t>
      </w:r>
      <w:r w:rsidRPr="00E35F4D">
        <w:rPr>
          <w:color w:val="000000"/>
          <w:sz w:val="20"/>
          <w:szCs w:val="20"/>
          <w:lang w:bidi="ar-SA"/>
        </w:rPr>
        <w:t>(</w:t>
      </w:r>
      <w:r w:rsidR="0021171C" w:rsidRPr="00E35F4D">
        <w:rPr>
          <w:color w:val="000000"/>
          <w:sz w:val="20"/>
          <w:szCs w:val="20"/>
          <w:lang w:bidi="ar-SA"/>
        </w:rPr>
        <w:t>9.7</w:t>
      </w:r>
      <w:r w:rsidRPr="00E35F4D">
        <w:rPr>
          <w:color w:val="000000"/>
          <w:sz w:val="20"/>
          <w:szCs w:val="20"/>
          <w:lang w:bidi="ar-SA"/>
        </w:rPr>
        <w:t xml:space="preserve">% during CAPOX and </w:t>
      </w:r>
      <w:r w:rsidR="000A0593" w:rsidRPr="00E35F4D">
        <w:rPr>
          <w:color w:val="000000"/>
          <w:sz w:val="20"/>
          <w:szCs w:val="20"/>
          <w:lang w:bidi="ar-SA"/>
        </w:rPr>
        <w:t>16.1</w:t>
      </w:r>
      <w:r w:rsidRPr="00E35F4D">
        <w:rPr>
          <w:color w:val="000000"/>
          <w:sz w:val="20"/>
          <w:szCs w:val="20"/>
          <w:lang w:bidi="ar-SA"/>
        </w:rPr>
        <w:t xml:space="preserve">% during </w:t>
      </w:r>
      <w:r w:rsidR="0021171C" w:rsidRPr="00E35F4D">
        <w:rPr>
          <w:color w:val="000000"/>
          <w:sz w:val="20"/>
          <w:szCs w:val="20"/>
          <w:lang w:bidi="ar-SA"/>
        </w:rPr>
        <w:t xml:space="preserve">concomitant </w:t>
      </w:r>
      <w:r w:rsidRPr="00E35F4D">
        <w:rPr>
          <w:color w:val="000000"/>
          <w:sz w:val="20"/>
          <w:szCs w:val="20"/>
          <w:lang w:bidi="ar-SA"/>
        </w:rPr>
        <w:t>CRT).</w:t>
      </w:r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</w:t>
      </w:r>
      <w:r w:rsidR="00130513" w:rsidRPr="00E35F4D">
        <w:rPr>
          <w:rFonts w:eastAsia="OfficinaSansLT-Book"/>
          <w:color w:val="000000"/>
          <w:sz w:val="20"/>
          <w:szCs w:val="20"/>
          <w:lang w:bidi="ar-SA"/>
        </w:rPr>
        <w:t>Fernandez-</w:t>
      </w:r>
      <w:proofErr w:type="spellStart"/>
      <w:r w:rsidR="00130513" w:rsidRPr="00E35F4D">
        <w:rPr>
          <w:rFonts w:eastAsia="OfficinaSansLT-Book"/>
          <w:color w:val="000000"/>
          <w:sz w:val="20"/>
          <w:szCs w:val="20"/>
          <w:lang w:bidi="ar-SA"/>
        </w:rPr>
        <w:t>Martos</w:t>
      </w:r>
      <w:proofErr w:type="spellEnd"/>
      <w:r w:rsidR="00130513" w:rsidRPr="00E35F4D">
        <w:rPr>
          <w:rFonts w:eastAsia="OfficinaSansLT-Book"/>
          <w:color w:val="000000"/>
          <w:sz w:val="20"/>
          <w:szCs w:val="20"/>
          <w:lang w:bidi="ar-SA"/>
        </w:rPr>
        <w:t xml:space="preserve"> </w:t>
      </w:r>
      <w:r w:rsidR="00130513" w:rsidRPr="00E35F4D">
        <w:rPr>
          <w:color w:val="000000"/>
          <w:sz w:val="20"/>
          <w:szCs w:val="20"/>
        </w:rPr>
        <w:t>et al</w:t>
      </w:r>
      <w:r w:rsidR="0021171C" w:rsidRPr="00E35F4D">
        <w:rPr>
          <w:color w:val="000000"/>
          <w:sz w:val="20"/>
          <w:szCs w:val="20"/>
        </w:rPr>
        <w:t>.</w:t>
      </w:r>
      <w:r w:rsidR="00130513" w:rsidRPr="00E35F4D">
        <w:rPr>
          <w:color w:val="000000"/>
          <w:sz w:val="20"/>
          <w:szCs w:val="20"/>
          <w:lang w:bidi="ar-SA"/>
        </w:rPr>
        <w:t xml:space="preserve"> </w:t>
      </w:r>
      <w:r w:rsidR="00130513" w:rsidRPr="00E35F4D">
        <w:rPr>
          <w:b/>
          <w:bCs/>
          <w:color w:val="000000"/>
          <w:sz w:val="20"/>
          <w:szCs w:val="20"/>
          <w:lang w:bidi="ar-SA"/>
        </w:rPr>
        <w:t>[</w:t>
      </w:r>
      <w:r w:rsidR="00B920C7" w:rsidRPr="00E35F4D">
        <w:rPr>
          <w:b/>
          <w:bCs/>
          <w:color w:val="000000"/>
          <w:sz w:val="20"/>
          <w:szCs w:val="20"/>
          <w:lang w:bidi="ar-SA"/>
        </w:rPr>
        <w:t>21</w:t>
      </w:r>
      <w:r w:rsidR="00C00654" w:rsidRPr="00E35F4D">
        <w:rPr>
          <w:b/>
          <w:bCs/>
          <w:color w:val="000000"/>
          <w:sz w:val="20"/>
          <w:szCs w:val="20"/>
          <w:lang w:bidi="ar-SA"/>
        </w:rPr>
        <w:t>]</w:t>
      </w:r>
      <w:r w:rsidR="00B920C7" w:rsidRPr="00E35F4D">
        <w:rPr>
          <w:color w:val="000000"/>
          <w:sz w:val="20"/>
          <w:szCs w:val="20"/>
          <w:lang w:bidi="ar-SA"/>
        </w:rPr>
        <w:t xml:space="preserve"> reported that</w:t>
      </w:r>
      <w:r w:rsidR="00C00654" w:rsidRPr="00E35F4D">
        <w:rPr>
          <w:color w:val="000000"/>
          <w:sz w:val="20"/>
          <w:szCs w:val="20"/>
          <w:lang w:bidi="ar-SA"/>
        </w:rPr>
        <w:t xml:space="preserve"> 23</w:t>
      </w:r>
      <w:r w:rsidR="00130513" w:rsidRPr="00E35F4D">
        <w:rPr>
          <w:color w:val="000000"/>
          <w:sz w:val="20"/>
          <w:szCs w:val="20"/>
          <w:lang w:bidi="ar-SA"/>
        </w:rPr>
        <w:t xml:space="preserve">% </w:t>
      </w:r>
      <w:r w:rsidR="007C0E63" w:rsidRPr="00E35F4D">
        <w:rPr>
          <w:color w:val="000000"/>
          <w:sz w:val="20"/>
          <w:szCs w:val="20"/>
          <w:lang w:bidi="ar-SA"/>
        </w:rPr>
        <w:t>of patients</w:t>
      </w:r>
      <w:r w:rsidR="00130513" w:rsidRPr="00E35F4D">
        <w:rPr>
          <w:color w:val="000000"/>
          <w:sz w:val="20"/>
          <w:szCs w:val="20"/>
          <w:lang w:bidi="ar-SA"/>
        </w:rPr>
        <w:t xml:space="preserve"> </w:t>
      </w:r>
      <w:r w:rsidR="00130513" w:rsidRPr="00E35F4D">
        <w:rPr>
          <w:sz w:val="20"/>
          <w:szCs w:val="20"/>
          <w:lang w:bidi="ar-SA"/>
        </w:rPr>
        <w:t>experienced grades 3</w:t>
      </w:r>
      <w:r w:rsidR="005B675E" w:rsidRPr="00E35F4D">
        <w:rPr>
          <w:sz w:val="20"/>
          <w:szCs w:val="20"/>
          <w:lang w:bidi="ar-SA"/>
        </w:rPr>
        <w:t>-</w:t>
      </w:r>
      <w:r w:rsidR="00130513" w:rsidRPr="00E35F4D">
        <w:rPr>
          <w:sz w:val="20"/>
          <w:szCs w:val="20"/>
          <w:lang w:bidi="ar-SA"/>
        </w:rPr>
        <w:t>4</w:t>
      </w:r>
      <w:r w:rsidR="00FE14E4" w:rsidRPr="00E35F4D">
        <w:rPr>
          <w:sz w:val="20"/>
          <w:szCs w:val="20"/>
          <w:lang w:bidi="ar-SA"/>
        </w:rPr>
        <w:t xml:space="preserve"> </w:t>
      </w:r>
      <w:r w:rsidR="00130513" w:rsidRPr="00E35F4D">
        <w:rPr>
          <w:sz w:val="20"/>
          <w:szCs w:val="20"/>
          <w:lang w:bidi="ar-SA"/>
        </w:rPr>
        <w:t xml:space="preserve">toxicity, </w:t>
      </w:r>
      <w:r w:rsidR="005B675E" w:rsidRPr="00E35F4D">
        <w:rPr>
          <w:sz w:val="20"/>
          <w:szCs w:val="20"/>
          <w:lang w:bidi="ar-SA"/>
        </w:rPr>
        <w:t>with 5%</w:t>
      </w:r>
      <w:r w:rsidR="00130513" w:rsidRPr="00E35F4D">
        <w:rPr>
          <w:sz w:val="20"/>
          <w:szCs w:val="20"/>
          <w:lang w:bidi="ar-SA"/>
        </w:rPr>
        <w:t xml:space="preserve"> grade 3 </w:t>
      </w:r>
      <w:r w:rsidR="007C0E63" w:rsidRPr="00E35F4D">
        <w:rPr>
          <w:sz w:val="20"/>
          <w:szCs w:val="20"/>
          <w:lang w:bidi="ar-SA"/>
        </w:rPr>
        <w:t>diarrheas</w:t>
      </w:r>
      <w:r w:rsidR="00130513" w:rsidRPr="00E35F4D">
        <w:rPr>
          <w:sz w:val="20"/>
          <w:szCs w:val="20"/>
          <w:lang w:bidi="ar-SA"/>
        </w:rPr>
        <w:t xml:space="preserve">. </w:t>
      </w:r>
      <w:proofErr w:type="spellStart"/>
      <w:r w:rsidR="00634351" w:rsidRPr="00E35F4D">
        <w:rPr>
          <w:sz w:val="20"/>
          <w:szCs w:val="20"/>
          <w:lang w:bidi="ar-SA"/>
        </w:rPr>
        <w:t>Koeberle</w:t>
      </w:r>
      <w:proofErr w:type="spellEnd"/>
      <w:r w:rsidR="00431647" w:rsidRPr="00E35F4D">
        <w:rPr>
          <w:sz w:val="20"/>
          <w:szCs w:val="20"/>
        </w:rPr>
        <w:t xml:space="preserve"> et al</w:t>
      </w:r>
      <w:r w:rsidR="000C4556" w:rsidRPr="00E35F4D">
        <w:rPr>
          <w:sz w:val="20"/>
          <w:szCs w:val="20"/>
        </w:rPr>
        <w:t>.</w:t>
      </w:r>
      <w:r w:rsidR="00634351" w:rsidRPr="00E35F4D">
        <w:rPr>
          <w:sz w:val="20"/>
          <w:szCs w:val="20"/>
          <w:lang w:bidi="ar-SA"/>
        </w:rPr>
        <w:t xml:space="preserve"> </w:t>
      </w:r>
      <w:r w:rsidR="00E15CEE" w:rsidRPr="00E35F4D">
        <w:rPr>
          <w:b/>
          <w:bCs/>
          <w:sz w:val="20"/>
          <w:szCs w:val="20"/>
          <w:lang w:bidi="ar-SA"/>
        </w:rPr>
        <w:t>[</w:t>
      </w:r>
      <w:r w:rsidR="00B920C7" w:rsidRPr="00E35F4D">
        <w:rPr>
          <w:b/>
          <w:bCs/>
          <w:sz w:val="20"/>
          <w:szCs w:val="20"/>
          <w:lang w:bidi="ar-SA"/>
        </w:rPr>
        <w:t>20</w:t>
      </w:r>
      <w:r w:rsidR="00E15CEE" w:rsidRPr="00E35F4D">
        <w:rPr>
          <w:b/>
          <w:bCs/>
          <w:sz w:val="20"/>
          <w:szCs w:val="20"/>
          <w:lang w:bidi="ar-SA"/>
        </w:rPr>
        <w:t>]</w:t>
      </w:r>
      <w:r w:rsidR="00833801" w:rsidRPr="00E35F4D">
        <w:rPr>
          <w:color w:val="000000"/>
          <w:sz w:val="20"/>
          <w:szCs w:val="20"/>
          <w:lang w:bidi="ar-SA"/>
        </w:rPr>
        <w:t xml:space="preserve"> recorded the</w:t>
      </w:r>
      <w:r w:rsidR="00634351" w:rsidRPr="00E35F4D">
        <w:rPr>
          <w:color w:val="000000"/>
          <w:sz w:val="20"/>
          <w:szCs w:val="20"/>
          <w:lang w:bidi="ar-SA"/>
        </w:rPr>
        <w:t xml:space="preserve"> most common non</w:t>
      </w:r>
      <w:r w:rsidR="00652B96" w:rsidRPr="00E35F4D">
        <w:rPr>
          <w:color w:val="000000"/>
          <w:sz w:val="20"/>
          <w:szCs w:val="20"/>
          <w:lang w:bidi="ar-SA"/>
        </w:rPr>
        <w:t>-</w:t>
      </w:r>
      <w:r w:rsidR="00634351" w:rsidRPr="00E35F4D">
        <w:rPr>
          <w:color w:val="000000"/>
          <w:sz w:val="20"/>
          <w:szCs w:val="20"/>
          <w:lang w:bidi="ar-SA"/>
        </w:rPr>
        <w:t xml:space="preserve">hematological toxicity </w:t>
      </w:r>
      <w:r w:rsidR="00A745D2" w:rsidRPr="00E35F4D">
        <w:rPr>
          <w:color w:val="000000"/>
          <w:sz w:val="20"/>
          <w:szCs w:val="20"/>
          <w:lang w:bidi="ar-SA"/>
        </w:rPr>
        <w:t>were</w:t>
      </w:r>
      <w:r w:rsidR="00FE14E4" w:rsidRPr="00E35F4D">
        <w:rPr>
          <w:color w:val="000000"/>
          <w:sz w:val="20"/>
          <w:szCs w:val="20"/>
          <w:lang w:bidi="ar-SA"/>
        </w:rPr>
        <w:t xml:space="preserve"> </w:t>
      </w:r>
      <w:r w:rsidR="00634351" w:rsidRPr="00E35F4D">
        <w:rPr>
          <w:color w:val="000000"/>
          <w:sz w:val="20"/>
          <w:szCs w:val="20"/>
          <w:lang w:bidi="ar-SA"/>
        </w:rPr>
        <w:t>grade 3 or 4 diarrhea</w:t>
      </w:r>
      <w:r w:rsidR="00BA23B2" w:rsidRPr="00E35F4D">
        <w:rPr>
          <w:color w:val="000000"/>
          <w:sz w:val="20"/>
          <w:szCs w:val="20"/>
          <w:lang w:bidi="ar-SA"/>
        </w:rPr>
        <w:t xml:space="preserve"> (</w:t>
      </w:r>
      <w:r w:rsidR="00634351" w:rsidRPr="00E35F4D">
        <w:rPr>
          <w:color w:val="000000"/>
          <w:sz w:val="20"/>
          <w:szCs w:val="20"/>
          <w:lang w:bidi="ar-SA"/>
        </w:rPr>
        <w:t>20%</w:t>
      </w:r>
      <w:r w:rsidR="00BA23B2" w:rsidRPr="00E35F4D">
        <w:rPr>
          <w:color w:val="000000"/>
          <w:sz w:val="20"/>
          <w:szCs w:val="20"/>
          <w:lang w:bidi="ar-SA"/>
        </w:rPr>
        <w:t>)</w:t>
      </w:r>
      <w:r w:rsidR="00FE14E4" w:rsidRPr="00E35F4D">
        <w:rPr>
          <w:color w:val="000000"/>
          <w:sz w:val="20"/>
          <w:szCs w:val="20"/>
          <w:lang w:bidi="ar-SA"/>
        </w:rPr>
        <w:t xml:space="preserve"> </w:t>
      </w:r>
      <w:r w:rsidR="00634351" w:rsidRPr="00E35F4D">
        <w:rPr>
          <w:color w:val="000000"/>
          <w:sz w:val="20"/>
          <w:szCs w:val="20"/>
          <w:lang w:bidi="ar-SA"/>
        </w:rPr>
        <w:t xml:space="preserve">(10% during </w:t>
      </w:r>
      <w:r w:rsidR="000A0593" w:rsidRPr="00E35F4D">
        <w:rPr>
          <w:color w:val="000000"/>
          <w:sz w:val="20"/>
          <w:szCs w:val="20"/>
          <w:lang w:bidi="ar-SA"/>
        </w:rPr>
        <w:t>induction CAPOX</w:t>
      </w:r>
      <w:r w:rsidR="00634351" w:rsidRPr="00E35F4D">
        <w:rPr>
          <w:color w:val="000000"/>
          <w:sz w:val="20"/>
          <w:szCs w:val="20"/>
          <w:lang w:bidi="ar-SA"/>
        </w:rPr>
        <w:t xml:space="preserve"> and 10% during CAPOX-RT) and</w:t>
      </w:r>
      <w:r w:rsidR="00FE14E4" w:rsidRPr="00E35F4D">
        <w:rPr>
          <w:color w:val="000000"/>
          <w:sz w:val="20"/>
          <w:szCs w:val="20"/>
          <w:lang w:bidi="ar-SA"/>
        </w:rPr>
        <w:t xml:space="preserve"> </w:t>
      </w:r>
      <w:r w:rsidR="00BB61C3" w:rsidRPr="00E35F4D">
        <w:rPr>
          <w:color w:val="000000"/>
          <w:sz w:val="20"/>
          <w:szCs w:val="20"/>
          <w:lang w:bidi="ar-SA"/>
        </w:rPr>
        <w:t>suggested</w:t>
      </w:r>
      <w:r w:rsidR="00634351" w:rsidRPr="00E35F4D">
        <w:rPr>
          <w:color w:val="000000"/>
          <w:sz w:val="20"/>
          <w:szCs w:val="20"/>
          <w:lang w:bidi="ar-SA"/>
        </w:rPr>
        <w:t xml:space="preserve"> that the </w:t>
      </w:r>
      <w:r w:rsidR="00634351" w:rsidRPr="00E35F4D">
        <w:rPr>
          <w:color w:val="000000"/>
          <w:sz w:val="20"/>
          <w:szCs w:val="20"/>
          <w:lang w:bidi="ar-SA"/>
        </w:rPr>
        <w:lastRenderedPageBreak/>
        <w:t xml:space="preserve">additional cycle of </w:t>
      </w:r>
      <w:r w:rsidR="000A0593" w:rsidRPr="00E35F4D">
        <w:rPr>
          <w:color w:val="000000"/>
          <w:sz w:val="20"/>
          <w:szCs w:val="20"/>
          <w:lang w:bidi="ar-SA"/>
        </w:rPr>
        <w:t>CAPOX</w:t>
      </w:r>
      <w:r w:rsidR="00634351" w:rsidRPr="00E35F4D">
        <w:rPr>
          <w:color w:val="000000"/>
          <w:sz w:val="20"/>
          <w:szCs w:val="20"/>
          <w:lang w:bidi="ar-SA"/>
        </w:rPr>
        <w:t xml:space="preserve"> increased the toxicity</w:t>
      </w:r>
      <w:r w:rsidR="00FE14E4" w:rsidRPr="00E35F4D">
        <w:rPr>
          <w:color w:val="000000"/>
          <w:sz w:val="20"/>
          <w:szCs w:val="20"/>
          <w:lang w:bidi="ar-SA"/>
        </w:rPr>
        <w:t xml:space="preserve"> </w:t>
      </w:r>
      <w:r w:rsidR="00634351" w:rsidRPr="00E35F4D">
        <w:rPr>
          <w:color w:val="000000"/>
          <w:sz w:val="20"/>
          <w:szCs w:val="20"/>
          <w:lang w:bidi="ar-SA"/>
        </w:rPr>
        <w:t>of preoperative CRT.</w:t>
      </w:r>
      <w:r w:rsidR="006A5EC0" w:rsidRPr="00E35F4D">
        <w:rPr>
          <w:color w:val="000000"/>
          <w:sz w:val="20"/>
          <w:szCs w:val="20"/>
          <w:lang w:bidi="ar-SA"/>
        </w:rPr>
        <w:t xml:space="preserve"> </w:t>
      </w:r>
      <w:proofErr w:type="spellStart"/>
      <w:r w:rsidR="00431647" w:rsidRPr="00E35F4D">
        <w:rPr>
          <w:color w:val="000000"/>
          <w:sz w:val="20"/>
          <w:szCs w:val="20"/>
          <w:lang w:bidi="ar-SA"/>
        </w:rPr>
        <w:t>Schou</w:t>
      </w:r>
      <w:proofErr w:type="spellEnd"/>
      <w:r w:rsidR="00431647" w:rsidRPr="00E35F4D">
        <w:rPr>
          <w:color w:val="000000"/>
          <w:sz w:val="20"/>
          <w:szCs w:val="20"/>
        </w:rPr>
        <w:t xml:space="preserve"> et al</w:t>
      </w:r>
      <w:r w:rsidR="000C4556" w:rsidRPr="00E35F4D">
        <w:rPr>
          <w:color w:val="000000"/>
          <w:sz w:val="20"/>
          <w:szCs w:val="20"/>
        </w:rPr>
        <w:t>.</w:t>
      </w:r>
      <w:r w:rsidR="00431647" w:rsidRPr="00E35F4D">
        <w:rPr>
          <w:color w:val="000000"/>
          <w:sz w:val="20"/>
          <w:szCs w:val="20"/>
          <w:lang w:bidi="ar-SA"/>
        </w:rPr>
        <w:t xml:space="preserve"> </w:t>
      </w:r>
      <w:r w:rsidR="00E15CEE" w:rsidRPr="00E35F4D">
        <w:rPr>
          <w:b/>
          <w:bCs/>
          <w:color w:val="000000"/>
          <w:sz w:val="20"/>
          <w:szCs w:val="20"/>
          <w:lang w:bidi="ar-SA"/>
        </w:rPr>
        <w:t>[</w:t>
      </w:r>
      <w:r w:rsidR="00313B36" w:rsidRPr="00E35F4D">
        <w:rPr>
          <w:b/>
          <w:bCs/>
          <w:color w:val="000000"/>
          <w:sz w:val="20"/>
          <w:szCs w:val="20"/>
          <w:lang w:bidi="ar-SA"/>
        </w:rPr>
        <w:t>19]</w:t>
      </w:r>
      <w:r w:rsidR="00E15CEE" w:rsidRPr="00E35F4D">
        <w:rPr>
          <w:color w:val="000000"/>
          <w:sz w:val="20"/>
          <w:szCs w:val="20"/>
          <w:lang w:bidi="ar-SA"/>
        </w:rPr>
        <w:t xml:space="preserve"> </w:t>
      </w:r>
      <w:r w:rsidR="00313B36" w:rsidRPr="00E35F4D">
        <w:rPr>
          <w:color w:val="000000"/>
          <w:sz w:val="20"/>
          <w:szCs w:val="20"/>
          <w:lang w:bidi="ar-SA"/>
        </w:rPr>
        <w:t>found that grade</w:t>
      </w:r>
      <w:r w:rsidR="00431647" w:rsidRPr="00E35F4D">
        <w:rPr>
          <w:color w:val="000000"/>
          <w:sz w:val="20"/>
          <w:szCs w:val="20"/>
          <w:lang w:bidi="ar-SA"/>
        </w:rPr>
        <w:t xml:space="preserve"> 3/4 toxicity was seen in 18%</w:t>
      </w:r>
      <w:r w:rsidR="00313B36" w:rsidRPr="00E35F4D">
        <w:rPr>
          <w:color w:val="000000"/>
          <w:sz w:val="20"/>
          <w:szCs w:val="20"/>
          <w:lang w:bidi="ar-SA"/>
        </w:rPr>
        <w:t xml:space="preserve"> of patients</w:t>
      </w:r>
      <w:r w:rsidR="00431647" w:rsidRPr="00E35F4D">
        <w:rPr>
          <w:color w:val="000000"/>
          <w:sz w:val="20"/>
          <w:szCs w:val="20"/>
          <w:lang w:bidi="ar-SA"/>
        </w:rPr>
        <w:t xml:space="preserve">, and </w:t>
      </w:r>
      <w:r w:rsidR="00583F3B" w:rsidRPr="00E35F4D">
        <w:rPr>
          <w:color w:val="000000"/>
          <w:sz w:val="20"/>
          <w:szCs w:val="20"/>
          <w:lang w:bidi="ar-SA"/>
        </w:rPr>
        <w:t>g</w:t>
      </w:r>
      <w:r w:rsidR="00C00654" w:rsidRPr="00E35F4D">
        <w:rPr>
          <w:color w:val="000000"/>
          <w:sz w:val="20"/>
          <w:szCs w:val="20"/>
          <w:lang w:bidi="ar-SA"/>
        </w:rPr>
        <w:t>rade</w:t>
      </w:r>
      <w:r w:rsidR="00652B96" w:rsidRPr="00E35F4D">
        <w:rPr>
          <w:color w:val="000000"/>
          <w:sz w:val="20"/>
          <w:szCs w:val="20"/>
          <w:lang w:bidi="ar-SA"/>
        </w:rPr>
        <w:t xml:space="preserve"> 3 or 4 diarrh</w:t>
      </w:r>
      <w:r w:rsidR="00FE14E4" w:rsidRPr="00E35F4D">
        <w:rPr>
          <w:color w:val="000000"/>
          <w:sz w:val="20"/>
          <w:szCs w:val="20"/>
          <w:lang w:bidi="ar-SA"/>
        </w:rPr>
        <w:t>ea</w:t>
      </w:r>
      <w:r w:rsidR="00583F3B" w:rsidRPr="00E35F4D">
        <w:rPr>
          <w:color w:val="000000"/>
          <w:sz w:val="20"/>
          <w:szCs w:val="20"/>
          <w:lang w:bidi="ar-SA"/>
        </w:rPr>
        <w:t xml:space="preserve"> was seen in 7% of patients during</w:t>
      </w:r>
      <w:r w:rsidR="00FE14E4" w:rsidRPr="00E35F4D">
        <w:rPr>
          <w:color w:val="000000"/>
          <w:sz w:val="20"/>
          <w:szCs w:val="20"/>
          <w:lang w:bidi="ar-SA"/>
        </w:rPr>
        <w:t xml:space="preserve"> induction CT and </w:t>
      </w:r>
      <w:r w:rsidR="00583F3B" w:rsidRPr="00E35F4D">
        <w:rPr>
          <w:color w:val="000000"/>
          <w:sz w:val="20"/>
          <w:szCs w:val="20"/>
          <w:lang w:bidi="ar-SA"/>
        </w:rPr>
        <w:t>in 5%</w:t>
      </w:r>
      <w:r w:rsidR="00FE14E4" w:rsidRPr="00E35F4D">
        <w:rPr>
          <w:color w:val="000000"/>
          <w:sz w:val="20"/>
          <w:szCs w:val="20"/>
          <w:lang w:bidi="ar-SA"/>
        </w:rPr>
        <w:t xml:space="preserve"> during </w:t>
      </w:r>
      <w:r w:rsidR="00313B36" w:rsidRPr="00E35F4D">
        <w:rPr>
          <w:color w:val="000000"/>
          <w:sz w:val="20"/>
          <w:szCs w:val="20"/>
          <w:lang w:bidi="ar-SA"/>
        </w:rPr>
        <w:t>CRT.</w:t>
      </w:r>
    </w:p>
    <w:p w:rsidR="00491C76" w:rsidRPr="00E35F4D" w:rsidRDefault="00447C41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 xml:space="preserve">In conclusion, </w:t>
      </w:r>
      <w:r w:rsidR="00D413AC" w:rsidRPr="00E35F4D">
        <w:rPr>
          <w:sz w:val="20"/>
          <w:szCs w:val="20"/>
          <w:lang w:bidi="ar-SA"/>
        </w:rPr>
        <w:t>our results</w:t>
      </w:r>
      <w:r w:rsidRPr="00E35F4D">
        <w:rPr>
          <w:sz w:val="20"/>
          <w:szCs w:val="20"/>
          <w:lang w:bidi="ar-SA"/>
        </w:rPr>
        <w:t xml:space="preserve"> demonstrated that </w:t>
      </w:r>
      <w:r w:rsidR="000C4556" w:rsidRPr="00E35F4D">
        <w:rPr>
          <w:sz w:val="20"/>
          <w:szCs w:val="20"/>
          <w:lang w:bidi="ar-SA"/>
        </w:rPr>
        <w:t>induction</w:t>
      </w:r>
      <w:r w:rsidRPr="00E35F4D">
        <w:rPr>
          <w:sz w:val="20"/>
          <w:szCs w:val="20"/>
          <w:lang w:bidi="ar-SA"/>
        </w:rPr>
        <w:t xml:space="preserve"> </w:t>
      </w:r>
      <w:r w:rsidR="00F61139" w:rsidRPr="00E35F4D">
        <w:rPr>
          <w:sz w:val="20"/>
          <w:szCs w:val="20"/>
          <w:lang w:bidi="ar-SA"/>
        </w:rPr>
        <w:t>CAPOX</w:t>
      </w:r>
      <w:r w:rsidR="00D413AC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followed by </w:t>
      </w:r>
      <w:r w:rsidR="000C4556" w:rsidRPr="00E35F4D">
        <w:rPr>
          <w:sz w:val="20"/>
          <w:szCs w:val="20"/>
          <w:lang w:bidi="ar-SA"/>
        </w:rPr>
        <w:t xml:space="preserve">concomitant </w:t>
      </w:r>
      <w:proofErr w:type="spellStart"/>
      <w:r w:rsidR="00F61139" w:rsidRPr="00E35F4D">
        <w:rPr>
          <w:sz w:val="20"/>
          <w:szCs w:val="20"/>
          <w:lang w:bidi="ar-SA"/>
        </w:rPr>
        <w:t>capecitabine</w:t>
      </w:r>
      <w:proofErr w:type="spellEnd"/>
      <w:r w:rsidRPr="00E35F4D">
        <w:rPr>
          <w:sz w:val="20"/>
          <w:szCs w:val="20"/>
          <w:lang w:bidi="ar-SA"/>
        </w:rPr>
        <w:t xml:space="preserve">-RT is feasible with </w:t>
      </w:r>
      <w:r w:rsidR="00D413AC" w:rsidRPr="00E35F4D">
        <w:rPr>
          <w:sz w:val="20"/>
          <w:szCs w:val="20"/>
          <w:lang w:bidi="ar-SA"/>
        </w:rPr>
        <w:t>tolerable</w:t>
      </w:r>
      <w:r w:rsidRPr="00E35F4D">
        <w:rPr>
          <w:sz w:val="20"/>
          <w:szCs w:val="20"/>
          <w:lang w:bidi="ar-SA"/>
        </w:rPr>
        <w:t xml:space="preserve"> toxicity</w:t>
      </w:r>
      <w:r w:rsidR="00C66A4B" w:rsidRPr="00E35F4D">
        <w:rPr>
          <w:sz w:val="20"/>
          <w:szCs w:val="20"/>
          <w:lang w:bidi="ar-SA"/>
        </w:rPr>
        <w:t>.</w:t>
      </w:r>
      <w:r w:rsidR="006A2E52" w:rsidRPr="00E35F4D">
        <w:rPr>
          <w:sz w:val="20"/>
          <w:szCs w:val="20"/>
          <w:lang w:bidi="ar-SA"/>
        </w:rPr>
        <w:t xml:space="preserve"> </w:t>
      </w:r>
      <w:r w:rsidR="00C66A4B" w:rsidRPr="00E35F4D">
        <w:rPr>
          <w:sz w:val="20"/>
          <w:szCs w:val="20"/>
          <w:lang w:bidi="ar-SA"/>
        </w:rPr>
        <w:t>Greater</w:t>
      </w:r>
      <w:r w:rsidR="006A2E52" w:rsidRPr="00E35F4D">
        <w:rPr>
          <w:sz w:val="20"/>
          <w:szCs w:val="20"/>
          <w:lang w:bidi="ar-SA"/>
        </w:rPr>
        <w:t xml:space="preserve"> exposure to systemic treatment</w:t>
      </w:r>
      <w:r w:rsidRPr="00E35F4D">
        <w:rPr>
          <w:sz w:val="20"/>
          <w:szCs w:val="20"/>
          <w:lang w:bidi="ar-SA"/>
        </w:rPr>
        <w:t xml:space="preserve"> results in high rates of R0 resection, sphincter</w:t>
      </w:r>
      <w:r w:rsidR="00D413AC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preservation and tumor </w:t>
      </w:r>
      <w:proofErr w:type="spellStart"/>
      <w:r w:rsidR="00C66A4B" w:rsidRPr="00E35F4D">
        <w:rPr>
          <w:sz w:val="20"/>
          <w:szCs w:val="20"/>
          <w:lang w:bidi="ar-SA"/>
        </w:rPr>
        <w:t>downstaging</w:t>
      </w:r>
      <w:proofErr w:type="spellEnd"/>
      <w:r w:rsidR="00C66A4B" w:rsidRPr="00E35F4D">
        <w:rPr>
          <w:sz w:val="20"/>
          <w:szCs w:val="20"/>
          <w:lang w:bidi="ar-SA"/>
        </w:rPr>
        <w:t xml:space="preserve"> with encouragingly </w:t>
      </w:r>
      <w:proofErr w:type="spellStart"/>
      <w:r w:rsidR="00C66A4B" w:rsidRPr="00E35F4D">
        <w:rPr>
          <w:sz w:val="20"/>
          <w:szCs w:val="20"/>
          <w:lang w:bidi="ar-SA"/>
        </w:rPr>
        <w:t>pCR</w:t>
      </w:r>
      <w:proofErr w:type="spellEnd"/>
      <w:r w:rsidR="00C66A4B" w:rsidRPr="00E35F4D">
        <w:rPr>
          <w:sz w:val="20"/>
          <w:szCs w:val="20"/>
          <w:lang w:bidi="ar-SA"/>
        </w:rPr>
        <w:t xml:space="preserve"> rate </w:t>
      </w:r>
      <w:r w:rsidRPr="00E35F4D">
        <w:rPr>
          <w:sz w:val="20"/>
          <w:szCs w:val="20"/>
          <w:lang w:bidi="ar-SA"/>
        </w:rPr>
        <w:t>in patients with locally</w:t>
      </w:r>
      <w:r w:rsidR="00D413AC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advanced rectal </w:t>
      </w:r>
      <w:r w:rsidRPr="00E35F4D">
        <w:rPr>
          <w:color w:val="000000"/>
          <w:sz w:val="20"/>
          <w:szCs w:val="20"/>
          <w:lang w:bidi="ar-SA"/>
        </w:rPr>
        <w:t>cancer.</w:t>
      </w:r>
      <w:r w:rsidR="00491C76" w:rsidRPr="00E35F4D">
        <w:rPr>
          <w:color w:val="000000"/>
          <w:sz w:val="20"/>
          <w:szCs w:val="20"/>
          <w:lang w:bidi="ar-SA"/>
        </w:rPr>
        <w:t xml:space="preserve"> </w:t>
      </w:r>
      <w:r w:rsidR="00BB61C3" w:rsidRPr="00E35F4D">
        <w:rPr>
          <w:color w:val="000000"/>
          <w:sz w:val="20"/>
          <w:szCs w:val="20"/>
          <w:lang w:bidi="ar-SA"/>
        </w:rPr>
        <w:t>Further</w:t>
      </w:r>
      <w:r w:rsidR="00491C76" w:rsidRPr="00E35F4D">
        <w:rPr>
          <w:color w:val="000000"/>
          <w:sz w:val="20"/>
          <w:szCs w:val="20"/>
          <w:lang w:bidi="ar-SA"/>
        </w:rPr>
        <w:t xml:space="preserve"> studies of this approach to examine more optimal regimens are</w:t>
      </w:r>
      <w:r w:rsidR="00491C76" w:rsidRPr="00E35F4D">
        <w:rPr>
          <w:sz w:val="20"/>
          <w:szCs w:val="20"/>
          <w:lang w:bidi="ar-SA"/>
        </w:rPr>
        <w:t xml:space="preserve"> warranted.</w:t>
      </w:r>
    </w:p>
    <w:p w:rsidR="006D4118" w:rsidRPr="00E35F4D" w:rsidRDefault="006D4118" w:rsidP="002B2928">
      <w:pPr>
        <w:autoSpaceDE w:val="0"/>
        <w:autoSpaceDN w:val="0"/>
        <w:adjustRightInd w:val="0"/>
        <w:snapToGrid w:val="0"/>
        <w:ind w:firstLine="425"/>
        <w:jc w:val="both"/>
        <w:rPr>
          <w:rFonts w:eastAsia="Times New Roman Bold+FPEF"/>
          <w:b/>
          <w:bCs/>
          <w:color w:val="000000"/>
          <w:sz w:val="20"/>
          <w:szCs w:val="20"/>
          <w:lang w:bidi="ar-SA"/>
        </w:rPr>
      </w:pPr>
    </w:p>
    <w:p w:rsidR="00D6537E" w:rsidRPr="00E35F4D" w:rsidRDefault="00D6537E" w:rsidP="002B2928">
      <w:pPr>
        <w:autoSpaceDE w:val="0"/>
        <w:autoSpaceDN w:val="0"/>
        <w:adjustRightInd w:val="0"/>
        <w:snapToGrid w:val="0"/>
        <w:jc w:val="both"/>
        <w:rPr>
          <w:rFonts w:eastAsia="Times New Roman+FPEF"/>
          <w:color w:val="000000"/>
          <w:sz w:val="20"/>
          <w:szCs w:val="20"/>
          <w:lang w:bidi="ar-SA"/>
        </w:rPr>
      </w:pPr>
      <w:r w:rsidRPr="00E35F4D">
        <w:rPr>
          <w:rFonts w:eastAsia="Times New Roman Bold+FPEF"/>
          <w:b/>
          <w:bCs/>
          <w:color w:val="000000"/>
          <w:sz w:val="20"/>
          <w:szCs w:val="20"/>
          <w:lang w:bidi="ar-SA"/>
        </w:rPr>
        <w:t xml:space="preserve">5. Conflict of Interest: </w:t>
      </w:r>
      <w:r w:rsidRPr="00E35F4D">
        <w:rPr>
          <w:rFonts w:eastAsia="Times New Roman+FPEF"/>
          <w:color w:val="000000"/>
          <w:sz w:val="20"/>
          <w:szCs w:val="20"/>
          <w:lang w:bidi="ar-SA"/>
        </w:rPr>
        <w:t>None</w:t>
      </w:r>
    </w:p>
    <w:p w:rsidR="00D6537E" w:rsidRPr="00E35F4D" w:rsidRDefault="00D6537E" w:rsidP="002B2928">
      <w:pPr>
        <w:autoSpaceDE w:val="0"/>
        <w:autoSpaceDN w:val="0"/>
        <w:adjustRightInd w:val="0"/>
        <w:snapToGrid w:val="0"/>
        <w:ind w:firstLine="425"/>
        <w:jc w:val="both"/>
        <w:rPr>
          <w:rFonts w:eastAsia="Times New Roman Bold+FPEF"/>
          <w:b/>
          <w:bCs/>
          <w:color w:val="000000"/>
          <w:sz w:val="20"/>
          <w:szCs w:val="20"/>
          <w:lang w:bidi="ar-SA"/>
        </w:rPr>
      </w:pPr>
    </w:p>
    <w:p w:rsidR="00D6537E" w:rsidRPr="00E35F4D" w:rsidRDefault="00D6537E" w:rsidP="002B2928">
      <w:pPr>
        <w:autoSpaceDE w:val="0"/>
        <w:autoSpaceDN w:val="0"/>
        <w:adjustRightInd w:val="0"/>
        <w:snapToGrid w:val="0"/>
        <w:jc w:val="both"/>
        <w:rPr>
          <w:rFonts w:eastAsia="Times New Roman Bold+FPEF"/>
          <w:b/>
          <w:bCs/>
          <w:color w:val="000000"/>
          <w:sz w:val="20"/>
          <w:szCs w:val="20"/>
          <w:lang w:bidi="ar-SA"/>
        </w:rPr>
      </w:pPr>
      <w:r w:rsidRPr="00E35F4D">
        <w:rPr>
          <w:rFonts w:eastAsia="Times New Roman Bold+FPEF"/>
          <w:b/>
          <w:bCs/>
          <w:color w:val="000000"/>
          <w:sz w:val="20"/>
          <w:szCs w:val="20"/>
          <w:lang w:bidi="ar-SA"/>
        </w:rPr>
        <w:t>Corresponding author</w:t>
      </w:r>
    </w:p>
    <w:p w:rsidR="00D6537E" w:rsidRPr="00E35F4D" w:rsidRDefault="00D6537E" w:rsidP="002B2928">
      <w:pPr>
        <w:autoSpaceDE w:val="0"/>
        <w:autoSpaceDN w:val="0"/>
        <w:adjustRightInd w:val="0"/>
        <w:snapToGrid w:val="0"/>
        <w:jc w:val="both"/>
        <w:rPr>
          <w:rFonts w:eastAsia="Times New Roman+FPEF"/>
          <w:color w:val="000000"/>
          <w:sz w:val="20"/>
          <w:szCs w:val="20"/>
          <w:lang w:bidi="ar-SA"/>
        </w:rPr>
      </w:pPr>
      <w:proofErr w:type="spellStart"/>
      <w:r w:rsidRPr="00E35F4D">
        <w:rPr>
          <w:rFonts w:eastAsia="Times New Roman+FPEF"/>
          <w:color w:val="000000"/>
          <w:sz w:val="20"/>
          <w:szCs w:val="20"/>
          <w:lang w:bidi="ar-SA"/>
        </w:rPr>
        <w:t>Alaa</w:t>
      </w:r>
      <w:proofErr w:type="spellEnd"/>
      <w:r w:rsidRPr="00E35F4D">
        <w:rPr>
          <w:rFonts w:eastAsia="Times New Roman+FPEF"/>
          <w:color w:val="000000"/>
          <w:sz w:val="20"/>
          <w:szCs w:val="20"/>
          <w:lang w:bidi="ar-SA"/>
        </w:rPr>
        <w:t xml:space="preserve"> Mohamed Maria</w:t>
      </w:r>
    </w:p>
    <w:p w:rsidR="009D001E" w:rsidRPr="00E35F4D" w:rsidRDefault="00D6537E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E35F4D">
        <w:rPr>
          <w:rFonts w:eastAsia="Times New Roman+FPEF"/>
          <w:color w:val="000000"/>
          <w:sz w:val="20"/>
          <w:szCs w:val="20"/>
          <w:lang w:bidi="ar-SA"/>
        </w:rPr>
        <w:t xml:space="preserve">Clinical Oncology Department, Faculty of Medicine, Tanta University, Al </w:t>
      </w:r>
      <w:proofErr w:type="spellStart"/>
      <w:r w:rsidRPr="00E35F4D">
        <w:rPr>
          <w:rFonts w:eastAsia="Times New Roman+FPEF"/>
          <w:color w:val="000000"/>
          <w:sz w:val="20"/>
          <w:szCs w:val="20"/>
          <w:lang w:bidi="ar-SA"/>
        </w:rPr>
        <w:t>Gaish</w:t>
      </w:r>
      <w:proofErr w:type="spellEnd"/>
      <w:r w:rsidRPr="00E35F4D">
        <w:rPr>
          <w:rFonts w:eastAsia="Times New Roman+FPEF"/>
          <w:color w:val="000000"/>
          <w:sz w:val="20"/>
          <w:szCs w:val="20"/>
          <w:lang w:bidi="ar-SA"/>
        </w:rPr>
        <w:t xml:space="preserve"> St., Tanta, </w:t>
      </w:r>
      <w:proofErr w:type="spellStart"/>
      <w:r w:rsidRPr="00E35F4D">
        <w:rPr>
          <w:rFonts w:eastAsia="Times New Roman+FPEF"/>
          <w:color w:val="000000"/>
          <w:sz w:val="20"/>
          <w:szCs w:val="20"/>
          <w:lang w:bidi="ar-SA"/>
        </w:rPr>
        <w:t>Gharbia</w:t>
      </w:r>
      <w:proofErr w:type="spellEnd"/>
      <w:r w:rsidRPr="00E35F4D">
        <w:rPr>
          <w:rFonts w:eastAsia="Times New Roman+FPEF"/>
          <w:color w:val="000000"/>
          <w:sz w:val="20"/>
          <w:szCs w:val="20"/>
          <w:lang w:bidi="ar-SA"/>
        </w:rPr>
        <w:t xml:space="preserve"> 11312,</w:t>
      </w:r>
      <w:r w:rsidR="00F81591" w:rsidRPr="00E35F4D">
        <w:rPr>
          <w:rFonts w:eastAsia="Times New Roman+FPEF"/>
          <w:color w:val="000000"/>
          <w:sz w:val="20"/>
          <w:szCs w:val="20"/>
          <w:lang w:bidi="ar-SA"/>
        </w:rPr>
        <w:t xml:space="preserve"> </w:t>
      </w:r>
      <w:r w:rsidRPr="00E35F4D">
        <w:rPr>
          <w:rFonts w:eastAsia="Times New Roman+FPEF"/>
          <w:color w:val="000000"/>
          <w:sz w:val="20"/>
          <w:szCs w:val="20"/>
          <w:lang w:bidi="ar-SA"/>
        </w:rPr>
        <w:t xml:space="preserve">Egypt. </w:t>
      </w:r>
      <w:r w:rsidRPr="00E35F4D">
        <w:rPr>
          <w:rFonts w:eastAsia="Times New Roman+FPEF"/>
          <w:color w:val="0000FF"/>
          <w:sz w:val="20"/>
          <w:szCs w:val="20"/>
          <w:lang w:bidi="ar-SA"/>
        </w:rPr>
        <w:t>alaamaria1@hotmail.com</w:t>
      </w:r>
    </w:p>
    <w:p w:rsidR="00D6537E" w:rsidRPr="00E35F4D" w:rsidRDefault="00D6537E" w:rsidP="002B2928">
      <w:pPr>
        <w:snapToGrid w:val="0"/>
        <w:ind w:firstLine="425"/>
        <w:jc w:val="both"/>
        <w:rPr>
          <w:b/>
          <w:bCs/>
          <w:sz w:val="20"/>
          <w:szCs w:val="20"/>
        </w:rPr>
      </w:pPr>
    </w:p>
    <w:p w:rsidR="002B2928" w:rsidRPr="00E35F4D" w:rsidRDefault="00BD3FF3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>References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B</w:t>
      </w:r>
      <w:r w:rsidR="008B54A8" w:rsidRPr="00E35F4D">
        <w:rPr>
          <w:sz w:val="20"/>
          <w:szCs w:val="20"/>
          <w:lang w:bidi="ar-SA"/>
        </w:rPr>
        <w:t>rown</w:t>
      </w:r>
      <w:r w:rsidR="005352D5" w:rsidRPr="00E35F4D">
        <w:rPr>
          <w:sz w:val="20"/>
          <w:szCs w:val="20"/>
          <w:lang w:bidi="ar-SA"/>
        </w:rPr>
        <w:t xml:space="preserve"> G</w:t>
      </w:r>
      <w:r w:rsidR="00A40C88" w:rsidRPr="00E35F4D">
        <w:rPr>
          <w:sz w:val="20"/>
          <w:szCs w:val="20"/>
          <w:lang w:bidi="ar-SA"/>
        </w:rPr>
        <w:t>:</w:t>
      </w:r>
      <w:r w:rsidR="008B54A8" w:rsidRPr="00E35F4D">
        <w:rPr>
          <w:sz w:val="20"/>
          <w:szCs w:val="20"/>
          <w:lang w:bidi="ar-SA"/>
        </w:rPr>
        <w:t xml:space="preserve"> Diagnostic accuracy of preoperative magnetic</w:t>
      </w:r>
      <w:r w:rsidR="005352D5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resonance imaging in predicting curative resection of rectal</w:t>
      </w:r>
      <w:r w:rsidR="005352D5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cancer: prospective observational study</w:t>
      </w:r>
      <w:r w:rsidR="002160E9" w:rsidRPr="00E35F4D">
        <w:rPr>
          <w:sz w:val="20"/>
          <w:szCs w:val="20"/>
          <w:lang w:bidi="ar-SA"/>
        </w:rPr>
        <w:t xml:space="preserve">. </w:t>
      </w:r>
      <w:r w:rsidR="008B54A8" w:rsidRPr="00E35F4D">
        <w:rPr>
          <w:sz w:val="20"/>
          <w:szCs w:val="20"/>
          <w:lang w:bidi="ar-SA"/>
        </w:rPr>
        <w:t>BMJ</w:t>
      </w:r>
      <w:r w:rsidR="00935A1F" w:rsidRPr="00E35F4D">
        <w:rPr>
          <w:sz w:val="20"/>
          <w:szCs w:val="20"/>
          <w:lang w:bidi="ar-SA"/>
        </w:rPr>
        <w:t>,</w:t>
      </w:r>
      <w:r w:rsidR="00BC6D02" w:rsidRPr="00E35F4D">
        <w:rPr>
          <w:sz w:val="20"/>
          <w:szCs w:val="20"/>
          <w:lang w:bidi="ar-SA"/>
        </w:rPr>
        <w:t xml:space="preserve"> </w:t>
      </w:r>
      <w:r w:rsidR="005352D5" w:rsidRPr="00E35F4D">
        <w:rPr>
          <w:sz w:val="20"/>
          <w:szCs w:val="20"/>
          <w:lang w:bidi="ar-SA"/>
        </w:rPr>
        <w:t>2006</w:t>
      </w:r>
      <w:r w:rsidR="00E465C7" w:rsidRPr="00E35F4D">
        <w:rPr>
          <w:sz w:val="20"/>
          <w:szCs w:val="20"/>
          <w:lang w:bidi="ar-SA"/>
        </w:rPr>
        <w:t xml:space="preserve">; </w:t>
      </w:r>
      <w:r w:rsidR="008B54A8" w:rsidRPr="00E35F4D">
        <w:rPr>
          <w:sz w:val="20"/>
          <w:szCs w:val="20"/>
          <w:lang w:bidi="ar-SA"/>
        </w:rPr>
        <w:t>333</w:t>
      </w:r>
      <w:r w:rsidR="00BC6D02" w:rsidRPr="00E35F4D">
        <w:rPr>
          <w:sz w:val="20"/>
          <w:szCs w:val="20"/>
          <w:lang w:bidi="ar-SA"/>
        </w:rPr>
        <w:t>(</w:t>
      </w:r>
      <w:r w:rsidR="008B54A8" w:rsidRPr="00E35F4D">
        <w:rPr>
          <w:sz w:val="20"/>
          <w:szCs w:val="20"/>
          <w:lang w:bidi="ar-SA"/>
        </w:rPr>
        <w:t>7572</w:t>
      </w:r>
      <w:r w:rsidR="00E465C7" w:rsidRPr="00E35F4D">
        <w:rPr>
          <w:sz w:val="20"/>
          <w:szCs w:val="20"/>
          <w:lang w:bidi="ar-SA"/>
        </w:rPr>
        <w:t>):</w:t>
      </w:r>
      <w:r w:rsidR="008B54A8" w:rsidRPr="00E35F4D">
        <w:rPr>
          <w:sz w:val="20"/>
          <w:szCs w:val="20"/>
          <w:lang w:bidi="ar-SA"/>
        </w:rPr>
        <w:t xml:space="preserve"> 779–82</w:t>
      </w:r>
      <w:r w:rsidR="00E465C7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R</w:t>
      </w:r>
      <w:r w:rsidR="00935A1F" w:rsidRPr="00E35F4D">
        <w:rPr>
          <w:color w:val="000000"/>
          <w:sz w:val="20"/>
          <w:szCs w:val="20"/>
        </w:rPr>
        <w:t>ödel</w:t>
      </w:r>
      <w:proofErr w:type="spellEnd"/>
      <w:r w:rsidR="00935A1F" w:rsidRPr="00E35F4D">
        <w:rPr>
          <w:color w:val="000000"/>
          <w:sz w:val="20"/>
          <w:szCs w:val="20"/>
        </w:rPr>
        <w:t xml:space="preserve"> C,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r w:rsidR="00935A1F" w:rsidRPr="00E35F4D">
        <w:rPr>
          <w:color w:val="000000"/>
          <w:sz w:val="20"/>
          <w:szCs w:val="20"/>
        </w:rPr>
        <w:t>Arnold D,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r w:rsidR="00935A1F" w:rsidRPr="00E35F4D">
        <w:rPr>
          <w:color w:val="000000"/>
          <w:sz w:val="20"/>
          <w:szCs w:val="20"/>
        </w:rPr>
        <w:t>Becker H,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935A1F" w:rsidRPr="00E35F4D">
        <w:rPr>
          <w:color w:val="000000"/>
          <w:sz w:val="20"/>
          <w:szCs w:val="20"/>
        </w:rPr>
        <w:t>Fietkau</w:t>
      </w:r>
      <w:proofErr w:type="spellEnd"/>
      <w:r w:rsidR="00935A1F" w:rsidRPr="00E35F4D">
        <w:rPr>
          <w:color w:val="000000"/>
          <w:sz w:val="20"/>
          <w:szCs w:val="20"/>
        </w:rPr>
        <w:t xml:space="preserve"> R,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935A1F" w:rsidRPr="00E35F4D">
        <w:rPr>
          <w:color w:val="000000"/>
          <w:sz w:val="20"/>
          <w:szCs w:val="20"/>
        </w:rPr>
        <w:t>Ghadimi</w:t>
      </w:r>
      <w:proofErr w:type="spellEnd"/>
      <w:r w:rsidR="00935A1F" w:rsidRPr="00E35F4D">
        <w:rPr>
          <w:color w:val="000000"/>
          <w:sz w:val="20"/>
          <w:szCs w:val="20"/>
        </w:rPr>
        <w:t xml:space="preserve"> M,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="00935A1F" w:rsidRPr="00E35F4D">
        <w:rPr>
          <w:color w:val="000000"/>
          <w:sz w:val="20"/>
          <w:szCs w:val="20"/>
        </w:rPr>
        <w:t>Graeven</w:t>
      </w:r>
      <w:proofErr w:type="spellEnd"/>
      <w:proofErr w:type="gramEnd"/>
      <w:r w:rsidR="00935A1F" w:rsidRPr="00E35F4D">
        <w:rPr>
          <w:color w:val="000000"/>
          <w:sz w:val="20"/>
          <w:szCs w:val="20"/>
        </w:rPr>
        <w:t xml:space="preserve"> U,</w:t>
      </w:r>
      <w:r w:rsidR="00935A1F" w:rsidRPr="00E35F4D">
        <w:rPr>
          <w:rStyle w:val="apple-converted-space"/>
          <w:color w:val="000000"/>
          <w:sz w:val="20"/>
          <w:szCs w:val="20"/>
        </w:rPr>
        <w:t xml:space="preserve"> et al.: </w:t>
      </w:r>
      <w:r w:rsidR="008B54A8" w:rsidRPr="00E35F4D">
        <w:rPr>
          <w:sz w:val="20"/>
          <w:szCs w:val="20"/>
          <w:lang w:bidi="ar-SA"/>
        </w:rPr>
        <w:t>Induction chemotherapy</w:t>
      </w:r>
      <w:r w:rsidR="00BC6D02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 xml:space="preserve">before </w:t>
      </w:r>
      <w:proofErr w:type="spellStart"/>
      <w:r w:rsidR="008B54A8" w:rsidRPr="00E35F4D">
        <w:rPr>
          <w:sz w:val="20"/>
          <w:szCs w:val="20"/>
          <w:lang w:bidi="ar-SA"/>
        </w:rPr>
        <w:t>chemoradiotherapy</w:t>
      </w:r>
      <w:proofErr w:type="spellEnd"/>
      <w:r w:rsidR="008B54A8" w:rsidRPr="00E35F4D">
        <w:rPr>
          <w:sz w:val="20"/>
          <w:szCs w:val="20"/>
          <w:lang w:bidi="ar-SA"/>
        </w:rPr>
        <w:t xml:space="preserve"> and surgery for locally</w:t>
      </w:r>
      <w:r w:rsidR="00BC6D02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advanced rectal cancer</w:t>
      </w:r>
      <w:r w:rsidR="00935A1F" w:rsidRPr="00E35F4D">
        <w:rPr>
          <w:sz w:val="20"/>
          <w:szCs w:val="20"/>
          <w:lang w:bidi="ar-SA"/>
        </w:rPr>
        <w:t>:</w:t>
      </w:r>
      <w:r w:rsidR="008B54A8" w:rsidRPr="00E35F4D">
        <w:rPr>
          <w:sz w:val="20"/>
          <w:szCs w:val="20"/>
          <w:lang w:bidi="ar-SA"/>
        </w:rPr>
        <w:t xml:space="preserve"> </w:t>
      </w:r>
      <w:r w:rsidR="00935A1F" w:rsidRPr="00E35F4D">
        <w:rPr>
          <w:sz w:val="20"/>
          <w:szCs w:val="20"/>
          <w:lang w:bidi="ar-SA"/>
        </w:rPr>
        <w:t>I</w:t>
      </w:r>
      <w:r w:rsidR="008B54A8" w:rsidRPr="00E35F4D">
        <w:rPr>
          <w:sz w:val="20"/>
          <w:szCs w:val="20"/>
          <w:lang w:bidi="ar-SA"/>
        </w:rPr>
        <w:t>s it time for a randomized phase</w:t>
      </w:r>
      <w:r w:rsidR="00BC6D02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 xml:space="preserve">III trial? </w:t>
      </w:r>
      <w:proofErr w:type="spellStart"/>
      <w:r w:rsidR="008B54A8" w:rsidRPr="00E35F4D">
        <w:rPr>
          <w:sz w:val="20"/>
          <w:szCs w:val="20"/>
          <w:lang w:bidi="ar-SA"/>
        </w:rPr>
        <w:t>Strahlenther</w:t>
      </w:r>
      <w:proofErr w:type="spellEnd"/>
      <w:r w:rsidR="008B54A8" w:rsidRPr="00E35F4D">
        <w:rPr>
          <w:sz w:val="20"/>
          <w:szCs w:val="20"/>
          <w:lang w:bidi="ar-SA"/>
        </w:rPr>
        <w:t xml:space="preserve"> </w:t>
      </w:r>
      <w:proofErr w:type="spellStart"/>
      <w:r w:rsidR="008B54A8" w:rsidRPr="00E35F4D">
        <w:rPr>
          <w:sz w:val="20"/>
          <w:szCs w:val="20"/>
          <w:lang w:bidi="ar-SA"/>
        </w:rPr>
        <w:t>Onkol</w:t>
      </w:r>
      <w:proofErr w:type="spellEnd"/>
      <w:r w:rsidR="008B54A8" w:rsidRPr="00E35F4D">
        <w:rPr>
          <w:sz w:val="20"/>
          <w:szCs w:val="20"/>
          <w:lang w:bidi="ar-SA"/>
        </w:rPr>
        <w:t>,</w:t>
      </w:r>
      <w:r w:rsidR="00BC6D02" w:rsidRPr="00E35F4D">
        <w:rPr>
          <w:sz w:val="20"/>
          <w:szCs w:val="20"/>
          <w:lang w:bidi="ar-SA"/>
        </w:rPr>
        <w:t xml:space="preserve"> 2010</w:t>
      </w:r>
      <w:r w:rsidR="00935A1F" w:rsidRPr="00E35F4D">
        <w:rPr>
          <w:sz w:val="20"/>
          <w:szCs w:val="20"/>
          <w:lang w:bidi="ar-SA"/>
        </w:rPr>
        <w:t>;</w:t>
      </w:r>
      <w:r w:rsidR="008B54A8" w:rsidRPr="00E35F4D">
        <w:rPr>
          <w:sz w:val="20"/>
          <w:szCs w:val="20"/>
          <w:lang w:bidi="ar-SA"/>
        </w:rPr>
        <w:t xml:space="preserve"> </w:t>
      </w:r>
      <w:r w:rsidR="00935A1F" w:rsidRPr="00E35F4D">
        <w:rPr>
          <w:sz w:val="20"/>
          <w:szCs w:val="20"/>
          <w:lang w:bidi="ar-SA"/>
        </w:rPr>
        <w:t>186(12): 658-64</w:t>
      </w:r>
      <w:r w:rsidR="008B54A8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S</w:t>
      </w:r>
      <w:r w:rsidR="008370A1" w:rsidRPr="00E35F4D">
        <w:rPr>
          <w:sz w:val="20"/>
          <w:szCs w:val="20"/>
          <w:lang w:bidi="ar-SA"/>
        </w:rPr>
        <w:t>auer</w:t>
      </w:r>
      <w:r w:rsidR="00C02C1F" w:rsidRPr="00E35F4D">
        <w:rPr>
          <w:sz w:val="20"/>
          <w:szCs w:val="20"/>
          <w:lang w:bidi="ar-SA"/>
        </w:rPr>
        <w:t xml:space="preserve"> </w:t>
      </w:r>
      <w:r w:rsidR="008370A1" w:rsidRPr="00E35F4D">
        <w:rPr>
          <w:sz w:val="20"/>
          <w:szCs w:val="20"/>
          <w:lang w:bidi="ar-SA"/>
        </w:rPr>
        <w:t xml:space="preserve">R, Becker H, </w:t>
      </w:r>
      <w:proofErr w:type="spellStart"/>
      <w:r w:rsidR="008370A1" w:rsidRPr="00E35F4D">
        <w:rPr>
          <w:sz w:val="20"/>
          <w:szCs w:val="20"/>
          <w:lang w:bidi="ar-SA"/>
        </w:rPr>
        <w:t>Hohenberger</w:t>
      </w:r>
      <w:proofErr w:type="spellEnd"/>
      <w:r w:rsidR="008370A1" w:rsidRPr="00E35F4D">
        <w:rPr>
          <w:sz w:val="20"/>
          <w:szCs w:val="20"/>
          <w:lang w:bidi="ar-SA"/>
        </w:rPr>
        <w:t xml:space="preserve"> W</w:t>
      </w:r>
      <w:r w:rsidR="00451314" w:rsidRPr="00E35F4D">
        <w:rPr>
          <w:sz w:val="20"/>
          <w:szCs w:val="20"/>
          <w:lang w:bidi="ar-SA"/>
        </w:rPr>
        <w:t>,</w:t>
      </w:r>
      <w:r w:rsidR="008370A1" w:rsidRPr="00E35F4D">
        <w:rPr>
          <w:sz w:val="20"/>
          <w:szCs w:val="20"/>
          <w:lang w:bidi="ar-SA"/>
        </w:rPr>
        <w:t xml:space="preserve"> </w:t>
      </w:r>
      <w:proofErr w:type="spellStart"/>
      <w:r w:rsidR="00451314" w:rsidRPr="00E35F4D">
        <w:rPr>
          <w:color w:val="000000"/>
          <w:sz w:val="20"/>
          <w:szCs w:val="20"/>
        </w:rPr>
        <w:t>Rödel</w:t>
      </w:r>
      <w:proofErr w:type="spellEnd"/>
      <w:r w:rsidR="00451314" w:rsidRPr="00E35F4D">
        <w:rPr>
          <w:color w:val="000000"/>
          <w:sz w:val="20"/>
          <w:szCs w:val="20"/>
        </w:rPr>
        <w:t xml:space="preserve"> C,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451314" w:rsidRPr="00E35F4D">
        <w:rPr>
          <w:color w:val="000000"/>
          <w:sz w:val="20"/>
          <w:szCs w:val="20"/>
        </w:rPr>
        <w:t>Wittekind</w:t>
      </w:r>
      <w:proofErr w:type="spellEnd"/>
      <w:r w:rsidR="00451314" w:rsidRPr="00E35F4D">
        <w:rPr>
          <w:color w:val="000000"/>
          <w:sz w:val="20"/>
          <w:szCs w:val="20"/>
        </w:rPr>
        <w:t xml:space="preserve"> C,</w:t>
      </w:r>
      <w:r w:rsidR="00451314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451314" w:rsidRPr="00E35F4D">
        <w:rPr>
          <w:color w:val="000000"/>
          <w:sz w:val="20"/>
          <w:szCs w:val="20"/>
        </w:rPr>
        <w:t>Fietkau</w:t>
      </w:r>
      <w:proofErr w:type="spellEnd"/>
      <w:r w:rsidR="00451314" w:rsidRPr="00E35F4D">
        <w:rPr>
          <w:color w:val="000000"/>
          <w:sz w:val="20"/>
          <w:szCs w:val="20"/>
        </w:rPr>
        <w:t xml:space="preserve"> R,</w:t>
      </w:r>
      <w:r w:rsidR="00451314" w:rsidRPr="00E35F4D">
        <w:rPr>
          <w:rStyle w:val="apple-converted-space"/>
          <w:color w:val="000000"/>
          <w:sz w:val="20"/>
          <w:szCs w:val="20"/>
        </w:rPr>
        <w:t> </w:t>
      </w:r>
      <w:r w:rsidR="008370A1" w:rsidRPr="00E35F4D">
        <w:rPr>
          <w:sz w:val="20"/>
          <w:szCs w:val="20"/>
          <w:lang w:bidi="ar-SA"/>
        </w:rPr>
        <w:t xml:space="preserve">et al. Preoperative versus postoperative </w:t>
      </w:r>
      <w:proofErr w:type="spellStart"/>
      <w:r w:rsidR="008370A1" w:rsidRPr="00E35F4D">
        <w:rPr>
          <w:sz w:val="20"/>
          <w:szCs w:val="20"/>
          <w:lang w:bidi="ar-SA"/>
        </w:rPr>
        <w:t>chemoradiotherapy</w:t>
      </w:r>
      <w:proofErr w:type="spellEnd"/>
      <w:r w:rsidR="008370A1" w:rsidRPr="00E35F4D">
        <w:rPr>
          <w:sz w:val="20"/>
          <w:szCs w:val="20"/>
          <w:lang w:bidi="ar-SA"/>
        </w:rPr>
        <w:t xml:space="preserve"> for rectal cancer. N</w:t>
      </w:r>
      <w:r w:rsidR="00451314" w:rsidRPr="00E35F4D">
        <w:rPr>
          <w:sz w:val="20"/>
          <w:szCs w:val="20"/>
          <w:lang w:bidi="ar-SA"/>
        </w:rPr>
        <w:t xml:space="preserve"> </w:t>
      </w:r>
      <w:proofErr w:type="spellStart"/>
      <w:r w:rsidR="008370A1" w:rsidRPr="00E35F4D">
        <w:rPr>
          <w:sz w:val="20"/>
          <w:szCs w:val="20"/>
          <w:lang w:bidi="ar-SA"/>
        </w:rPr>
        <w:t>Engl</w:t>
      </w:r>
      <w:proofErr w:type="spellEnd"/>
      <w:r w:rsidR="008370A1" w:rsidRPr="00E35F4D">
        <w:rPr>
          <w:sz w:val="20"/>
          <w:szCs w:val="20"/>
          <w:lang w:bidi="ar-SA"/>
        </w:rPr>
        <w:t xml:space="preserve"> J Med</w:t>
      </w:r>
      <w:r w:rsidR="00451314" w:rsidRPr="00E35F4D">
        <w:rPr>
          <w:sz w:val="20"/>
          <w:szCs w:val="20"/>
          <w:lang w:bidi="ar-SA"/>
        </w:rPr>
        <w:t xml:space="preserve">, </w:t>
      </w:r>
      <w:r w:rsidR="008370A1" w:rsidRPr="00E35F4D">
        <w:rPr>
          <w:sz w:val="20"/>
          <w:szCs w:val="20"/>
          <w:lang w:bidi="ar-SA"/>
        </w:rPr>
        <w:t>2004; 351(17):</w:t>
      </w:r>
      <w:r w:rsidR="00935A1F" w:rsidRPr="00E35F4D">
        <w:rPr>
          <w:sz w:val="20"/>
          <w:szCs w:val="20"/>
          <w:lang w:bidi="ar-SA"/>
        </w:rPr>
        <w:t xml:space="preserve"> </w:t>
      </w:r>
      <w:r w:rsidR="008370A1" w:rsidRPr="00E35F4D">
        <w:rPr>
          <w:sz w:val="20"/>
          <w:szCs w:val="20"/>
          <w:lang w:bidi="ar-SA"/>
        </w:rPr>
        <w:t>1731–</w:t>
      </w:r>
      <w:r w:rsidR="00451314" w:rsidRPr="00E35F4D">
        <w:rPr>
          <w:sz w:val="20"/>
          <w:szCs w:val="20"/>
          <w:lang w:bidi="ar-SA"/>
        </w:rPr>
        <w:t>40</w:t>
      </w:r>
      <w:r w:rsidR="008370A1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R</w:t>
      </w:r>
      <w:r w:rsidR="00A40C88" w:rsidRPr="00E35F4D">
        <w:rPr>
          <w:color w:val="000000"/>
          <w:sz w:val="20"/>
          <w:szCs w:val="20"/>
        </w:rPr>
        <w:t>oh</w:t>
      </w:r>
      <w:proofErr w:type="spellEnd"/>
      <w:r w:rsidR="00A40C88" w:rsidRPr="00E35F4D">
        <w:rPr>
          <w:color w:val="000000"/>
          <w:sz w:val="20"/>
          <w:szCs w:val="20"/>
        </w:rPr>
        <w:t xml:space="preserve"> MS,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Colangelo</w:t>
      </w:r>
      <w:proofErr w:type="spellEnd"/>
      <w:r w:rsidR="00A40C88" w:rsidRPr="00E35F4D">
        <w:rPr>
          <w:color w:val="000000"/>
          <w:sz w:val="20"/>
          <w:szCs w:val="20"/>
        </w:rPr>
        <w:t xml:space="preserve"> LH,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r w:rsidR="00A40C88" w:rsidRPr="00E35F4D">
        <w:rPr>
          <w:color w:val="000000"/>
          <w:sz w:val="20"/>
          <w:szCs w:val="20"/>
        </w:rPr>
        <w:t>O'Connell MJ,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Yothers</w:t>
      </w:r>
      <w:proofErr w:type="spellEnd"/>
      <w:r w:rsidR="00A40C88" w:rsidRPr="00E35F4D">
        <w:rPr>
          <w:color w:val="000000"/>
          <w:sz w:val="20"/>
          <w:szCs w:val="20"/>
        </w:rPr>
        <w:t xml:space="preserve"> G,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A40C88" w:rsidRPr="00E35F4D">
        <w:rPr>
          <w:color w:val="000000"/>
          <w:sz w:val="20"/>
          <w:szCs w:val="20"/>
        </w:rPr>
        <w:t>Deutsch M,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gramStart"/>
      <w:r w:rsidR="00A40C88" w:rsidRPr="00E35F4D">
        <w:rPr>
          <w:color w:val="000000"/>
          <w:sz w:val="20"/>
          <w:szCs w:val="20"/>
        </w:rPr>
        <w:t>Allegra</w:t>
      </w:r>
      <w:proofErr w:type="gramEnd"/>
      <w:r w:rsidR="00A40C88" w:rsidRPr="00E35F4D">
        <w:rPr>
          <w:color w:val="000000"/>
          <w:sz w:val="20"/>
          <w:szCs w:val="20"/>
        </w:rPr>
        <w:t xml:space="preserve"> CJ,</w:t>
      </w:r>
      <w:r w:rsidR="00A40C88" w:rsidRPr="00E35F4D">
        <w:rPr>
          <w:rStyle w:val="apple-converted-space"/>
          <w:color w:val="000000"/>
          <w:sz w:val="20"/>
          <w:szCs w:val="20"/>
        </w:rPr>
        <w:t xml:space="preserve"> et al.: </w:t>
      </w:r>
      <w:r w:rsidR="00F36342" w:rsidRPr="00E35F4D">
        <w:rPr>
          <w:sz w:val="20"/>
          <w:szCs w:val="20"/>
          <w:lang w:bidi="ar-SA"/>
        </w:rPr>
        <w:t xml:space="preserve">Preoperative multimodality therapy improves disease-free survival in patients with carcinoma of the rectum: NSABP R-03. J </w:t>
      </w:r>
      <w:proofErr w:type="spellStart"/>
      <w:r w:rsidR="00F36342" w:rsidRPr="00E35F4D">
        <w:rPr>
          <w:sz w:val="20"/>
          <w:szCs w:val="20"/>
          <w:lang w:bidi="ar-SA"/>
        </w:rPr>
        <w:t>Clin</w:t>
      </w:r>
      <w:proofErr w:type="spellEnd"/>
      <w:r w:rsidR="00F36342" w:rsidRPr="00E35F4D">
        <w:rPr>
          <w:sz w:val="20"/>
          <w:szCs w:val="20"/>
          <w:lang w:bidi="ar-SA"/>
        </w:rPr>
        <w:t xml:space="preserve"> </w:t>
      </w:r>
      <w:proofErr w:type="spellStart"/>
      <w:r w:rsidR="00F36342" w:rsidRPr="00E35F4D">
        <w:rPr>
          <w:sz w:val="20"/>
          <w:szCs w:val="20"/>
          <w:lang w:bidi="ar-SA"/>
        </w:rPr>
        <w:t>Oncol</w:t>
      </w:r>
      <w:proofErr w:type="spellEnd"/>
      <w:r w:rsidR="00935A1F" w:rsidRPr="00E35F4D">
        <w:rPr>
          <w:sz w:val="20"/>
          <w:szCs w:val="20"/>
          <w:lang w:bidi="ar-SA"/>
        </w:rPr>
        <w:t>,</w:t>
      </w:r>
      <w:r w:rsidR="00F36342" w:rsidRPr="00E35F4D">
        <w:rPr>
          <w:sz w:val="20"/>
          <w:szCs w:val="20"/>
          <w:lang w:bidi="ar-SA"/>
        </w:rPr>
        <w:t xml:space="preserve"> 2009; 27(31): 5124–30.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G</w:t>
      </w:r>
      <w:r w:rsidR="00A40C88" w:rsidRPr="00E35F4D">
        <w:rPr>
          <w:color w:val="000000"/>
          <w:sz w:val="20"/>
          <w:szCs w:val="20"/>
        </w:rPr>
        <w:t>érard</w:t>
      </w:r>
      <w:proofErr w:type="spellEnd"/>
      <w:r w:rsidR="00A40C88" w:rsidRPr="00E35F4D">
        <w:rPr>
          <w:color w:val="000000"/>
          <w:sz w:val="20"/>
          <w:szCs w:val="20"/>
        </w:rPr>
        <w:t xml:space="preserve"> JP,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r w:rsidR="00A40C88" w:rsidRPr="00E35F4D">
        <w:rPr>
          <w:color w:val="000000"/>
          <w:sz w:val="20"/>
          <w:szCs w:val="20"/>
        </w:rPr>
        <w:t>Conroy T,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Bonnetain</w:t>
      </w:r>
      <w:proofErr w:type="spellEnd"/>
      <w:r w:rsidR="00A40C88" w:rsidRPr="00E35F4D">
        <w:rPr>
          <w:color w:val="000000"/>
          <w:sz w:val="20"/>
          <w:szCs w:val="20"/>
        </w:rPr>
        <w:t xml:space="preserve"> F,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Bouché</w:t>
      </w:r>
      <w:proofErr w:type="spellEnd"/>
      <w:r w:rsidR="00A40C88" w:rsidRPr="00E35F4D">
        <w:rPr>
          <w:color w:val="000000"/>
          <w:sz w:val="20"/>
          <w:szCs w:val="20"/>
        </w:rPr>
        <w:t xml:space="preserve"> O,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A40C88" w:rsidRPr="00E35F4D">
        <w:rPr>
          <w:color w:val="000000"/>
          <w:sz w:val="20"/>
          <w:szCs w:val="20"/>
        </w:rPr>
        <w:t>Chapet</w:t>
      </w:r>
      <w:proofErr w:type="spellEnd"/>
      <w:r w:rsidR="00A40C88" w:rsidRPr="00E35F4D">
        <w:rPr>
          <w:color w:val="000000"/>
          <w:sz w:val="20"/>
          <w:szCs w:val="20"/>
        </w:rPr>
        <w:t xml:space="preserve"> O,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Closon-Dejardin</w:t>
      </w:r>
      <w:proofErr w:type="spellEnd"/>
      <w:r w:rsidR="00A40C88" w:rsidRPr="00E35F4D">
        <w:rPr>
          <w:color w:val="000000"/>
          <w:sz w:val="20"/>
          <w:szCs w:val="20"/>
        </w:rPr>
        <w:t xml:space="preserve"> MT, et al.:</w:t>
      </w:r>
      <w:r w:rsidR="002B6CCB" w:rsidRPr="00E35F4D">
        <w:rPr>
          <w:sz w:val="20"/>
          <w:szCs w:val="20"/>
          <w:lang w:bidi="ar-SA"/>
        </w:rPr>
        <w:t xml:space="preserve"> Preoperative radiotherapy with or without concurrent fluorouracil and </w:t>
      </w:r>
      <w:proofErr w:type="spellStart"/>
      <w:r w:rsidR="002B6CCB" w:rsidRPr="00E35F4D">
        <w:rPr>
          <w:sz w:val="20"/>
          <w:szCs w:val="20"/>
          <w:lang w:bidi="ar-SA"/>
        </w:rPr>
        <w:t>leucovorin</w:t>
      </w:r>
      <w:proofErr w:type="spellEnd"/>
      <w:r w:rsidR="002B6CCB" w:rsidRPr="00E35F4D">
        <w:rPr>
          <w:sz w:val="20"/>
          <w:szCs w:val="20"/>
          <w:lang w:bidi="ar-SA"/>
        </w:rPr>
        <w:t xml:space="preserve"> in T3-4 rectal cancers: </w:t>
      </w:r>
      <w:r w:rsidR="00A40C88" w:rsidRPr="00E35F4D">
        <w:rPr>
          <w:sz w:val="20"/>
          <w:szCs w:val="20"/>
          <w:lang w:bidi="ar-SA"/>
        </w:rPr>
        <w:t>R</w:t>
      </w:r>
      <w:r w:rsidR="002B6CCB" w:rsidRPr="00E35F4D">
        <w:rPr>
          <w:sz w:val="20"/>
          <w:szCs w:val="20"/>
          <w:lang w:bidi="ar-SA"/>
        </w:rPr>
        <w:t xml:space="preserve">esults of FFCD 9203. J </w:t>
      </w:r>
      <w:proofErr w:type="spellStart"/>
      <w:r w:rsidR="002B6CCB" w:rsidRPr="00E35F4D">
        <w:rPr>
          <w:sz w:val="20"/>
          <w:szCs w:val="20"/>
          <w:lang w:bidi="ar-SA"/>
        </w:rPr>
        <w:t>Clin</w:t>
      </w:r>
      <w:proofErr w:type="spellEnd"/>
      <w:r w:rsidR="002B6CCB" w:rsidRPr="00E35F4D">
        <w:rPr>
          <w:sz w:val="20"/>
          <w:szCs w:val="20"/>
          <w:lang w:bidi="ar-SA"/>
        </w:rPr>
        <w:t xml:space="preserve"> </w:t>
      </w:r>
      <w:proofErr w:type="spellStart"/>
      <w:r w:rsidR="002B6CCB" w:rsidRPr="00E35F4D">
        <w:rPr>
          <w:sz w:val="20"/>
          <w:szCs w:val="20"/>
          <w:lang w:bidi="ar-SA"/>
        </w:rPr>
        <w:t>Oncol</w:t>
      </w:r>
      <w:proofErr w:type="spellEnd"/>
      <w:r w:rsidR="00A40C88" w:rsidRPr="00E35F4D">
        <w:rPr>
          <w:sz w:val="20"/>
          <w:szCs w:val="20"/>
          <w:lang w:bidi="ar-SA"/>
        </w:rPr>
        <w:t xml:space="preserve"> 2006; 24</w:t>
      </w:r>
      <w:r w:rsidR="002B6CCB" w:rsidRPr="00E35F4D">
        <w:rPr>
          <w:sz w:val="20"/>
          <w:szCs w:val="20"/>
          <w:lang w:bidi="ar-SA"/>
        </w:rPr>
        <w:t>(28): 4620–5</w:t>
      </w:r>
      <w:r w:rsidR="00445FB8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color w:val="000000"/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B</w:t>
      </w:r>
      <w:r w:rsidR="008B53ED" w:rsidRPr="00E35F4D">
        <w:rPr>
          <w:color w:val="000000"/>
          <w:sz w:val="20"/>
          <w:szCs w:val="20"/>
        </w:rPr>
        <w:t>osset</w:t>
      </w:r>
      <w:proofErr w:type="spellEnd"/>
      <w:r w:rsidR="008B53ED" w:rsidRPr="00E35F4D">
        <w:rPr>
          <w:color w:val="000000"/>
          <w:sz w:val="20"/>
          <w:szCs w:val="20"/>
        </w:rPr>
        <w:t xml:space="preserve"> JF,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r w:rsidR="008B53ED" w:rsidRPr="00E35F4D">
        <w:rPr>
          <w:color w:val="000000"/>
          <w:sz w:val="20"/>
          <w:szCs w:val="20"/>
        </w:rPr>
        <w:t>Collette L,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r w:rsidR="008B53ED" w:rsidRPr="00E35F4D">
        <w:rPr>
          <w:color w:val="000000"/>
          <w:sz w:val="20"/>
          <w:szCs w:val="20"/>
        </w:rPr>
        <w:t>Calais G,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B53ED" w:rsidRPr="00E35F4D">
        <w:rPr>
          <w:color w:val="000000"/>
          <w:sz w:val="20"/>
          <w:szCs w:val="20"/>
        </w:rPr>
        <w:t>Mineur</w:t>
      </w:r>
      <w:proofErr w:type="spellEnd"/>
      <w:r w:rsidR="008B53ED" w:rsidRPr="00E35F4D">
        <w:rPr>
          <w:color w:val="000000"/>
          <w:sz w:val="20"/>
          <w:szCs w:val="20"/>
        </w:rPr>
        <w:t xml:space="preserve"> L,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B53ED" w:rsidRPr="00E35F4D">
        <w:rPr>
          <w:color w:val="000000"/>
          <w:sz w:val="20"/>
          <w:szCs w:val="20"/>
        </w:rPr>
        <w:t>Maingon</w:t>
      </w:r>
      <w:proofErr w:type="spellEnd"/>
      <w:r w:rsidR="008B53ED" w:rsidRPr="00E35F4D">
        <w:rPr>
          <w:color w:val="000000"/>
          <w:sz w:val="20"/>
          <w:szCs w:val="20"/>
        </w:rPr>
        <w:t xml:space="preserve"> P,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B53ED" w:rsidRPr="00E35F4D">
        <w:rPr>
          <w:color w:val="000000"/>
          <w:sz w:val="20"/>
          <w:szCs w:val="20"/>
        </w:rPr>
        <w:t>Radosevic-Jelic</w:t>
      </w:r>
      <w:proofErr w:type="spellEnd"/>
      <w:r w:rsidR="008B53ED" w:rsidRPr="00E35F4D">
        <w:rPr>
          <w:color w:val="000000"/>
          <w:sz w:val="20"/>
          <w:szCs w:val="20"/>
        </w:rPr>
        <w:t xml:space="preserve"> L,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8B53ED" w:rsidRPr="00E35F4D">
        <w:rPr>
          <w:rStyle w:val="apple-converted-space"/>
          <w:color w:val="000000"/>
          <w:sz w:val="20"/>
          <w:szCs w:val="20"/>
        </w:rPr>
        <w:t>et al.:</w:t>
      </w:r>
      <w:r w:rsidR="00445FB8" w:rsidRPr="00E35F4D">
        <w:rPr>
          <w:sz w:val="20"/>
          <w:szCs w:val="20"/>
          <w:lang w:bidi="ar-SA"/>
        </w:rPr>
        <w:t xml:space="preserve"> Chemotherapy with preoperative radiotherapy in </w:t>
      </w:r>
      <w:r w:rsidR="00445FB8" w:rsidRPr="00E35F4D">
        <w:rPr>
          <w:sz w:val="20"/>
          <w:szCs w:val="20"/>
          <w:lang w:bidi="ar-SA"/>
        </w:rPr>
        <w:lastRenderedPageBreak/>
        <w:t xml:space="preserve">rectal cancer. </w:t>
      </w:r>
      <w:r w:rsidR="008B53ED" w:rsidRPr="00E35F4D">
        <w:rPr>
          <w:sz w:val="20"/>
          <w:szCs w:val="20"/>
          <w:lang w:bidi="ar-SA"/>
        </w:rPr>
        <w:t xml:space="preserve">N </w:t>
      </w:r>
      <w:proofErr w:type="spellStart"/>
      <w:r w:rsidR="008B53ED" w:rsidRPr="00E35F4D">
        <w:rPr>
          <w:sz w:val="20"/>
          <w:szCs w:val="20"/>
          <w:lang w:bidi="ar-SA"/>
        </w:rPr>
        <w:t>Engl</w:t>
      </w:r>
      <w:proofErr w:type="spellEnd"/>
      <w:r w:rsidR="008B53ED" w:rsidRPr="00E35F4D">
        <w:rPr>
          <w:sz w:val="20"/>
          <w:szCs w:val="20"/>
          <w:lang w:bidi="ar-SA"/>
        </w:rPr>
        <w:t xml:space="preserve"> J Med, </w:t>
      </w:r>
      <w:r w:rsidR="00445FB8" w:rsidRPr="00E35F4D">
        <w:rPr>
          <w:sz w:val="20"/>
          <w:szCs w:val="20"/>
          <w:lang w:bidi="ar-SA"/>
        </w:rPr>
        <w:t>2006; 355</w:t>
      </w:r>
      <w:r w:rsidR="008B53ED" w:rsidRPr="00E35F4D">
        <w:rPr>
          <w:sz w:val="20"/>
          <w:szCs w:val="20"/>
          <w:lang w:bidi="ar-SA"/>
        </w:rPr>
        <w:t>(11): 1114–</w:t>
      </w:r>
      <w:r w:rsidR="00445FB8" w:rsidRPr="00E35F4D">
        <w:rPr>
          <w:sz w:val="20"/>
          <w:szCs w:val="20"/>
          <w:lang w:bidi="ar-SA"/>
        </w:rPr>
        <w:t>23.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color w:val="000000"/>
          <w:sz w:val="20"/>
          <w:szCs w:val="20"/>
        </w:rPr>
        <w:t>R</w:t>
      </w:r>
      <w:r w:rsidR="00895119" w:rsidRPr="00E35F4D">
        <w:rPr>
          <w:color w:val="000000"/>
          <w:sz w:val="20"/>
          <w:szCs w:val="20"/>
        </w:rPr>
        <w:t>ödel</w:t>
      </w:r>
      <w:proofErr w:type="spellEnd"/>
      <w:r w:rsidR="00895119" w:rsidRPr="00E35F4D">
        <w:rPr>
          <w:color w:val="000000"/>
          <w:sz w:val="20"/>
          <w:szCs w:val="20"/>
        </w:rPr>
        <w:t xml:space="preserve"> C,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95119" w:rsidRPr="00E35F4D">
        <w:rPr>
          <w:color w:val="000000"/>
          <w:sz w:val="20"/>
          <w:szCs w:val="20"/>
        </w:rPr>
        <w:t>Liersch</w:t>
      </w:r>
      <w:proofErr w:type="spellEnd"/>
      <w:r w:rsidR="00895119" w:rsidRPr="00E35F4D">
        <w:rPr>
          <w:color w:val="000000"/>
          <w:sz w:val="20"/>
          <w:szCs w:val="20"/>
        </w:rPr>
        <w:t xml:space="preserve"> T,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r w:rsidR="00895119" w:rsidRPr="00E35F4D">
        <w:rPr>
          <w:color w:val="000000"/>
          <w:sz w:val="20"/>
          <w:szCs w:val="20"/>
        </w:rPr>
        <w:t>Hermann RM,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r w:rsidR="00895119" w:rsidRPr="00E35F4D">
        <w:rPr>
          <w:color w:val="000000"/>
          <w:sz w:val="20"/>
          <w:szCs w:val="20"/>
        </w:rPr>
        <w:t>Arnold D,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895119" w:rsidRPr="00E35F4D">
        <w:rPr>
          <w:color w:val="000000"/>
          <w:sz w:val="20"/>
          <w:szCs w:val="20"/>
        </w:rPr>
        <w:t>Reese T,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proofErr w:type="gramStart"/>
      <w:r w:rsidR="00895119" w:rsidRPr="00E35F4D">
        <w:rPr>
          <w:color w:val="000000"/>
          <w:sz w:val="20"/>
          <w:szCs w:val="20"/>
        </w:rPr>
        <w:t>Hipp</w:t>
      </w:r>
      <w:proofErr w:type="spellEnd"/>
      <w:proofErr w:type="gramEnd"/>
      <w:r w:rsidR="00895119" w:rsidRPr="00E35F4D">
        <w:rPr>
          <w:color w:val="000000"/>
          <w:sz w:val="20"/>
          <w:szCs w:val="20"/>
        </w:rPr>
        <w:t xml:space="preserve"> M,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r w:rsidR="00895119" w:rsidRPr="00E35F4D">
        <w:rPr>
          <w:rStyle w:val="apple-converted-space"/>
          <w:color w:val="000000"/>
          <w:sz w:val="20"/>
          <w:szCs w:val="20"/>
        </w:rPr>
        <w:t xml:space="preserve">et al.: </w:t>
      </w:r>
      <w:r w:rsidR="00445FB8" w:rsidRPr="00E35F4D">
        <w:rPr>
          <w:sz w:val="20"/>
          <w:szCs w:val="20"/>
          <w:lang w:bidi="ar-SA"/>
        </w:rPr>
        <w:t xml:space="preserve">Multicenter phase II trial of </w:t>
      </w:r>
      <w:proofErr w:type="spellStart"/>
      <w:r w:rsidR="00445FB8" w:rsidRPr="00E35F4D">
        <w:rPr>
          <w:sz w:val="20"/>
          <w:szCs w:val="20"/>
          <w:lang w:bidi="ar-SA"/>
        </w:rPr>
        <w:t>chemoradiation</w:t>
      </w:r>
      <w:proofErr w:type="spellEnd"/>
      <w:r w:rsidR="00445FB8" w:rsidRPr="00E35F4D">
        <w:rPr>
          <w:sz w:val="20"/>
          <w:szCs w:val="20"/>
          <w:lang w:bidi="ar-SA"/>
        </w:rPr>
        <w:t xml:space="preserve"> with </w:t>
      </w:r>
      <w:proofErr w:type="spellStart"/>
      <w:r w:rsidR="00445FB8" w:rsidRPr="00E35F4D">
        <w:rPr>
          <w:sz w:val="20"/>
          <w:szCs w:val="20"/>
          <w:lang w:bidi="ar-SA"/>
        </w:rPr>
        <w:t>oxaliplatin</w:t>
      </w:r>
      <w:proofErr w:type="spellEnd"/>
      <w:r w:rsidR="00445FB8" w:rsidRPr="00E35F4D">
        <w:rPr>
          <w:sz w:val="20"/>
          <w:szCs w:val="20"/>
          <w:lang w:bidi="ar-SA"/>
        </w:rPr>
        <w:t xml:space="preserve"> for rectal cancer. J </w:t>
      </w:r>
      <w:proofErr w:type="spellStart"/>
      <w:r w:rsidR="00445FB8" w:rsidRPr="00E35F4D">
        <w:rPr>
          <w:sz w:val="20"/>
          <w:szCs w:val="20"/>
          <w:lang w:bidi="ar-SA"/>
        </w:rPr>
        <w:t>Clin</w:t>
      </w:r>
      <w:proofErr w:type="spellEnd"/>
      <w:r w:rsidR="00445FB8" w:rsidRPr="00E35F4D">
        <w:rPr>
          <w:sz w:val="20"/>
          <w:szCs w:val="20"/>
          <w:lang w:bidi="ar-SA"/>
        </w:rPr>
        <w:t xml:space="preserve"> </w:t>
      </w:r>
      <w:proofErr w:type="spellStart"/>
      <w:r w:rsidR="00445FB8" w:rsidRPr="00E35F4D">
        <w:rPr>
          <w:sz w:val="20"/>
          <w:szCs w:val="20"/>
          <w:lang w:bidi="ar-SA"/>
        </w:rPr>
        <w:t>Oncol</w:t>
      </w:r>
      <w:proofErr w:type="spellEnd"/>
      <w:r w:rsidR="00445FB8" w:rsidRPr="00E35F4D">
        <w:rPr>
          <w:sz w:val="20"/>
          <w:szCs w:val="20"/>
          <w:lang w:bidi="ar-SA"/>
        </w:rPr>
        <w:t xml:space="preserve"> 2007; 25(1): 110–7.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M</w:t>
      </w:r>
      <w:r w:rsidR="00F35A0F" w:rsidRPr="00E35F4D">
        <w:rPr>
          <w:sz w:val="20"/>
          <w:szCs w:val="20"/>
          <w:lang w:bidi="ar-SA"/>
        </w:rPr>
        <w:t>ilas</w:t>
      </w:r>
      <w:proofErr w:type="spellEnd"/>
      <w:r w:rsidR="00D65008" w:rsidRPr="00E35F4D">
        <w:rPr>
          <w:sz w:val="20"/>
          <w:szCs w:val="20"/>
          <w:lang w:bidi="ar-SA"/>
        </w:rPr>
        <w:t xml:space="preserve"> L</w:t>
      </w:r>
      <w:r w:rsidR="00F35A0F" w:rsidRPr="00E35F4D">
        <w:rPr>
          <w:sz w:val="20"/>
          <w:szCs w:val="20"/>
          <w:lang w:bidi="ar-SA"/>
        </w:rPr>
        <w:t>, Hunter</w:t>
      </w:r>
      <w:r w:rsidR="00D65008" w:rsidRPr="00E35F4D">
        <w:rPr>
          <w:sz w:val="20"/>
          <w:szCs w:val="20"/>
          <w:lang w:bidi="ar-SA"/>
        </w:rPr>
        <w:t xml:space="preserve"> NR</w:t>
      </w:r>
      <w:r w:rsidR="00F35A0F" w:rsidRPr="00E35F4D">
        <w:rPr>
          <w:sz w:val="20"/>
          <w:szCs w:val="20"/>
          <w:lang w:bidi="ar-SA"/>
        </w:rPr>
        <w:t>, Mason</w:t>
      </w:r>
      <w:r w:rsidR="00D65008" w:rsidRPr="00E35F4D">
        <w:rPr>
          <w:sz w:val="20"/>
          <w:szCs w:val="20"/>
          <w:lang w:bidi="ar-SA"/>
        </w:rPr>
        <w:t xml:space="preserve"> KA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Milross</w:t>
      </w:r>
      <w:proofErr w:type="spellEnd"/>
      <w:r w:rsidR="00D65008" w:rsidRPr="00E35F4D">
        <w:rPr>
          <w:sz w:val="20"/>
          <w:szCs w:val="20"/>
          <w:lang w:bidi="ar-SA"/>
        </w:rPr>
        <w:t xml:space="preserve"> CG</w:t>
      </w:r>
      <w:r w:rsidR="00F35A0F" w:rsidRPr="00E35F4D">
        <w:rPr>
          <w:sz w:val="20"/>
          <w:szCs w:val="20"/>
          <w:lang w:bidi="ar-SA"/>
        </w:rPr>
        <w:t>, Saito</w:t>
      </w:r>
      <w:r w:rsidR="00D65008" w:rsidRPr="00E35F4D">
        <w:rPr>
          <w:sz w:val="20"/>
          <w:szCs w:val="20"/>
          <w:lang w:bidi="ar-SA"/>
        </w:rPr>
        <w:t xml:space="preserve"> Y</w:t>
      </w:r>
      <w:r w:rsidR="000B2A5F" w:rsidRPr="00E35F4D">
        <w:rPr>
          <w:sz w:val="20"/>
          <w:szCs w:val="20"/>
          <w:lang w:bidi="ar-SA"/>
        </w:rPr>
        <w:t>,</w:t>
      </w:r>
      <w:r w:rsidR="00895119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Peters</w:t>
      </w:r>
      <w:r w:rsidR="00D65008" w:rsidRPr="00E35F4D">
        <w:rPr>
          <w:sz w:val="20"/>
          <w:szCs w:val="20"/>
          <w:lang w:bidi="ar-SA"/>
        </w:rPr>
        <w:t xml:space="preserve"> LJ</w:t>
      </w:r>
      <w:r w:rsidR="00895119" w:rsidRPr="00E35F4D">
        <w:rPr>
          <w:sz w:val="20"/>
          <w:szCs w:val="20"/>
          <w:lang w:bidi="ar-SA"/>
        </w:rPr>
        <w:t>:</w:t>
      </w:r>
      <w:r w:rsidR="00F35A0F" w:rsidRPr="00E35F4D">
        <w:rPr>
          <w:sz w:val="20"/>
          <w:szCs w:val="20"/>
          <w:lang w:bidi="ar-SA"/>
        </w:rPr>
        <w:t xml:space="preserve"> Role of </w:t>
      </w:r>
      <w:proofErr w:type="spellStart"/>
      <w:r w:rsidR="00F35A0F" w:rsidRPr="00E35F4D">
        <w:rPr>
          <w:sz w:val="20"/>
          <w:szCs w:val="20"/>
          <w:lang w:bidi="ar-SA"/>
        </w:rPr>
        <w:t>reoxygenation</w:t>
      </w:r>
      <w:proofErr w:type="spellEnd"/>
      <w:r w:rsidR="00F35A0F" w:rsidRPr="00E35F4D">
        <w:rPr>
          <w:sz w:val="20"/>
          <w:szCs w:val="20"/>
          <w:lang w:bidi="ar-SA"/>
        </w:rPr>
        <w:t xml:space="preserve"> in induction of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 xml:space="preserve">enhancement of tumor </w:t>
      </w:r>
      <w:proofErr w:type="spellStart"/>
      <w:r w:rsidR="00F35A0F" w:rsidRPr="00E35F4D">
        <w:rPr>
          <w:sz w:val="20"/>
          <w:szCs w:val="20"/>
          <w:lang w:bidi="ar-SA"/>
        </w:rPr>
        <w:t>radioresponse</w:t>
      </w:r>
      <w:proofErr w:type="spellEnd"/>
      <w:r w:rsidR="00F35A0F" w:rsidRPr="00E35F4D">
        <w:rPr>
          <w:sz w:val="20"/>
          <w:szCs w:val="20"/>
          <w:lang w:bidi="ar-SA"/>
        </w:rPr>
        <w:t xml:space="preserve"> by </w:t>
      </w:r>
      <w:proofErr w:type="spellStart"/>
      <w:r w:rsidR="00F35A0F" w:rsidRPr="00E35F4D">
        <w:rPr>
          <w:sz w:val="20"/>
          <w:szCs w:val="20"/>
          <w:lang w:bidi="ar-SA"/>
        </w:rPr>
        <w:t>paclitaxel</w:t>
      </w:r>
      <w:proofErr w:type="spellEnd"/>
      <w:r w:rsidR="00D65008" w:rsidRPr="00E35F4D">
        <w:rPr>
          <w:sz w:val="20"/>
          <w:szCs w:val="20"/>
          <w:lang w:bidi="ar-SA"/>
        </w:rPr>
        <w:t>.</w:t>
      </w:r>
      <w:r w:rsidR="00F35A0F" w:rsidRPr="00E35F4D">
        <w:rPr>
          <w:sz w:val="20"/>
          <w:szCs w:val="20"/>
          <w:lang w:bidi="ar-SA"/>
        </w:rPr>
        <w:t xml:space="preserve"> Cancer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Res</w:t>
      </w:r>
      <w:r w:rsidR="00895119" w:rsidRPr="00E35F4D">
        <w:rPr>
          <w:sz w:val="20"/>
          <w:szCs w:val="20"/>
          <w:lang w:bidi="ar-SA"/>
        </w:rPr>
        <w:t>,</w:t>
      </w:r>
      <w:r w:rsidR="00D65008" w:rsidRPr="00E35F4D">
        <w:rPr>
          <w:sz w:val="20"/>
          <w:szCs w:val="20"/>
          <w:lang w:bidi="ar-SA"/>
        </w:rPr>
        <w:t xml:space="preserve"> 1995; </w:t>
      </w:r>
      <w:r w:rsidR="00F35A0F" w:rsidRPr="00E35F4D">
        <w:rPr>
          <w:sz w:val="20"/>
          <w:szCs w:val="20"/>
          <w:lang w:bidi="ar-SA"/>
        </w:rPr>
        <w:t>55</w:t>
      </w:r>
      <w:r w:rsidR="00D65008" w:rsidRPr="00E35F4D">
        <w:rPr>
          <w:sz w:val="20"/>
          <w:szCs w:val="20"/>
          <w:lang w:bidi="ar-SA"/>
        </w:rPr>
        <w:t>(16):</w:t>
      </w:r>
      <w:r w:rsidR="00F35A0F" w:rsidRPr="00E35F4D">
        <w:rPr>
          <w:sz w:val="20"/>
          <w:szCs w:val="20"/>
          <w:lang w:bidi="ar-SA"/>
        </w:rPr>
        <w:t xml:space="preserve"> 3564–8.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T</w:t>
      </w:r>
      <w:r w:rsidR="00F35A0F" w:rsidRPr="00E35F4D">
        <w:rPr>
          <w:sz w:val="20"/>
          <w:szCs w:val="20"/>
          <w:lang w:bidi="ar-SA"/>
        </w:rPr>
        <w:t>aghian</w:t>
      </w:r>
      <w:proofErr w:type="spellEnd"/>
      <w:r w:rsidR="00D65008" w:rsidRPr="00E35F4D">
        <w:rPr>
          <w:sz w:val="20"/>
          <w:szCs w:val="20"/>
          <w:lang w:bidi="ar-SA"/>
        </w:rPr>
        <w:t xml:space="preserve"> AG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Abi-Raad</w:t>
      </w:r>
      <w:proofErr w:type="spellEnd"/>
      <w:r w:rsidR="00D65008" w:rsidRPr="00E35F4D">
        <w:rPr>
          <w:sz w:val="20"/>
          <w:szCs w:val="20"/>
          <w:lang w:bidi="ar-SA"/>
        </w:rPr>
        <w:t xml:space="preserve"> R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Assaad</w:t>
      </w:r>
      <w:proofErr w:type="spellEnd"/>
      <w:r w:rsidR="00D65008" w:rsidRPr="00E35F4D">
        <w:rPr>
          <w:sz w:val="20"/>
          <w:szCs w:val="20"/>
          <w:lang w:bidi="ar-SA"/>
        </w:rPr>
        <w:t xml:space="preserve"> SI</w:t>
      </w:r>
      <w:r w:rsidR="00895119" w:rsidRPr="00E35F4D">
        <w:rPr>
          <w:sz w:val="20"/>
          <w:szCs w:val="20"/>
          <w:lang w:bidi="ar-SA"/>
        </w:rPr>
        <w:t>,</w:t>
      </w:r>
      <w:r w:rsidR="00F35A0F" w:rsidRPr="00E35F4D">
        <w:rPr>
          <w:sz w:val="20"/>
          <w:szCs w:val="20"/>
          <w:lang w:bidi="ar-SA"/>
        </w:rPr>
        <w:t xml:space="preserve"> </w:t>
      </w:r>
      <w:proofErr w:type="spellStart"/>
      <w:r w:rsidR="00895119" w:rsidRPr="00E35F4D">
        <w:rPr>
          <w:color w:val="000000"/>
          <w:sz w:val="20"/>
          <w:szCs w:val="20"/>
        </w:rPr>
        <w:t>Casty</w:t>
      </w:r>
      <w:proofErr w:type="spellEnd"/>
      <w:r w:rsidR="00895119" w:rsidRPr="00E35F4D">
        <w:rPr>
          <w:color w:val="000000"/>
          <w:sz w:val="20"/>
          <w:szCs w:val="20"/>
        </w:rPr>
        <w:t xml:space="preserve"> A,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95119" w:rsidRPr="00E35F4D">
        <w:rPr>
          <w:color w:val="000000"/>
          <w:sz w:val="20"/>
          <w:szCs w:val="20"/>
        </w:rPr>
        <w:t>Ancukiewicz</w:t>
      </w:r>
      <w:proofErr w:type="spellEnd"/>
      <w:r w:rsidR="00895119" w:rsidRPr="00E35F4D">
        <w:rPr>
          <w:color w:val="000000"/>
          <w:sz w:val="20"/>
          <w:szCs w:val="20"/>
        </w:rPr>
        <w:t xml:space="preserve"> M,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="00895119" w:rsidRPr="00E35F4D">
        <w:rPr>
          <w:color w:val="000000"/>
          <w:sz w:val="20"/>
          <w:szCs w:val="20"/>
        </w:rPr>
        <w:t>Yeh</w:t>
      </w:r>
      <w:proofErr w:type="spellEnd"/>
      <w:proofErr w:type="gramEnd"/>
      <w:r w:rsidR="00895119" w:rsidRPr="00E35F4D">
        <w:rPr>
          <w:color w:val="000000"/>
          <w:sz w:val="20"/>
          <w:szCs w:val="20"/>
        </w:rPr>
        <w:t xml:space="preserve"> E,</w:t>
      </w:r>
      <w:r w:rsidR="00895119" w:rsidRPr="00E35F4D">
        <w:rPr>
          <w:rStyle w:val="apple-converted-space"/>
          <w:color w:val="000000"/>
          <w:sz w:val="20"/>
          <w:szCs w:val="20"/>
        </w:rPr>
        <w:t> et al.:</w:t>
      </w:r>
      <w:r w:rsidR="00F35A0F" w:rsidRPr="00E35F4D">
        <w:rPr>
          <w:sz w:val="20"/>
          <w:szCs w:val="20"/>
          <w:lang w:bidi="ar-SA"/>
        </w:rPr>
        <w:t xml:space="preserve"> </w:t>
      </w:r>
      <w:proofErr w:type="spellStart"/>
      <w:r w:rsidR="00F35A0F" w:rsidRPr="00E35F4D">
        <w:rPr>
          <w:sz w:val="20"/>
          <w:szCs w:val="20"/>
          <w:lang w:bidi="ar-SA"/>
        </w:rPr>
        <w:t>Paclitaxel</w:t>
      </w:r>
      <w:proofErr w:type="spellEnd"/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decreases the interstitial fluid pressure and improves oxygenation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 xml:space="preserve">in breast cancers in patients treated with </w:t>
      </w:r>
      <w:proofErr w:type="spellStart"/>
      <w:r w:rsidR="00F35A0F" w:rsidRPr="00E35F4D">
        <w:rPr>
          <w:sz w:val="20"/>
          <w:szCs w:val="20"/>
          <w:lang w:bidi="ar-SA"/>
        </w:rPr>
        <w:t>neoadjuvant</w:t>
      </w:r>
      <w:proofErr w:type="spellEnd"/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 xml:space="preserve">chemotherapy: </w:t>
      </w:r>
      <w:r w:rsidR="00895119" w:rsidRPr="00E35F4D">
        <w:rPr>
          <w:sz w:val="20"/>
          <w:szCs w:val="20"/>
          <w:lang w:bidi="ar-SA"/>
        </w:rPr>
        <w:t>C</w:t>
      </w:r>
      <w:r w:rsidR="00F35A0F" w:rsidRPr="00E35F4D">
        <w:rPr>
          <w:sz w:val="20"/>
          <w:szCs w:val="20"/>
          <w:lang w:bidi="ar-SA"/>
        </w:rPr>
        <w:t>linical implications</w:t>
      </w:r>
      <w:r w:rsidR="00D65008" w:rsidRPr="00E35F4D">
        <w:rPr>
          <w:sz w:val="20"/>
          <w:szCs w:val="20"/>
          <w:lang w:bidi="ar-SA"/>
        </w:rPr>
        <w:t>.</w:t>
      </w:r>
      <w:r w:rsidR="00F35A0F" w:rsidRPr="00E35F4D">
        <w:rPr>
          <w:sz w:val="20"/>
          <w:szCs w:val="20"/>
          <w:lang w:bidi="ar-SA"/>
        </w:rPr>
        <w:t xml:space="preserve"> J </w:t>
      </w:r>
      <w:proofErr w:type="spellStart"/>
      <w:r w:rsidR="00F35A0F" w:rsidRPr="00E35F4D">
        <w:rPr>
          <w:sz w:val="20"/>
          <w:szCs w:val="20"/>
          <w:lang w:bidi="ar-SA"/>
        </w:rPr>
        <w:t>Clin</w:t>
      </w:r>
      <w:proofErr w:type="spellEnd"/>
      <w:r w:rsidR="00086298" w:rsidRPr="00E35F4D">
        <w:rPr>
          <w:sz w:val="20"/>
          <w:szCs w:val="20"/>
          <w:lang w:bidi="ar-SA"/>
        </w:rPr>
        <w:t xml:space="preserve"> </w:t>
      </w:r>
      <w:proofErr w:type="spellStart"/>
      <w:r w:rsidR="00F35A0F" w:rsidRPr="00E35F4D">
        <w:rPr>
          <w:sz w:val="20"/>
          <w:szCs w:val="20"/>
          <w:lang w:bidi="ar-SA"/>
        </w:rPr>
        <w:t>Oncol</w:t>
      </w:r>
      <w:proofErr w:type="spellEnd"/>
      <w:r w:rsidR="00D65008" w:rsidRPr="00E35F4D">
        <w:rPr>
          <w:sz w:val="20"/>
          <w:szCs w:val="20"/>
          <w:lang w:bidi="ar-SA"/>
        </w:rPr>
        <w:t xml:space="preserve"> 2005;</w:t>
      </w:r>
      <w:r w:rsidR="00F35A0F" w:rsidRPr="00E35F4D">
        <w:rPr>
          <w:sz w:val="20"/>
          <w:szCs w:val="20"/>
          <w:lang w:bidi="ar-SA"/>
        </w:rPr>
        <w:t xml:space="preserve"> 23</w:t>
      </w:r>
      <w:r w:rsidR="00D65008" w:rsidRPr="00E35F4D">
        <w:rPr>
          <w:sz w:val="20"/>
          <w:szCs w:val="20"/>
          <w:lang w:bidi="ar-SA"/>
        </w:rPr>
        <w:t>(9):</w:t>
      </w:r>
      <w:r w:rsidR="00F35A0F" w:rsidRPr="00E35F4D">
        <w:rPr>
          <w:sz w:val="20"/>
          <w:szCs w:val="20"/>
          <w:lang w:bidi="ar-SA"/>
        </w:rPr>
        <w:t xml:space="preserve"> 1951–61</w:t>
      </w:r>
      <w:r w:rsidR="00D65008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G</w:t>
      </w:r>
      <w:r w:rsidR="00F35A0F" w:rsidRPr="00E35F4D">
        <w:rPr>
          <w:sz w:val="20"/>
          <w:szCs w:val="20"/>
          <w:lang w:bidi="ar-SA"/>
        </w:rPr>
        <w:t>lynne</w:t>
      </w:r>
      <w:proofErr w:type="spellEnd"/>
      <w:r w:rsidR="00F35A0F" w:rsidRPr="00E35F4D">
        <w:rPr>
          <w:sz w:val="20"/>
          <w:szCs w:val="20"/>
          <w:lang w:bidi="ar-SA"/>
        </w:rPr>
        <w:t>-Jones</w:t>
      </w:r>
      <w:r w:rsidR="00ED2275" w:rsidRPr="00E35F4D">
        <w:rPr>
          <w:sz w:val="20"/>
          <w:szCs w:val="20"/>
          <w:lang w:bidi="ar-SA"/>
        </w:rPr>
        <w:t xml:space="preserve"> R</w:t>
      </w:r>
      <w:r w:rsidR="00F35A0F" w:rsidRPr="00E35F4D">
        <w:rPr>
          <w:sz w:val="20"/>
          <w:szCs w:val="20"/>
          <w:lang w:bidi="ar-SA"/>
        </w:rPr>
        <w:t>, Grainger</w:t>
      </w:r>
      <w:r w:rsidR="00ED2275" w:rsidRPr="00E35F4D">
        <w:rPr>
          <w:sz w:val="20"/>
          <w:szCs w:val="20"/>
          <w:lang w:bidi="ar-SA"/>
        </w:rPr>
        <w:t xml:space="preserve"> J</w:t>
      </w:r>
      <w:r w:rsidR="00F35A0F" w:rsidRPr="00E35F4D">
        <w:rPr>
          <w:sz w:val="20"/>
          <w:szCs w:val="20"/>
          <w:lang w:bidi="ar-SA"/>
        </w:rPr>
        <w:t>, Harrison</w:t>
      </w:r>
      <w:r w:rsidR="00ED2275" w:rsidRPr="00E35F4D">
        <w:rPr>
          <w:sz w:val="20"/>
          <w:szCs w:val="20"/>
          <w:lang w:bidi="ar-SA"/>
        </w:rPr>
        <w:t xml:space="preserve"> M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proofErr w:type="gramStart"/>
      <w:r w:rsidR="00F35A0F" w:rsidRPr="00E35F4D">
        <w:rPr>
          <w:sz w:val="20"/>
          <w:szCs w:val="20"/>
          <w:lang w:bidi="ar-SA"/>
        </w:rPr>
        <w:t>Ostler</w:t>
      </w:r>
      <w:proofErr w:type="spellEnd"/>
      <w:proofErr w:type="gramEnd"/>
      <w:r w:rsidR="00ED2275" w:rsidRPr="00E35F4D">
        <w:rPr>
          <w:sz w:val="20"/>
          <w:szCs w:val="20"/>
          <w:lang w:bidi="ar-SA"/>
        </w:rPr>
        <w:t xml:space="preserve"> P</w:t>
      </w:r>
      <w:r w:rsidR="000B2A5F" w:rsidRPr="00E35F4D">
        <w:rPr>
          <w:sz w:val="20"/>
          <w:szCs w:val="20"/>
          <w:lang w:bidi="ar-SA"/>
        </w:rPr>
        <w:t>,</w:t>
      </w:r>
      <w:r w:rsidR="00C34888" w:rsidRPr="00E35F4D">
        <w:rPr>
          <w:sz w:val="20"/>
          <w:szCs w:val="20"/>
          <w:lang w:bidi="ar-SA"/>
        </w:rPr>
        <w:t xml:space="preserve"> </w:t>
      </w:r>
      <w:proofErr w:type="spellStart"/>
      <w:r w:rsidR="00F35A0F" w:rsidRPr="00E35F4D">
        <w:rPr>
          <w:sz w:val="20"/>
          <w:szCs w:val="20"/>
          <w:lang w:bidi="ar-SA"/>
        </w:rPr>
        <w:t>Makris</w:t>
      </w:r>
      <w:proofErr w:type="spellEnd"/>
      <w:r w:rsidR="00ED2275" w:rsidRPr="00E35F4D">
        <w:rPr>
          <w:sz w:val="20"/>
          <w:szCs w:val="20"/>
          <w:lang w:bidi="ar-SA"/>
        </w:rPr>
        <w:t xml:space="preserve"> A</w:t>
      </w:r>
      <w:r w:rsidR="00895119" w:rsidRPr="00E35F4D">
        <w:rPr>
          <w:sz w:val="20"/>
          <w:szCs w:val="20"/>
          <w:lang w:bidi="ar-SA"/>
        </w:rPr>
        <w:t>:</w:t>
      </w:r>
      <w:r w:rsidR="00F35A0F" w:rsidRPr="00E35F4D">
        <w:rPr>
          <w:sz w:val="20"/>
          <w:szCs w:val="20"/>
          <w:lang w:bidi="ar-SA"/>
        </w:rPr>
        <w:t xml:space="preserve"> </w:t>
      </w:r>
      <w:proofErr w:type="spellStart"/>
      <w:r w:rsidR="00F35A0F" w:rsidRPr="00E35F4D">
        <w:rPr>
          <w:sz w:val="20"/>
          <w:szCs w:val="20"/>
          <w:lang w:bidi="ar-SA"/>
        </w:rPr>
        <w:t>Neoadjuvant</w:t>
      </w:r>
      <w:proofErr w:type="spellEnd"/>
      <w:r w:rsidR="00F35A0F" w:rsidRPr="00E35F4D">
        <w:rPr>
          <w:sz w:val="20"/>
          <w:szCs w:val="20"/>
          <w:lang w:bidi="ar-SA"/>
        </w:rPr>
        <w:t xml:space="preserve"> chemotherapy prior to preoperative</w:t>
      </w:r>
      <w:r w:rsidR="00086298" w:rsidRPr="00E35F4D">
        <w:rPr>
          <w:sz w:val="20"/>
          <w:szCs w:val="20"/>
          <w:lang w:bidi="ar-SA"/>
        </w:rPr>
        <w:t xml:space="preserve"> </w:t>
      </w:r>
      <w:proofErr w:type="spellStart"/>
      <w:r w:rsidR="00F35A0F" w:rsidRPr="00E35F4D">
        <w:rPr>
          <w:sz w:val="20"/>
          <w:szCs w:val="20"/>
          <w:lang w:bidi="ar-SA"/>
        </w:rPr>
        <w:t>chemoradiation</w:t>
      </w:r>
      <w:proofErr w:type="spellEnd"/>
      <w:r w:rsidR="00F35A0F" w:rsidRPr="00E35F4D">
        <w:rPr>
          <w:sz w:val="20"/>
          <w:szCs w:val="20"/>
          <w:lang w:bidi="ar-SA"/>
        </w:rPr>
        <w:t xml:space="preserve"> or radiation in rectal cancer: </w:t>
      </w:r>
      <w:r w:rsidR="00895119" w:rsidRPr="00E35F4D">
        <w:rPr>
          <w:sz w:val="20"/>
          <w:szCs w:val="20"/>
          <w:lang w:bidi="ar-SA"/>
        </w:rPr>
        <w:t>S</w:t>
      </w:r>
      <w:r w:rsidR="00F35A0F" w:rsidRPr="00E35F4D">
        <w:rPr>
          <w:sz w:val="20"/>
          <w:szCs w:val="20"/>
          <w:lang w:bidi="ar-SA"/>
        </w:rPr>
        <w:t>hould we be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more cautious? Br J Cancer</w:t>
      </w:r>
      <w:r w:rsidR="00895119" w:rsidRPr="00E35F4D">
        <w:rPr>
          <w:sz w:val="20"/>
          <w:szCs w:val="20"/>
          <w:lang w:bidi="ar-SA"/>
        </w:rPr>
        <w:t>,</w:t>
      </w:r>
      <w:r w:rsidR="00B421D4" w:rsidRPr="00E35F4D">
        <w:rPr>
          <w:sz w:val="20"/>
          <w:szCs w:val="20"/>
          <w:lang w:bidi="ar-SA"/>
        </w:rPr>
        <w:t xml:space="preserve"> 2006;</w:t>
      </w:r>
      <w:r w:rsidR="00F35A0F" w:rsidRPr="00E35F4D">
        <w:rPr>
          <w:sz w:val="20"/>
          <w:szCs w:val="20"/>
          <w:lang w:bidi="ar-SA"/>
        </w:rPr>
        <w:t xml:space="preserve"> 94</w:t>
      </w:r>
      <w:r w:rsidR="00B421D4" w:rsidRPr="00E35F4D">
        <w:rPr>
          <w:sz w:val="20"/>
          <w:szCs w:val="20"/>
          <w:lang w:bidi="ar-SA"/>
        </w:rPr>
        <w:t>(3):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363–71</w:t>
      </w:r>
      <w:r w:rsidR="00B421D4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C</w:t>
      </w:r>
      <w:r w:rsidR="00C54366" w:rsidRPr="00E35F4D">
        <w:rPr>
          <w:sz w:val="20"/>
          <w:szCs w:val="20"/>
          <w:lang w:bidi="ar-SA"/>
        </w:rPr>
        <w:t>hau</w:t>
      </w:r>
      <w:proofErr w:type="spellEnd"/>
      <w:r w:rsidR="00C54366" w:rsidRPr="00E35F4D">
        <w:rPr>
          <w:sz w:val="20"/>
          <w:szCs w:val="20"/>
          <w:lang w:bidi="ar-SA"/>
        </w:rPr>
        <w:t xml:space="preserve"> I, Brown G, Cunningham D, </w:t>
      </w:r>
      <w:proofErr w:type="spellStart"/>
      <w:r w:rsidR="00F6520F" w:rsidRPr="00E35F4D">
        <w:rPr>
          <w:color w:val="000000"/>
          <w:sz w:val="20"/>
          <w:szCs w:val="20"/>
        </w:rPr>
        <w:t>Tait</w:t>
      </w:r>
      <w:proofErr w:type="spellEnd"/>
      <w:r w:rsidR="00F6520F" w:rsidRPr="00E35F4D">
        <w:rPr>
          <w:color w:val="000000"/>
          <w:sz w:val="20"/>
          <w:szCs w:val="20"/>
        </w:rPr>
        <w:t xml:space="preserve"> D,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F6520F" w:rsidRPr="00E35F4D">
        <w:rPr>
          <w:color w:val="000000"/>
          <w:sz w:val="20"/>
          <w:szCs w:val="20"/>
        </w:rPr>
        <w:t>Wotherspoon</w:t>
      </w:r>
      <w:proofErr w:type="spellEnd"/>
      <w:r w:rsidR="00F6520F" w:rsidRPr="00E35F4D">
        <w:rPr>
          <w:color w:val="000000"/>
          <w:sz w:val="20"/>
          <w:szCs w:val="20"/>
        </w:rPr>
        <w:t xml:space="preserve"> A,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F6520F" w:rsidRPr="00E35F4D">
        <w:rPr>
          <w:color w:val="000000"/>
          <w:sz w:val="20"/>
          <w:szCs w:val="20"/>
        </w:rPr>
        <w:t>Norman AR,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F6520F" w:rsidRPr="00E35F4D">
        <w:rPr>
          <w:rStyle w:val="apple-converted-space"/>
          <w:color w:val="000000"/>
          <w:sz w:val="20"/>
          <w:szCs w:val="20"/>
        </w:rPr>
        <w:t xml:space="preserve">et al.: </w:t>
      </w:r>
      <w:proofErr w:type="spellStart"/>
      <w:r w:rsidR="00C54366" w:rsidRPr="00E35F4D">
        <w:rPr>
          <w:sz w:val="20"/>
          <w:szCs w:val="20"/>
          <w:lang w:bidi="ar-SA"/>
        </w:rPr>
        <w:t>Neoadjuvant</w:t>
      </w:r>
      <w:proofErr w:type="spellEnd"/>
      <w:r w:rsidR="00C54366" w:rsidRPr="00E35F4D">
        <w:rPr>
          <w:sz w:val="20"/>
          <w:szCs w:val="20"/>
          <w:lang w:bidi="ar-SA"/>
        </w:rPr>
        <w:t xml:space="preserve"> </w:t>
      </w:r>
      <w:proofErr w:type="spellStart"/>
      <w:r w:rsidR="00F6520F" w:rsidRPr="00E35F4D">
        <w:rPr>
          <w:sz w:val="20"/>
          <w:szCs w:val="20"/>
          <w:lang w:bidi="ar-SA"/>
        </w:rPr>
        <w:t>c</w:t>
      </w:r>
      <w:r w:rsidR="00C54366" w:rsidRPr="00E35F4D">
        <w:rPr>
          <w:sz w:val="20"/>
          <w:szCs w:val="20"/>
          <w:lang w:bidi="ar-SA"/>
        </w:rPr>
        <w:t>apecitabine</w:t>
      </w:r>
      <w:proofErr w:type="spellEnd"/>
      <w:r w:rsidR="00C54366" w:rsidRPr="00E35F4D">
        <w:rPr>
          <w:sz w:val="20"/>
          <w:szCs w:val="20"/>
          <w:lang w:bidi="ar-SA"/>
        </w:rPr>
        <w:t xml:space="preserve"> and </w:t>
      </w:r>
      <w:proofErr w:type="spellStart"/>
      <w:r w:rsidR="00F6520F" w:rsidRPr="00E35F4D">
        <w:rPr>
          <w:sz w:val="20"/>
          <w:szCs w:val="20"/>
          <w:lang w:bidi="ar-SA"/>
        </w:rPr>
        <w:t>oxaliplatin</w:t>
      </w:r>
      <w:proofErr w:type="spellEnd"/>
      <w:r w:rsidR="00F6520F" w:rsidRPr="00E35F4D">
        <w:rPr>
          <w:sz w:val="20"/>
          <w:szCs w:val="20"/>
          <w:lang w:bidi="ar-SA"/>
        </w:rPr>
        <w:t xml:space="preserve"> f</w:t>
      </w:r>
      <w:r w:rsidR="00C54366" w:rsidRPr="00E35F4D">
        <w:rPr>
          <w:sz w:val="20"/>
          <w:szCs w:val="20"/>
          <w:lang w:bidi="ar-SA"/>
        </w:rPr>
        <w:t xml:space="preserve">ollowed by </w:t>
      </w:r>
      <w:r w:rsidR="00F6520F" w:rsidRPr="00E35F4D">
        <w:rPr>
          <w:sz w:val="20"/>
          <w:szCs w:val="20"/>
          <w:lang w:bidi="ar-SA"/>
        </w:rPr>
        <w:t>s</w:t>
      </w:r>
      <w:r w:rsidR="00C54366" w:rsidRPr="00E35F4D">
        <w:rPr>
          <w:sz w:val="20"/>
          <w:szCs w:val="20"/>
          <w:lang w:bidi="ar-SA"/>
        </w:rPr>
        <w:t xml:space="preserve">ynchronous </w:t>
      </w:r>
      <w:proofErr w:type="spellStart"/>
      <w:r w:rsidR="00F6520F" w:rsidRPr="00E35F4D">
        <w:rPr>
          <w:sz w:val="20"/>
          <w:szCs w:val="20"/>
          <w:lang w:bidi="ar-SA"/>
        </w:rPr>
        <w:t>chemoradiation</w:t>
      </w:r>
      <w:proofErr w:type="spellEnd"/>
      <w:r w:rsidR="00F6520F" w:rsidRPr="00E35F4D">
        <w:rPr>
          <w:sz w:val="20"/>
          <w:szCs w:val="20"/>
          <w:lang w:bidi="ar-SA"/>
        </w:rPr>
        <w:t xml:space="preserve"> and t</w:t>
      </w:r>
      <w:r w:rsidR="00C54366" w:rsidRPr="00E35F4D">
        <w:rPr>
          <w:sz w:val="20"/>
          <w:szCs w:val="20"/>
          <w:lang w:bidi="ar-SA"/>
        </w:rPr>
        <w:t xml:space="preserve">otal </w:t>
      </w:r>
      <w:proofErr w:type="spellStart"/>
      <w:r w:rsidR="00F6520F" w:rsidRPr="00E35F4D">
        <w:rPr>
          <w:sz w:val="20"/>
          <w:szCs w:val="20"/>
          <w:lang w:bidi="ar-SA"/>
        </w:rPr>
        <w:t>m</w:t>
      </w:r>
      <w:r w:rsidR="00C54366" w:rsidRPr="00E35F4D">
        <w:rPr>
          <w:sz w:val="20"/>
          <w:szCs w:val="20"/>
          <w:lang w:bidi="ar-SA"/>
        </w:rPr>
        <w:t>esorectal</w:t>
      </w:r>
      <w:proofErr w:type="spellEnd"/>
      <w:r w:rsidR="00C54366" w:rsidRPr="00E35F4D">
        <w:rPr>
          <w:sz w:val="20"/>
          <w:szCs w:val="20"/>
          <w:lang w:bidi="ar-SA"/>
        </w:rPr>
        <w:t xml:space="preserve"> </w:t>
      </w:r>
      <w:r w:rsidR="00F6520F" w:rsidRPr="00E35F4D">
        <w:rPr>
          <w:sz w:val="20"/>
          <w:szCs w:val="20"/>
          <w:lang w:bidi="ar-SA"/>
        </w:rPr>
        <w:t>e</w:t>
      </w:r>
      <w:r w:rsidR="00C54366" w:rsidRPr="00E35F4D">
        <w:rPr>
          <w:sz w:val="20"/>
          <w:szCs w:val="20"/>
          <w:lang w:bidi="ar-SA"/>
        </w:rPr>
        <w:t xml:space="preserve">xcision in </w:t>
      </w:r>
      <w:r w:rsidR="00F6520F" w:rsidRPr="00E35F4D">
        <w:rPr>
          <w:sz w:val="20"/>
          <w:szCs w:val="20"/>
          <w:lang w:bidi="ar-SA"/>
        </w:rPr>
        <w:t>m</w:t>
      </w:r>
      <w:r w:rsidR="00C54366" w:rsidRPr="00E35F4D">
        <w:rPr>
          <w:sz w:val="20"/>
          <w:szCs w:val="20"/>
          <w:lang w:bidi="ar-SA"/>
        </w:rPr>
        <w:t xml:space="preserve">agnetic </w:t>
      </w:r>
      <w:r w:rsidR="00F6520F" w:rsidRPr="00E35F4D">
        <w:rPr>
          <w:sz w:val="20"/>
          <w:szCs w:val="20"/>
          <w:lang w:bidi="ar-SA"/>
        </w:rPr>
        <w:t>r</w:t>
      </w:r>
      <w:r w:rsidR="00C54366" w:rsidRPr="00E35F4D">
        <w:rPr>
          <w:sz w:val="20"/>
          <w:szCs w:val="20"/>
          <w:lang w:bidi="ar-SA"/>
        </w:rPr>
        <w:t xml:space="preserve">esonance </w:t>
      </w:r>
      <w:r w:rsidR="00F6520F" w:rsidRPr="00E35F4D">
        <w:rPr>
          <w:sz w:val="20"/>
          <w:szCs w:val="20"/>
          <w:lang w:bidi="ar-SA"/>
        </w:rPr>
        <w:t>i</w:t>
      </w:r>
      <w:r w:rsidR="00C54366" w:rsidRPr="00E35F4D">
        <w:rPr>
          <w:sz w:val="20"/>
          <w:szCs w:val="20"/>
          <w:lang w:bidi="ar-SA"/>
        </w:rPr>
        <w:t>maging–</w:t>
      </w:r>
      <w:r w:rsidR="00F6520F" w:rsidRPr="00E35F4D">
        <w:rPr>
          <w:sz w:val="20"/>
          <w:szCs w:val="20"/>
          <w:lang w:bidi="ar-SA"/>
        </w:rPr>
        <w:t>defined p</w:t>
      </w:r>
      <w:r w:rsidR="00C54366" w:rsidRPr="00E35F4D">
        <w:rPr>
          <w:sz w:val="20"/>
          <w:szCs w:val="20"/>
          <w:lang w:bidi="ar-SA"/>
        </w:rPr>
        <w:t>oor-</w:t>
      </w:r>
      <w:r w:rsidR="00F6520F" w:rsidRPr="00E35F4D">
        <w:rPr>
          <w:sz w:val="20"/>
          <w:szCs w:val="20"/>
          <w:lang w:bidi="ar-SA"/>
        </w:rPr>
        <w:t>r</w:t>
      </w:r>
      <w:r w:rsidR="00C54366" w:rsidRPr="00E35F4D">
        <w:rPr>
          <w:sz w:val="20"/>
          <w:szCs w:val="20"/>
          <w:lang w:bidi="ar-SA"/>
        </w:rPr>
        <w:t xml:space="preserve">isk </w:t>
      </w:r>
      <w:r w:rsidR="00F6520F" w:rsidRPr="00E35F4D">
        <w:rPr>
          <w:sz w:val="20"/>
          <w:szCs w:val="20"/>
          <w:lang w:bidi="ar-SA"/>
        </w:rPr>
        <w:t>r</w:t>
      </w:r>
      <w:r w:rsidR="00C54366" w:rsidRPr="00E35F4D">
        <w:rPr>
          <w:sz w:val="20"/>
          <w:szCs w:val="20"/>
          <w:lang w:bidi="ar-SA"/>
        </w:rPr>
        <w:t xml:space="preserve">ectal </w:t>
      </w:r>
      <w:r w:rsidR="00F6520F" w:rsidRPr="00E35F4D">
        <w:rPr>
          <w:sz w:val="20"/>
          <w:szCs w:val="20"/>
          <w:lang w:bidi="ar-SA"/>
        </w:rPr>
        <w:t>c</w:t>
      </w:r>
      <w:r w:rsidR="00C54366" w:rsidRPr="00E35F4D">
        <w:rPr>
          <w:sz w:val="20"/>
          <w:szCs w:val="20"/>
          <w:lang w:bidi="ar-SA"/>
        </w:rPr>
        <w:t xml:space="preserve">ancer. J </w:t>
      </w:r>
      <w:proofErr w:type="spellStart"/>
      <w:r w:rsidR="00C54366" w:rsidRPr="00E35F4D">
        <w:rPr>
          <w:sz w:val="20"/>
          <w:szCs w:val="20"/>
          <w:lang w:bidi="ar-SA"/>
        </w:rPr>
        <w:t>Clin</w:t>
      </w:r>
      <w:proofErr w:type="spellEnd"/>
      <w:r w:rsidR="00C54366" w:rsidRPr="00E35F4D">
        <w:rPr>
          <w:sz w:val="20"/>
          <w:szCs w:val="20"/>
          <w:lang w:bidi="ar-SA"/>
        </w:rPr>
        <w:t xml:space="preserve"> </w:t>
      </w:r>
      <w:proofErr w:type="spellStart"/>
      <w:r w:rsidR="00C54366" w:rsidRPr="00E35F4D">
        <w:rPr>
          <w:sz w:val="20"/>
          <w:szCs w:val="20"/>
          <w:lang w:bidi="ar-SA"/>
        </w:rPr>
        <w:t>Oncol</w:t>
      </w:r>
      <w:proofErr w:type="spellEnd"/>
      <w:r w:rsidR="00C34888" w:rsidRPr="00E35F4D">
        <w:rPr>
          <w:sz w:val="20"/>
          <w:szCs w:val="20"/>
          <w:lang w:bidi="ar-SA"/>
        </w:rPr>
        <w:t>,</w:t>
      </w:r>
      <w:r w:rsidR="00C54366" w:rsidRPr="00E35F4D">
        <w:rPr>
          <w:sz w:val="20"/>
          <w:szCs w:val="20"/>
          <w:lang w:bidi="ar-SA"/>
        </w:rPr>
        <w:t xml:space="preserve"> 2006; 24</w:t>
      </w:r>
      <w:r w:rsidR="00F6520F" w:rsidRPr="00E35F4D">
        <w:rPr>
          <w:sz w:val="20"/>
          <w:szCs w:val="20"/>
          <w:lang w:bidi="ar-SA"/>
        </w:rPr>
        <w:t>(4)</w:t>
      </w:r>
      <w:r w:rsidR="00C54366" w:rsidRPr="00E35F4D">
        <w:rPr>
          <w:sz w:val="20"/>
          <w:szCs w:val="20"/>
          <w:lang w:bidi="ar-SA"/>
        </w:rPr>
        <w:t>:</w:t>
      </w:r>
      <w:r w:rsidR="0083443E" w:rsidRPr="00E35F4D">
        <w:rPr>
          <w:sz w:val="20"/>
          <w:szCs w:val="20"/>
          <w:lang w:bidi="ar-SA"/>
        </w:rPr>
        <w:t xml:space="preserve"> </w:t>
      </w:r>
      <w:r w:rsidR="00C54366" w:rsidRPr="00E35F4D">
        <w:rPr>
          <w:sz w:val="20"/>
          <w:szCs w:val="20"/>
          <w:lang w:bidi="ar-SA"/>
        </w:rPr>
        <w:t>668-74.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C</w:t>
      </w:r>
      <w:r w:rsidR="00991534" w:rsidRPr="00E35F4D">
        <w:rPr>
          <w:sz w:val="20"/>
          <w:szCs w:val="20"/>
          <w:lang w:bidi="ar-SA"/>
        </w:rPr>
        <w:t>hua</w:t>
      </w:r>
      <w:r w:rsidR="00C77C83" w:rsidRPr="00E35F4D">
        <w:rPr>
          <w:sz w:val="20"/>
          <w:szCs w:val="20"/>
          <w:lang w:bidi="ar-SA"/>
        </w:rPr>
        <w:t xml:space="preserve"> YJ</w:t>
      </w:r>
      <w:r w:rsidR="00991534" w:rsidRPr="00E35F4D">
        <w:rPr>
          <w:sz w:val="20"/>
          <w:szCs w:val="20"/>
          <w:lang w:bidi="ar-SA"/>
        </w:rPr>
        <w:t xml:space="preserve">, </w:t>
      </w:r>
      <w:proofErr w:type="spellStart"/>
      <w:r w:rsidR="00991534" w:rsidRPr="00E35F4D">
        <w:rPr>
          <w:sz w:val="20"/>
          <w:szCs w:val="20"/>
          <w:lang w:bidi="ar-SA"/>
        </w:rPr>
        <w:t>Barbachano</w:t>
      </w:r>
      <w:proofErr w:type="spellEnd"/>
      <w:r w:rsidR="00C77C83" w:rsidRPr="00E35F4D">
        <w:rPr>
          <w:sz w:val="20"/>
          <w:szCs w:val="20"/>
          <w:lang w:bidi="ar-SA"/>
        </w:rPr>
        <w:t xml:space="preserve"> Y</w:t>
      </w:r>
      <w:r w:rsidR="00991534" w:rsidRPr="00E35F4D">
        <w:rPr>
          <w:sz w:val="20"/>
          <w:szCs w:val="20"/>
          <w:lang w:bidi="ar-SA"/>
        </w:rPr>
        <w:t>, Cunningham</w:t>
      </w:r>
      <w:r w:rsidR="00C77C83" w:rsidRPr="00E35F4D">
        <w:rPr>
          <w:sz w:val="20"/>
          <w:szCs w:val="20"/>
          <w:lang w:bidi="ar-SA"/>
        </w:rPr>
        <w:t xml:space="preserve"> D</w:t>
      </w:r>
      <w:r w:rsidR="00C34888" w:rsidRPr="00E35F4D">
        <w:rPr>
          <w:sz w:val="20"/>
          <w:szCs w:val="20"/>
          <w:lang w:bidi="ar-SA"/>
        </w:rPr>
        <w:t>,</w:t>
      </w:r>
      <w:r w:rsidR="00991534" w:rsidRPr="00E35F4D">
        <w:rPr>
          <w:sz w:val="20"/>
          <w:szCs w:val="20"/>
          <w:lang w:bidi="ar-SA"/>
        </w:rPr>
        <w:t xml:space="preserve"> </w:t>
      </w:r>
      <w:r w:rsidR="00C34888" w:rsidRPr="00E35F4D">
        <w:rPr>
          <w:color w:val="000000"/>
          <w:sz w:val="20"/>
          <w:szCs w:val="20"/>
        </w:rPr>
        <w:t>Oates JR,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C34888" w:rsidRPr="00E35F4D">
        <w:rPr>
          <w:color w:val="000000"/>
          <w:sz w:val="20"/>
          <w:szCs w:val="20"/>
        </w:rPr>
        <w:t>Brown G,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C34888" w:rsidRPr="00E35F4D">
        <w:rPr>
          <w:color w:val="000000"/>
          <w:sz w:val="20"/>
          <w:szCs w:val="20"/>
        </w:rPr>
        <w:t>Wotherspoon</w:t>
      </w:r>
      <w:proofErr w:type="spellEnd"/>
      <w:r w:rsidR="00C34888" w:rsidRPr="00E35F4D">
        <w:rPr>
          <w:color w:val="000000"/>
          <w:sz w:val="20"/>
          <w:szCs w:val="20"/>
        </w:rPr>
        <w:t xml:space="preserve"> A,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r w:rsidR="00C34888" w:rsidRPr="00E35F4D">
        <w:rPr>
          <w:rStyle w:val="apple-converted-space"/>
          <w:color w:val="000000"/>
          <w:sz w:val="20"/>
          <w:szCs w:val="20"/>
        </w:rPr>
        <w:t>et al</w:t>
      </w:r>
      <w:r w:rsidR="00C34888" w:rsidRPr="00E35F4D">
        <w:rPr>
          <w:color w:val="000000"/>
          <w:sz w:val="20"/>
          <w:szCs w:val="20"/>
        </w:rPr>
        <w:t xml:space="preserve">.: </w:t>
      </w:r>
      <w:proofErr w:type="spellStart"/>
      <w:r w:rsidR="00991534" w:rsidRPr="00E35F4D">
        <w:rPr>
          <w:sz w:val="20"/>
          <w:szCs w:val="20"/>
          <w:lang w:bidi="ar-SA"/>
        </w:rPr>
        <w:t>Neoadjuvant</w:t>
      </w:r>
      <w:proofErr w:type="spellEnd"/>
      <w:r w:rsidR="00991534" w:rsidRPr="00E35F4D">
        <w:rPr>
          <w:sz w:val="20"/>
          <w:szCs w:val="20"/>
          <w:lang w:bidi="ar-SA"/>
        </w:rPr>
        <w:t xml:space="preserve"> </w:t>
      </w:r>
      <w:proofErr w:type="spellStart"/>
      <w:r w:rsidR="00991534" w:rsidRPr="00E35F4D">
        <w:rPr>
          <w:sz w:val="20"/>
          <w:szCs w:val="20"/>
          <w:lang w:bidi="ar-SA"/>
        </w:rPr>
        <w:t>capecitabine</w:t>
      </w:r>
      <w:proofErr w:type="spellEnd"/>
      <w:r w:rsidR="00991534" w:rsidRPr="00E35F4D">
        <w:rPr>
          <w:sz w:val="20"/>
          <w:szCs w:val="20"/>
          <w:lang w:bidi="ar-SA"/>
        </w:rPr>
        <w:t xml:space="preserve"> and </w:t>
      </w:r>
      <w:proofErr w:type="spellStart"/>
      <w:r w:rsidR="00991534" w:rsidRPr="00E35F4D">
        <w:rPr>
          <w:sz w:val="20"/>
          <w:szCs w:val="20"/>
          <w:lang w:bidi="ar-SA"/>
        </w:rPr>
        <w:t>oxaliplatin</w:t>
      </w:r>
      <w:proofErr w:type="spellEnd"/>
      <w:r w:rsidR="00991534" w:rsidRPr="00E35F4D">
        <w:rPr>
          <w:sz w:val="20"/>
          <w:szCs w:val="20"/>
          <w:lang w:bidi="ar-SA"/>
        </w:rPr>
        <w:t xml:space="preserve"> before </w:t>
      </w:r>
      <w:proofErr w:type="spellStart"/>
      <w:r w:rsidR="00991534" w:rsidRPr="00E35F4D">
        <w:rPr>
          <w:sz w:val="20"/>
          <w:szCs w:val="20"/>
          <w:lang w:bidi="ar-SA"/>
        </w:rPr>
        <w:t>chemoradiotherapy</w:t>
      </w:r>
      <w:proofErr w:type="spellEnd"/>
      <w:r w:rsidR="00991534" w:rsidRPr="00E35F4D">
        <w:rPr>
          <w:sz w:val="20"/>
          <w:szCs w:val="20"/>
          <w:lang w:bidi="ar-SA"/>
        </w:rPr>
        <w:t xml:space="preserve"> and total </w:t>
      </w:r>
      <w:proofErr w:type="spellStart"/>
      <w:r w:rsidR="00991534" w:rsidRPr="00E35F4D">
        <w:rPr>
          <w:sz w:val="20"/>
          <w:szCs w:val="20"/>
          <w:lang w:bidi="ar-SA"/>
        </w:rPr>
        <w:t>mesorectal</w:t>
      </w:r>
      <w:proofErr w:type="spellEnd"/>
      <w:r w:rsidR="00991534" w:rsidRPr="00E35F4D">
        <w:rPr>
          <w:sz w:val="20"/>
          <w:szCs w:val="20"/>
          <w:lang w:bidi="ar-SA"/>
        </w:rPr>
        <w:t xml:space="preserve"> excision in MRI-defined poor-risk rectal cancer: a phase 2 trial</w:t>
      </w:r>
      <w:r w:rsidR="00C77C83" w:rsidRPr="00E35F4D">
        <w:rPr>
          <w:sz w:val="20"/>
          <w:szCs w:val="20"/>
          <w:lang w:bidi="ar-SA"/>
        </w:rPr>
        <w:t>.</w:t>
      </w:r>
      <w:r w:rsidR="00991534" w:rsidRPr="00E35F4D">
        <w:rPr>
          <w:sz w:val="20"/>
          <w:szCs w:val="20"/>
          <w:lang w:bidi="ar-SA"/>
        </w:rPr>
        <w:t xml:space="preserve"> Lancet </w:t>
      </w:r>
      <w:proofErr w:type="spellStart"/>
      <w:r w:rsidR="00991534" w:rsidRPr="00E35F4D">
        <w:rPr>
          <w:sz w:val="20"/>
          <w:szCs w:val="20"/>
          <w:lang w:bidi="ar-SA"/>
        </w:rPr>
        <w:t>Oncol</w:t>
      </w:r>
      <w:proofErr w:type="spellEnd"/>
      <w:r w:rsidR="00C34888" w:rsidRPr="00E35F4D">
        <w:rPr>
          <w:sz w:val="20"/>
          <w:szCs w:val="20"/>
          <w:lang w:bidi="ar-SA"/>
        </w:rPr>
        <w:t>,</w:t>
      </w:r>
      <w:r w:rsidR="00C77C83" w:rsidRPr="00E35F4D">
        <w:rPr>
          <w:sz w:val="20"/>
          <w:szCs w:val="20"/>
          <w:lang w:bidi="ar-SA"/>
        </w:rPr>
        <w:t xml:space="preserve"> 2010;</w:t>
      </w:r>
      <w:r w:rsidR="00991534" w:rsidRPr="00E35F4D">
        <w:rPr>
          <w:sz w:val="20"/>
          <w:szCs w:val="20"/>
          <w:lang w:bidi="ar-SA"/>
        </w:rPr>
        <w:t xml:space="preserve"> 11</w:t>
      </w:r>
      <w:r w:rsidR="00C77C83" w:rsidRPr="00E35F4D">
        <w:rPr>
          <w:sz w:val="20"/>
          <w:szCs w:val="20"/>
          <w:lang w:bidi="ar-SA"/>
        </w:rPr>
        <w:t>(3):</w:t>
      </w:r>
      <w:r w:rsidR="00C34888" w:rsidRPr="00E35F4D">
        <w:rPr>
          <w:sz w:val="20"/>
          <w:szCs w:val="20"/>
          <w:lang w:bidi="ar-SA"/>
        </w:rPr>
        <w:t xml:space="preserve"> 241–</w:t>
      </w:r>
      <w:r w:rsidR="00991534" w:rsidRPr="00E35F4D">
        <w:rPr>
          <w:sz w:val="20"/>
          <w:szCs w:val="20"/>
          <w:lang w:bidi="ar-SA"/>
        </w:rPr>
        <w:t>8</w:t>
      </w:r>
      <w:r w:rsidR="00C77C83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pStyle w:val="Heading1"/>
        <w:keepNext w:val="0"/>
        <w:numPr>
          <w:ilvl w:val="1"/>
          <w:numId w:val="16"/>
        </w:numPr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E</w:t>
      </w:r>
      <w:r w:rsidR="004D4284" w:rsidRPr="00E35F4D">
        <w:rPr>
          <w:sz w:val="20"/>
          <w:szCs w:val="20"/>
        </w:rPr>
        <w:t>dge SB</w:t>
      </w:r>
      <w:r w:rsidR="000B2A5F" w:rsidRPr="00E35F4D">
        <w:rPr>
          <w:sz w:val="20"/>
          <w:szCs w:val="20"/>
        </w:rPr>
        <w:t xml:space="preserve">, </w:t>
      </w:r>
      <w:r w:rsidR="004D4284" w:rsidRPr="00E35F4D">
        <w:rPr>
          <w:sz w:val="20"/>
          <w:szCs w:val="20"/>
        </w:rPr>
        <w:t>Compton CC</w:t>
      </w:r>
      <w:r w:rsidR="00C34888" w:rsidRPr="00E35F4D">
        <w:rPr>
          <w:sz w:val="20"/>
          <w:szCs w:val="20"/>
        </w:rPr>
        <w:t>:</w:t>
      </w:r>
      <w:r w:rsidR="004D4284" w:rsidRPr="00E35F4D">
        <w:rPr>
          <w:sz w:val="20"/>
          <w:szCs w:val="20"/>
        </w:rPr>
        <w:t xml:space="preserve"> The American Joint Committee on Cancer: the 7th edition of the AJCC cancer staging manual and the future of TNM.</w:t>
      </w:r>
      <w:r w:rsidR="00555A07" w:rsidRPr="00E35F4D">
        <w:rPr>
          <w:sz w:val="20"/>
          <w:szCs w:val="20"/>
        </w:rPr>
        <w:t xml:space="preserve"> Ann </w:t>
      </w:r>
      <w:proofErr w:type="spellStart"/>
      <w:r w:rsidR="00555A07" w:rsidRPr="00E35F4D">
        <w:rPr>
          <w:sz w:val="20"/>
          <w:szCs w:val="20"/>
        </w:rPr>
        <w:t>Surg</w:t>
      </w:r>
      <w:proofErr w:type="spellEnd"/>
      <w:r w:rsidR="00555A07" w:rsidRPr="00E35F4D">
        <w:rPr>
          <w:sz w:val="20"/>
          <w:szCs w:val="20"/>
        </w:rPr>
        <w:t xml:space="preserve"> </w:t>
      </w:r>
      <w:proofErr w:type="spellStart"/>
      <w:r w:rsidR="00555A07" w:rsidRPr="00E35F4D">
        <w:rPr>
          <w:sz w:val="20"/>
          <w:szCs w:val="20"/>
        </w:rPr>
        <w:t>Oncol</w:t>
      </w:r>
      <w:proofErr w:type="spellEnd"/>
      <w:r w:rsidR="00C34888" w:rsidRPr="00E35F4D">
        <w:rPr>
          <w:sz w:val="20"/>
          <w:szCs w:val="20"/>
        </w:rPr>
        <w:t>,</w:t>
      </w:r>
      <w:r w:rsidR="00555A07" w:rsidRPr="00E35F4D">
        <w:rPr>
          <w:sz w:val="20"/>
          <w:szCs w:val="20"/>
        </w:rPr>
        <w:t xml:space="preserve"> 2010; 17(6):</w:t>
      </w:r>
      <w:r w:rsidR="0083443E" w:rsidRPr="00E35F4D">
        <w:rPr>
          <w:sz w:val="20"/>
          <w:szCs w:val="20"/>
        </w:rPr>
        <w:t xml:space="preserve"> </w:t>
      </w:r>
      <w:r w:rsidR="00555A07" w:rsidRPr="00E35F4D">
        <w:rPr>
          <w:sz w:val="20"/>
          <w:szCs w:val="20"/>
        </w:rPr>
        <w:t>1471-4.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color w:val="231F20"/>
          <w:sz w:val="20"/>
          <w:szCs w:val="20"/>
          <w:lang w:bidi="ar-SA"/>
        </w:rPr>
        <w:t>H</w:t>
      </w:r>
      <w:r w:rsidR="00A24423" w:rsidRPr="00E35F4D">
        <w:rPr>
          <w:color w:val="231F20"/>
          <w:sz w:val="20"/>
          <w:szCs w:val="20"/>
          <w:lang w:bidi="ar-SA"/>
        </w:rPr>
        <w:t>amilton SR</w:t>
      </w:r>
      <w:r w:rsidR="006D4118" w:rsidRPr="00E35F4D">
        <w:rPr>
          <w:color w:val="231F20"/>
          <w:sz w:val="20"/>
          <w:szCs w:val="20"/>
          <w:lang w:bidi="ar-SA"/>
        </w:rPr>
        <w:t>,</w:t>
      </w:r>
      <w:r w:rsidR="00A24423" w:rsidRPr="00E35F4D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6D4118" w:rsidRPr="00E35F4D">
        <w:rPr>
          <w:sz w:val="20"/>
          <w:szCs w:val="20"/>
          <w:lang w:bidi="ar-SA"/>
        </w:rPr>
        <w:t>Aaltonen</w:t>
      </w:r>
      <w:proofErr w:type="spellEnd"/>
      <w:r w:rsidR="006D4118" w:rsidRPr="00E35F4D">
        <w:rPr>
          <w:sz w:val="20"/>
          <w:szCs w:val="20"/>
          <w:lang w:bidi="ar-SA"/>
        </w:rPr>
        <w:t xml:space="preserve"> LA</w:t>
      </w:r>
      <w:r w:rsidR="00A24423" w:rsidRPr="00E35F4D">
        <w:rPr>
          <w:color w:val="231F20"/>
          <w:sz w:val="20"/>
          <w:szCs w:val="20"/>
          <w:lang w:bidi="ar-SA"/>
        </w:rPr>
        <w:t>.</w:t>
      </w:r>
      <w:r w:rsidR="000B2A5F" w:rsidRPr="00E35F4D">
        <w:rPr>
          <w:color w:val="231F20"/>
          <w:sz w:val="20"/>
          <w:szCs w:val="20"/>
          <w:lang w:bidi="ar-SA"/>
        </w:rPr>
        <w:t>:</w:t>
      </w:r>
      <w:r w:rsidR="00A24423" w:rsidRPr="00E35F4D">
        <w:rPr>
          <w:color w:val="231F20"/>
          <w:sz w:val="20"/>
          <w:szCs w:val="20"/>
          <w:lang w:bidi="ar-SA"/>
        </w:rPr>
        <w:t xml:space="preserve"> Pathology and genetics; tumors of the digestive system. IARC 2000; 110-111.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</w:rPr>
        <w:t>T</w:t>
      </w:r>
      <w:r w:rsidR="00940393" w:rsidRPr="00E35F4D">
        <w:rPr>
          <w:sz w:val="20"/>
          <w:szCs w:val="20"/>
        </w:rPr>
        <w:t>rotti</w:t>
      </w:r>
      <w:proofErr w:type="spellEnd"/>
      <w:r w:rsidR="00940393" w:rsidRPr="00E35F4D">
        <w:rPr>
          <w:sz w:val="20"/>
          <w:szCs w:val="20"/>
        </w:rPr>
        <w:t xml:space="preserve"> A, </w:t>
      </w:r>
      <w:proofErr w:type="spellStart"/>
      <w:r w:rsidR="00940393" w:rsidRPr="00E35F4D">
        <w:rPr>
          <w:sz w:val="20"/>
          <w:szCs w:val="20"/>
        </w:rPr>
        <w:t>Colevas</w:t>
      </w:r>
      <w:proofErr w:type="spellEnd"/>
      <w:r w:rsidR="00940393" w:rsidRPr="00E35F4D">
        <w:rPr>
          <w:sz w:val="20"/>
          <w:szCs w:val="20"/>
        </w:rPr>
        <w:t xml:space="preserve"> AD, </w:t>
      </w:r>
      <w:proofErr w:type="spellStart"/>
      <w:r w:rsidR="00940393" w:rsidRPr="00E35F4D">
        <w:rPr>
          <w:sz w:val="20"/>
          <w:szCs w:val="20"/>
        </w:rPr>
        <w:t>Setser</w:t>
      </w:r>
      <w:proofErr w:type="spellEnd"/>
      <w:r w:rsidR="00940393" w:rsidRPr="00E35F4D">
        <w:rPr>
          <w:sz w:val="20"/>
          <w:szCs w:val="20"/>
        </w:rPr>
        <w:t xml:space="preserve"> A, </w:t>
      </w:r>
      <w:proofErr w:type="spellStart"/>
      <w:r w:rsidR="00940393" w:rsidRPr="00E35F4D">
        <w:rPr>
          <w:sz w:val="20"/>
          <w:szCs w:val="20"/>
        </w:rPr>
        <w:t>Rusch</w:t>
      </w:r>
      <w:proofErr w:type="spellEnd"/>
      <w:r w:rsidR="00940393" w:rsidRPr="00E35F4D">
        <w:rPr>
          <w:sz w:val="20"/>
          <w:szCs w:val="20"/>
        </w:rPr>
        <w:t xml:space="preserve"> V, </w:t>
      </w:r>
      <w:proofErr w:type="spellStart"/>
      <w:r w:rsidR="00940393" w:rsidRPr="00E35F4D">
        <w:rPr>
          <w:sz w:val="20"/>
          <w:szCs w:val="20"/>
        </w:rPr>
        <w:t>Jaques</w:t>
      </w:r>
      <w:proofErr w:type="spellEnd"/>
      <w:r w:rsidR="00940393" w:rsidRPr="00E35F4D">
        <w:rPr>
          <w:sz w:val="20"/>
          <w:szCs w:val="20"/>
        </w:rPr>
        <w:t xml:space="preserve"> D, </w:t>
      </w:r>
      <w:proofErr w:type="spellStart"/>
      <w:r w:rsidR="00940393" w:rsidRPr="00E35F4D">
        <w:rPr>
          <w:sz w:val="20"/>
          <w:szCs w:val="20"/>
        </w:rPr>
        <w:t>Budach</w:t>
      </w:r>
      <w:proofErr w:type="spellEnd"/>
      <w:r w:rsidR="00940393" w:rsidRPr="00E35F4D">
        <w:rPr>
          <w:sz w:val="20"/>
          <w:szCs w:val="20"/>
        </w:rPr>
        <w:t xml:space="preserve"> V, et al.</w:t>
      </w:r>
      <w:r w:rsidR="004A5DB1" w:rsidRPr="00E35F4D">
        <w:rPr>
          <w:sz w:val="20"/>
          <w:szCs w:val="20"/>
        </w:rPr>
        <w:t>:</w:t>
      </w:r>
      <w:r w:rsidR="00940393" w:rsidRPr="00E35F4D">
        <w:rPr>
          <w:sz w:val="20"/>
          <w:szCs w:val="20"/>
        </w:rPr>
        <w:t xml:space="preserve"> CTCAE v3.0: development of a comprehensive grading system for the adverse effects of cancer treatment. </w:t>
      </w:r>
      <w:proofErr w:type="spellStart"/>
      <w:r w:rsidR="00940393" w:rsidRPr="00E35F4D">
        <w:rPr>
          <w:sz w:val="20"/>
          <w:szCs w:val="20"/>
        </w:rPr>
        <w:t>Semin</w:t>
      </w:r>
      <w:proofErr w:type="spellEnd"/>
      <w:r w:rsidR="00940393" w:rsidRPr="00E35F4D">
        <w:rPr>
          <w:sz w:val="20"/>
          <w:szCs w:val="20"/>
        </w:rPr>
        <w:t xml:space="preserve"> </w:t>
      </w:r>
      <w:proofErr w:type="spellStart"/>
      <w:r w:rsidR="00940393" w:rsidRPr="00E35F4D">
        <w:rPr>
          <w:sz w:val="20"/>
          <w:szCs w:val="20"/>
        </w:rPr>
        <w:t>Radia</w:t>
      </w:r>
      <w:r w:rsidR="004A5DB1" w:rsidRPr="00E35F4D">
        <w:rPr>
          <w:sz w:val="20"/>
          <w:szCs w:val="20"/>
        </w:rPr>
        <w:t>t</w:t>
      </w:r>
      <w:proofErr w:type="spellEnd"/>
      <w:r w:rsidR="004A5DB1" w:rsidRPr="00E35F4D">
        <w:rPr>
          <w:sz w:val="20"/>
          <w:szCs w:val="20"/>
        </w:rPr>
        <w:t xml:space="preserve"> </w:t>
      </w:r>
      <w:proofErr w:type="spellStart"/>
      <w:r w:rsidR="004A5DB1" w:rsidRPr="00E35F4D">
        <w:rPr>
          <w:sz w:val="20"/>
          <w:szCs w:val="20"/>
        </w:rPr>
        <w:t>Oncol</w:t>
      </w:r>
      <w:proofErr w:type="spellEnd"/>
      <w:r w:rsidR="004A5DB1" w:rsidRPr="00E35F4D">
        <w:rPr>
          <w:sz w:val="20"/>
          <w:szCs w:val="20"/>
        </w:rPr>
        <w:t xml:space="preserve">, </w:t>
      </w:r>
      <w:r w:rsidR="00940393" w:rsidRPr="00E35F4D">
        <w:rPr>
          <w:sz w:val="20"/>
          <w:szCs w:val="20"/>
        </w:rPr>
        <w:t>2003; 13</w:t>
      </w:r>
      <w:r w:rsidR="004A5DB1" w:rsidRPr="00E35F4D">
        <w:rPr>
          <w:sz w:val="20"/>
          <w:szCs w:val="20"/>
        </w:rPr>
        <w:t>(3)</w:t>
      </w:r>
      <w:r w:rsidR="00940393" w:rsidRPr="00E35F4D">
        <w:rPr>
          <w:sz w:val="20"/>
          <w:szCs w:val="20"/>
        </w:rPr>
        <w:t>:</w:t>
      </w:r>
      <w:r w:rsidR="0083443E" w:rsidRPr="00E35F4D">
        <w:rPr>
          <w:sz w:val="20"/>
          <w:szCs w:val="20"/>
        </w:rPr>
        <w:t xml:space="preserve"> </w:t>
      </w:r>
      <w:r w:rsidR="00940393" w:rsidRPr="00E35F4D">
        <w:rPr>
          <w:sz w:val="20"/>
          <w:szCs w:val="20"/>
        </w:rPr>
        <w:t>176-81.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E</w:t>
      </w:r>
      <w:r w:rsidR="00461C99" w:rsidRPr="00E35F4D">
        <w:rPr>
          <w:sz w:val="20"/>
          <w:szCs w:val="20"/>
          <w:lang w:bidi="ar-SA"/>
        </w:rPr>
        <w:t>isenhauer</w:t>
      </w:r>
      <w:proofErr w:type="spellEnd"/>
      <w:r w:rsidR="00461C99" w:rsidRPr="00E35F4D">
        <w:rPr>
          <w:sz w:val="20"/>
          <w:szCs w:val="20"/>
          <w:lang w:bidi="ar-SA"/>
        </w:rPr>
        <w:t xml:space="preserve"> EA, </w:t>
      </w:r>
      <w:proofErr w:type="spellStart"/>
      <w:r w:rsidR="00461C99" w:rsidRPr="00E35F4D">
        <w:rPr>
          <w:sz w:val="20"/>
          <w:szCs w:val="20"/>
          <w:lang w:bidi="ar-SA"/>
        </w:rPr>
        <w:t>Therasse</w:t>
      </w:r>
      <w:proofErr w:type="spellEnd"/>
      <w:r w:rsidR="00461C99" w:rsidRPr="00E35F4D">
        <w:rPr>
          <w:sz w:val="20"/>
          <w:szCs w:val="20"/>
          <w:lang w:bidi="ar-SA"/>
        </w:rPr>
        <w:t xml:space="preserve"> P, </w:t>
      </w:r>
      <w:proofErr w:type="spellStart"/>
      <w:r w:rsidR="00461C99" w:rsidRPr="00E35F4D">
        <w:rPr>
          <w:sz w:val="20"/>
          <w:szCs w:val="20"/>
          <w:lang w:bidi="ar-SA"/>
        </w:rPr>
        <w:t>Bogaerts</w:t>
      </w:r>
      <w:proofErr w:type="spellEnd"/>
      <w:r w:rsidR="00461C99" w:rsidRPr="00E35F4D">
        <w:rPr>
          <w:sz w:val="20"/>
          <w:szCs w:val="20"/>
          <w:lang w:bidi="ar-SA"/>
        </w:rPr>
        <w:t xml:space="preserve"> J, </w:t>
      </w:r>
      <w:r w:rsidR="005A0320" w:rsidRPr="00E35F4D">
        <w:rPr>
          <w:color w:val="000000"/>
          <w:sz w:val="20"/>
          <w:szCs w:val="20"/>
        </w:rPr>
        <w:t>Schwartz LH,</w:t>
      </w:r>
      <w:r w:rsidR="005A0320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5A0320" w:rsidRPr="00E35F4D">
        <w:rPr>
          <w:color w:val="000000"/>
          <w:sz w:val="20"/>
          <w:szCs w:val="20"/>
        </w:rPr>
        <w:t>Sargent</w:t>
      </w:r>
      <w:proofErr w:type="spellEnd"/>
      <w:r w:rsidR="005A0320" w:rsidRPr="00E35F4D">
        <w:rPr>
          <w:color w:val="000000"/>
          <w:sz w:val="20"/>
          <w:szCs w:val="20"/>
        </w:rPr>
        <w:t xml:space="preserve"> D,</w:t>
      </w:r>
      <w:r w:rsidR="005A0320" w:rsidRPr="00E35F4D">
        <w:rPr>
          <w:rStyle w:val="apple-converted-space"/>
          <w:color w:val="000000"/>
          <w:sz w:val="20"/>
          <w:szCs w:val="20"/>
        </w:rPr>
        <w:t> </w:t>
      </w:r>
      <w:proofErr w:type="gramStart"/>
      <w:r w:rsidR="005A0320" w:rsidRPr="00E35F4D">
        <w:rPr>
          <w:color w:val="000000"/>
          <w:sz w:val="20"/>
          <w:szCs w:val="20"/>
        </w:rPr>
        <w:t>Ford</w:t>
      </w:r>
      <w:proofErr w:type="gramEnd"/>
      <w:r w:rsidR="005A0320" w:rsidRPr="00E35F4D">
        <w:rPr>
          <w:color w:val="000000"/>
          <w:sz w:val="20"/>
          <w:szCs w:val="20"/>
        </w:rPr>
        <w:t xml:space="preserve"> R,</w:t>
      </w:r>
      <w:r w:rsidR="005A0320" w:rsidRPr="00E35F4D">
        <w:rPr>
          <w:rStyle w:val="apple-converted-space"/>
          <w:color w:val="000000"/>
          <w:sz w:val="20"/>
          <w:szCs w:val="20"/>
        </w:rPr>
        <w:t> </w:t>
      </w:r>
      <w:r w:rsidR="00461C99" w:rsidRPr="00E35F4D">
        <w:rPr>
          <w:sz w:val="20"/>
          <w:szCs w:val="20"/>
          <w:lang w:bidi="ar-SA"/>
        </w:rPr>
        <w:t>et al.</w:t>
      </w:r>
      <w:r w:rsidR="005A0320" w:rsidRPr="00E35F4D">
        <w:rPr>
          <w:sz w:val="20"/>
          <w:szCs w:val="20"/>
          <w:lang w:bidi="ar-SA"/>
        </w:rPr>
        <w:t>:</w:t>
      </w:r>
      <w:r w:rsidR="00461C99" w:rsidRPr="00E35F4D">
        <w:rPr>
          <w:sz w:val="20"/>
          <w:szCs w:val="20"/>
          <w:lang w:bidi="ar-SA"/>
        </w:rPr>
        <w:t xml:space="preserve"> New response evaluation criteria in solid </w:t>
      </w:r>
      <w:proofErr w:type="spellStart"/>
      <w:r w:rsidR="00461C99" w:rsidRPr="00E35F4D">
        <w:rPr>
          <w:sz w:val="20"/>
          <w:szCs w:val="20"/>
          <w:lang w:bidi="ar-SA"/>
        </w:rPr>
        <w:t>tumours</w:t>
      </w:r>
      <w:proofErr w:type="spellEnd"/>
      <w:r w:rsidR="00461C99" w:rsidRPr="00E35F4D">
        <w:rPr>
          <w:sz w:val="20"/>
          <w:szCs w:val="20"/>
          <w:lang w:bidi="ar-SA"/>
        </w:rPr>
        <w:t xml:space="preserve">: revised RECIST guideline (version 1.1). </w:t>
      </w:r>
      <w:proofErr w:type="spellStart"/>
      <w:r w:rsidR="00461C99" w:rsidRPr="00E35F4D">
        <w:rPr>
          <w:sz w:val="20"/>
          <w:szCs w:val="20"/>
          <w:lang w:bidi="ar-SA"/>
        </w:rPr>
        <w:t>Eur</w:t>
      </w:r>
      <w:proofErr w:type="spellEnd"/>
      <w:r w:rsidR="00461C99" w:rsidRPr="00E35F4D">
        <w:rPr>
          <w:sz w:val="20"/>
          <w:szCs w:val="20"/>
          <w:lang w:bidi="ar-SA"/>
        </w:rPr>
        <w:t xml:space="preserve"> J Cancer</w:t>
      </w:r>
      <w:r w:rsidR="005A0320" w:rsidRPr="00E35F4D">
        <w:rPr>
          <w:sz w:val="20"/>
          <w:szCs w:val="20"/>
          <w:lang w:bidi="ar-SA"/>
        </w:rPr>
        <w:t xml:space="preserve">, </w:t>
      </w:r>
      <w:r w:rsidR="00461C99" w:rsidRPr="00E35F4D">
        <w:rPr>
          <w:sz w:val="20"/>
          <w:szCs w:val="20"/>
          <w:lang w:bidi="ar-SA"/>
        </w:rPr>
        <w:t>2009; 45(2):</w:t>
      </w:r>
      <w:r w:rsidR="00461C99" w:rsidRPr="00E35F4D">
        <w:rPr>
          <w:sz w:val="20"/>
          <w:szCs w:val="20"/>
        </w:rPr>
        <w:t xml:space="preserve"> 228-47.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OfficinaSansLT-Book"/>
          <w:color w:val="131313"/>
          <w:sz w:val="20"/>
          <w:szCs w:val="20"/>
          <w:lang w:bidi="ar-SA"/>
        </w:rPr>
      </w:pPr>
      <w:proofErr w:type="spellStart"/>
      <w:r w:rsidRPr="00E35F4D">
        <w:rPr>
          <w:rFonts w:eastAsia="OfficinaSansLT-Book"/>
          <w:color w:val="131313"/>
          <w:sz w:val="20"/>
          <w:szCs w:val="20"/>
          <w:lang w:bidi="ar-SA"/>
        </w:rPr>
        <w:lastRenderedPageBreak/>
        <w:t>P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ahlman</w:t>
      </w:r>
      <w:proofErr w:type="spellEnd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L</w:t>
      </w:r>
      <w:r w:rsidR="000B2A5F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Glimelius</w:t>
      </w:r>
      <w:proofErr w:type="spellEnd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B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>: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Pre- or postoperative radiotherapy in rectal and </w:t>
      </w:r>
      <w:proofErr w:type="spellStart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rectosigmoid</w:t>
      </w:r>
      <w:proofErr w:type="spellEnd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carcinoma. Report from a randomized multicenter trial. Ann </w:t>
      </w:r>
      <w:proofErr w:type="spellStart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Surg</w:t>
      </w:r>
      <w:proofErr w:type="spellEnd"/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1990; 211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>(2)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: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187–95.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OfficinaSansLT-Book"/>
          <w:color w:val="131313"/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G</w:t>
      </w:r>
      <w:r w:rsidR="00C56699" w:rsidRPr="00E35F4D">
        <w:rPr>
          <w:sz w:val="20"/>
          <w:szCs w:val="20"/>
          <w:lang w:bidi="ar-SA"/>
        </w:rPr>
        <w:t>lynne</w:t>
      </w:r>
      <w:proofErr w:type="spellEnd"/>
      <w:r w:rsidR="00C56699" w:rsidRPr="00E35F4D">
        <w:rPr>
          <w:sz w:val="20"/>
          <w:szCs w:val="20"/>
          <w:lang w:bidi="ar-SA"/>
        </w:rPr>
        <w:t>-Jones R</w:t>
      </w:r>
      <w:r w:rsidR="000B2A5F" w:rsidRPr="00E35F4D">
        <w:rPr>
          <w:sz w:val="20"/>
          <w:szCs w:val="20"/>
          <w:lang w:bidi="ar-SA"/>
        </w:rPr>
        <w:t>,</w:t>
      </w:r>
      <w:r w:rsidR="00C56699" w:rsidRPr="00E35F4D">
        <w:rPr>
          <w:sz w:val="20"/>
          <w:szCs w:val="20"/>
          <w:lang w:bidi="ar-SA"/>
        </w:rPr>
        <w:t xml:space="preserve"> </w:t>
      </w:r>
      <w:proofErr w:type="spellStart"/>
      <w:r w:rsidR="00C56699" w:rsidRPr="00E35F4D">
        <w:rPr>
          <w:sz w:val="20"/>
          <w:szCs w:val="20"/>
          <w:lang w:bidi="ar-SA"/>
        </w:rPr>
        <w:t>Sebag-Montefiore</w:t>
      </w:r>
      <w:proofErr w:type="spellEnd"/>
      <w:r w:rsidR="00C56699" w:rsidRPr="00E35F4D">
        <w:rPr>
          <w:sz w:val="20"/>
          <w:szCs w:val="20"/>
          <w:lang w:bidi="ar-SA"/>
        </w:rPr>
        <w:t xml:space="preserve"> D</w:t>
      </w:r>
      <w:r w:rsidR="003726A2" w:rsidRPr="00E35F4D">
        <w:rPr>
          <w:sz w:val="20"/>
          <w:szCs w:val="20"/>
          <w:lang w:bidi="ar-SA"/>
        </w:rPr>
        <w:t>:</w:t>
      </w:r>
      <w:r w:rsidRPr="00E35F4D">
        <w:rPr>
          <w:sz w:val="20"/>
          <w:szCs w:val="20"/>
          <w:lang w:bidi="ar-SA"/>
        </w:rPr>
        <w:t xml:space="preserve"> </w:t>
      </w:r>
      <w:r w:rsidR="00C56699" w:rsidRPr="00E35F4D">
        <w:rPr>
          <w:sz w:val="20"/>
          <w:szCs w:val="20"/>
          <w:lang w:bidi="ar-SA"/>
        </w:rPr>
        <w:t xml:space="preserve">Role of </w:t>
      </w:r>
      <w:proofErr w:type="spellStart"/>
      <w:r w:rsidR="00C56699" w:rsidRPr="00E35F4D">
        <w:rPr>
          <w:sz w:val="20"/>
          <w:szCs w:val="20"/>
          <w:lang w:bidi="ar-SA"/>
        </w:rPr>
        <w:t>neoadjuvant</w:t>
      </w:r>
      <w:proofErr w:type="spellEnd"/>
      <w:r w:rsidR="00C56699" w:rsidRPr="00E35F4D">
        <w:rPr>
          <w:sz w:val="20"/>
          <w:szCs w:val="20"/>
          <w:lang w:bidi="ar-SA"/>
        </w:rPr>
        <w:t xml:space="preserve"> chemotherapy in rectal cancer: interpretation of the EXPERT study. J </w:t>
      </w:r>
      <w:proofErr w:type="spellStart"/>
      <w:r w:rsidR="00C56699" w:rsidRPr="00E35F4D">
        <w:rPr>
          <w:sz w:val="20"/>
          <w:szCs w:val="20"/>
          <w:lang w:bidi="ar-SA"/>
        </w:rPr>
        <w:t>Clin</w:t>
      </w:r>
      <w:proofErr w:type="spellEnd"/>
      <w:r w:rsidR="00C56699" w:rsidRPr="00E35F4D">
        <w:rPr>
          <w:sz w:val="20"/>
          <w:szCs w:val="20"/>
          <w:lang w:bidi="ar-SA"/>
        </w:rPr>
        <w:t xml:space="preserve"> </w:t>
      </w:r>
      <w:proofErr w:type="spellStart"/>
      <w:r w:rsidR="00C56699" w:rsidRPr="00E35F4D">
        <w:rPr>
          <w:sz w:val="20"/>
          <w:szCs w:val="20"/>
          <w:lang w:bidi="ar-SA"/>
        </w:rPr>
        <w:t>Oncol</w:t>
      </w:r>
      <w:proofErr w:type="spellEnd"/>
      <w:r w:rsidR="003726A2" w:rsidRPr="00E35F4D">
        <w:rPr>
          <w:sz w:val="20"/>
          <w:szCs w:val="20"/>
          <w:lang w:bidi="ar-SA"/>
        </w:rPr>
        <w:t>,</w:t>
      </w:r>
      <w:r w:rsidR="00C56699" w:rsidRPr="00E35F4D">
        <w:rPr>
          <w:sz w:val="20"/>
          <w:szCs w:val="20"/>
          <w:lang w:bidi="ar-SA"/>
        </w:rPr>
        <w:t xml:space="preserve"> 2006; 24</w:t>
      </w:r>
      <w:r w:rsidR="003726A2" w:rsidRPr="00E35F4D">
        <w:rPr>
          <w:sz w:val="20"/>
          <w:szCs w:val="20"/>
          <w:lang w:bidi="ar-SA"/>
        </w:rPr>
        <w:t>(28)</w:t>
      </w:r>
      <w:r w:rsidR="00C56699" w:rsidRPr="00E35F4D">
        <w:rPr>
          <w:sz w:val="20"/>
          <w:szCs w:val="20"/>
          <w:lang w:bidi="ar-SA"/>
        </w:rPr>
        <w:t>:</w:t>
      </w:r>
      <w:r w:rsidR="003726A2" w:rsidRPr="00E35F4D">
        <w:rPr>
          <w:sz w:val="20"/>
          <w:szCs w:val="20"/>
          <w:lang w:bidi="ar-SA"/>
        </w:rPr>
        <w:t xml:space="preserve"> 4664–</w:t>
      </w:r>
      <w:r w:rsidR="00C56699" w:rsidRPr="00E35F4D">
        <w:rPr>
          <w:sz w:val="20"/>
          <w:szCs w:val="20"/>
          <w:lang w:bidi="ar-SA"/>
        </w:rPr>
        <w:t>5</w:t>
      </w:r>
      <w:r w:rsidR="00C56699" w:rsidRPr="00E35F4D">
        <w:rPr>
          <w:rFonts w:eastAsia="OfficinaSansLT-Book"/>
          <w:color w:val="131313"/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S</w:t>
      </w:r>
      <w:r w:rsidR="00AF5F78" w:rsidRPr="00E35F4D">
        <w:rPr>
          <w:sz w:val="20"/>
          <w:szCs w:val="20"/>
          <w:lang w:bidi="ar-SA"/>
        </w:rPr>
        <w:t>chou</w:t>
      </w:r>
      <w:proofErr w:type="spellEnd"/>
      <w:r w:rsidR="00AF5F78" w:rsidRPr="00E35F4D">
        <w:rPr>
          <w:sz w:val="20"/>
          <w:szCs w:val="20"/>
          <w:lang w:bidi="ar-SA"/>
        </w:rPr>
        <w:t xml:space="preserve"> JV, Larsen FO, </w:t>
      </w:r>
      <w:proofErr w:type="spellStart"/>
      <w:r w:rsidR="00AF5F78" w:rsidRPr="00E35F4D">
        <w:rPr>
          <w:sz w:val="20"/>
          <w:szCs w:val="20"/>
          <w:lang w:bidi="ar-SA"/>
        </w:rPr>
        <w:t>Rasch</w:t>
      </w:r>
      <w:proofErr w:type="spellEnd"/>
      <w:r w:rsidR="00AF5F78" w:rsidRPr="00E35F4D">
        <w:rPr>
          <w:sz w:val="20"/>
          <w:szCs w:val="20"/>
          <w:lang w:bidi="ar-SA"/>
        </w:rPr>
        <w:t xml:space="preserve"> L, </w:t>
      </w:r>
      <w:proofErr w:type="spellStart"/>
      <w:r w:rsidR="00AF5F78" w:rsidRPr="00E35F4D">
        <w:rPr>
          <w:sz w:val="20"/>
          <w:szCs w:val="20"/>
          <w:lang w:bidi="ar-SA"/>
        </w:rPr>
        <w:t>Linnemann</w:t>
      </w:r>
      <w:proofErr w:type="spellEnd"/>
      <w:r w:rsidR="00AF5F78" w:rsidRPr="00E35F4D">
        <w:rPr>
          <w:sz w:val="20"/>
          <w:szCs w:val="20"/>
          <w:lang w:bidi="ar-SA"/>
        </w:rPr>
        <w:t xml:space="preserve"> D, </w:t>
      </w:r>
      <w:proofErr w:type="spellStart"/>
      <w:r w:rsidR="00AF5F78" w:rsidRPr="00E35F4D">
        <w:rPr>
          <w:sz w:val="20"/>
          <w:szCs w:val="20"/>
          <w:lang w:bidi="ar-SA"/>
        </w:rPr>
        <w:t>Langhoff</w:t>
      </w:r>
      <w:proofErr w:type="spellEnd"/>
      <w:r w:rsidR="00AF5F78" w:rsidRPr="00E35F4D">
        <w:rPr>
          <w:sz w:val="20"/>
          <w:szCs w:val="20"/>
          <w:lang w:bidi="ar-SA"/>
        </w:rPr>
        <w:t xml:space="preserve"> J, </w:t>
      </w:r>
      <w:proofErr w:type="spellStart"/>
      <w:proofErr w:type="gramStart"/>
      <w:r w:rsidR="00AF5F78" w:rsidRPr="00E35F4D">
        <w:rPr>
          <w:sz w:val="20"/>
          <w:szCs w:val="20"/>
          <w:lang w:bidi="ar-SA"/>
        </w:rPr>
        <w:t>Høgdall</w:t>
      </w:r>
      <w:proofErr w:type="spellEnd"/>
      <w:proofErr w:type="gramEnd"/>
      <w:r w:rsidR="00AF5F78" w:rsidRPr="00E35F4D">
        <w:rPr>
          <w:sz w:val="20"/>
          <w:szCs w:val="20"/>
          <w:lang w:bidi="ar-SA"/>
        </w:rPr>
        <w:t xml:space="preserve"> E, </w:t>
      </w:r>
      <w:r w:rsidR="00AF5F78" w:rsidRPr="00E35F4D">
        <w:rPr>
          <w:sz w:val="20"/>
          <w:szCs w:val="20"/>
        </w:rPr>
        <w:t>et al.</w:t>
      </w:r>
      <w:r w:rsidR="003726A2" w:rsidRPr="00E35F4D">
        <w:rPr>
          <w:sz w:val="20"/>
          <w:szCs w:val="20"/>
        </w:rPr>
        <w:t>:</w:t>
      </w:r>
      <w:r w:rsidR="00AF5F78" w:rsidRPr="00E35F4D">
        <w:rPr>
          <w:sz w:val="20"/>
          <w:szCs w:val="20"/>
          <w:lang w:bidi="ar-SA"/>
        </w:rPr>
        <w:t xml:space="preserve"> Induction chemotherapy with </w:t>
      </w:r>
      <w:proofErr w:type="spellStart"/>
      <w:r w:rsidR="00AF5F78" w:rsidRPr="00E35F4D">
        <w:rPr>
          <w:sz w:val="20"/>
          <w:szCs w:val="20"/>
          <w:lang w:bidi="ar-SA"/>
        </w:rPr>
        <w:t>capecitabine</w:t>
      </w:r>
      <w:proofErr w:type="spellEnd"/>
      <w:r w:rsidR="00AF5F78" w:rsidRPr="00E35F4D">
        <w:rPr>
          <w:sz w:val="20"/>
          <w:szCs w:val="20"/>
          <w:lang w:bidi="ar-SA"/>
        </w:rPr>
        <w:t xml:space="preserve"> and </w:t>
      </w:r>
      <w:proofErr w:type="spellStart"/>
      <w:r w:rsidR="00AF5F78" w:rsidRPr="00E35F4D">
        <w:rPr>
          <w:sz w:val="20"/>
          <w:szCs w:val="20"/>
          <w:lang w:bidi="ar-SA"/>
        </w:rPr>
        <w:t>oxaliplatin</w:t>
      </w:r>
      <w:proofErr w:type="spellEnd"/>
      <w:r w:rsidR="00AF5F78" w:rsidRPr="00E35F4D">
        <w:rPr>
          <w:sz w:val="20"/>
          <w:szCs w:val="20"/>
          <w:lang w:bidi="ar-SA"/>
        </w:rPr>
        <w:t xml:space="preserve"> followed by </w:t>
      </w:r>
      <w:proofErr w:type="spellStart"/>
      <w:r w:rsidR="00AF5F78" w:rsidRPr="00E35F4D">
        <w:rPr>
          <w:sz w:val="20"/>
          <w:szCs w:val="20"/>
          <w:lang w:bidi="ar-SA"/>
        </w:rPr>
        <w:t>chemoradiotherapy</w:t>
      </w:r>
      <w:proofErr w:type="spellEnd"/>
      <w:r w:rsidR="00AF5F78" w:rsidRPr="00E35F4D">
        <w:rPr>
          <w:sz w:val="20"/>
          <w:szCs w:val="20"/>
          <w:lang w:bidi="ar-SA"/>
        </w:rPr>
        <w:t xml:space="preserve"> before total </w:t>
      </w:r>
      <w:proofErr w:type="spellStart"/>
      <w:r w:rsidR="00AF5F78" w:rsidRPr="00E35F4D">
        <w:rPr>
          <w:sz w:val="20"/>
          <w:szCs w:val="20"/>
          <w:lang w:bidi="ar-SA"/>
        </w:rPr>
        <w:t>mesorectal</w:t>
      </w:r>
      <w:proofErr w:type="spellEnd"/>
      <w:r w:rsidR="00AF5F78" w:rsidRPr="00E35F4D">
        <w:rPr>
          <w:sz w:val="20"/>
          <w:szCs w:val="20"/>
          <w:lang w:bidi="ar-SA"/>
        </w:rPr>
        <w:t xml:space="preserve"> excision in patients with locally advanced rectal cancer. Ann </w:t>
      </w:r>
      <w:proofErr w:type="spellStart"/>
      <w:r w:rsidR="00AF5F78" w:rsidRPr="00E35F4D">
        <w:rPr>
          <w:sz w:val="20"/>
          <w:szCs w:val="20"/>
          <w:lang w:bidi="ar-SA"/>
        </w:rPr>
        <w:t>Oncol</w:t>
      </w:r>
      <w:proofErr w:type="spellEnd"/>
      <w:r w:rsidR="00AF5F78" w:rsidRPr="00E35F4D">
        <w:rPr>
          <w:sz w:val="20"/>
          <w:szCs w:val="20"/>
          <w:lang w:bidi="ar-SA"/>
        </w:rPr>
        <w:t xml:space="preserve"> 2012</w:t>
      </w:r>
      <w:r w:rsidR="003726A2" w:rsidRPr="00E35F4D">
        <w:rPr>
          <w:sz w:val="20"/>
          <w:szCs w:val="20"/>
          <w:lang w:bidi="ar-SA"/>
        </w:rPr>
        <w:t>; 23(10): 2627-3</w:t>
      </w:r>
      <w:r w:rsidRPr="00E35F4D">
        <w:rPr>
          <w:sz w:val="20"/>
          <w:szCs w:val="20"/>
          <w:lang w:bidi="ar-SA"/>
        </w:rPr>
        <w:t>3.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K</w:t>
      </w:r>
      <w:r w:rsidR="00797C47" w:rsidRPr="00E35F4D">
        <w:rPr>
          <w:sz w:val="20"/>
          <w:szCs w:val="20"/>
          <w:lang w:bidi="ar-SA"/>
        </w:rPr>
        <w:t>oeberle</w:t>
      </w:r>
      <w:proofErr w:type="spellEnd"/>
      <w:r w:rsidR="00797C47" w:rsidRPr="00E35F4D">
        <w:rPr>
          <w:sz w:val="20"/>
          <w:szCs w:val="20"/>
          <w:lang w:bidi="ar-SA"/>
        </w:rPr>
        <w:t xml:space="preserve"> D, </w:t>
      </w:r>
      <w:proofErr w:type="spellStart"/>
      <w:r w:rsidR="00797C47" w:rsidRPr="00E35F4D">
        <w:rPr>
          <w:sz w:val="20"/>
          <w:szCs w:val="20"/>
          <w:lang w:bidi="ar-SA"/>
        </w:rPr>
        <w:t>Burkhard</w:t>
      </w:r>
      <w:proofErr w:type="spellEnd"/>
      <w:r w:rsidR="00600B87" w:rsidRPr="00E35F4D">
        <w:rPr>
          <w:sz w:val="20"/>
          <w:szCs w:val="20"/>
          <w:lang w:bidi="ar-SA"/>
        </w:rPr>
        <w:t xml:space="preserve"> R</w:t>
      </w:r>
      <w:r w:rsidR="00797C47" w:rsidRPr="00E35F4D">
        <w:rPr>
          <w:sz w:val="20"/>
          <w:szCs w:val="20"/>
          <w:lang w:bidi="ar-SA"/>
        </w:rPr>
        <w:t>, von Moos</w:t>
      </w:r>
      <w:r w:rsidR="004A3468" w:rsidRPr="00E35F4D">
        <w:rPr>
          <w:sz w:val="20"/>
          <w:szCs w:val="20"/>
          <w:lang w:bidi="ar-SA"/>
        </w:rPr>
        <w:t xml:space="preserve"> R</w:t>
      </w:r>
      <w:r w:rsidR="00797C47" w:rsidRPr="00E35F4D">
        <w:rPr>
          <w:sz w:val="20"/>
          <w:szCs w:val="20"/>
          <w:lang w:bidi="ar-SA"/>
        </w:rPr>
        <w:t xml:space="preserve">, </w:t>
      </w:r>
      <w:proofErr w:type="spellStart"/>
      <w:r w:rsidR="00797C47" w:rsidRPr="00E35F4D">
        <w:rPr>
          <w:sz w:val="20"/>
          <w:szCs w:val="20"/>
          <w:lang w:bidi="ar-SA"/>
        </w:rPr>
        <w:t>Winterhalder</w:t>
      </w:r>
      <w:proofErr w:type="spellEnd"/>
      <w:r w:rsidR="004A3468" w:rsidRPr="00E35F4D">
        <w:rPr>
          <w:sz w:val="20"/>
          <w:szCs w:val="20"/>
          <w:lang w:bidi="ar-SA"/>
        </w:rPr>
        <w:t xml:space="preserve"> R</w:t>
      </w:r>
      <w:r w:rsidR="00797C47" w:rsidRPr="00E35F4D">
        <w:rPr>
          <w:sz w:val="20"/>
          <w:szCs w:val="20"/>
          <w:lang w:bidi="ar-SA"/>
        </w:rPr>
        <w:t>, Hess</w:t>
      </w:r>
      <w:r w:rsidR="004A3468" w:rsidRPr="00E35F4D">
        <w:rPr>
          <w:sz w:val="20"/>
          <w:szCs w:val="20"/>
          <w:lang w:bidi="ar-SA"/>
        </w:rPr>
        <w:t xml:space="preserve"> V</w:t>
      </w:r>
      <w:r w:rsidR="00797C47" w:rsidRPr="00E35F4D">
        <w:rPr>
          <w:sz w:val="20"/>
          <w:szCs w:val="20"/>
          <w:lang w:bidi="ar-SA"/>
        </w:rPr>
        <w:t xml:space="preserve">, </w:t>
      </w:r>
      <w:proofErr w:type="spellStart"/>
      <w:r w:rsidR="00797C47" w:rsidRPr="00E35F4D">
        <w:rPr>
          <w:sz w:val="20"/>
          <w:szCs w:val="20"/>
          <w:lang w:bidi="ar-SA"/>
        </w:rPr>
        <w:t>Heitzmann</w:t>
      </w:r>
      <w:proofErr w:type="spellEnd"/>
      <w:r w:rsidR="004A3468" w:rsidRPr="00E35F4D">
        <w:rPr>
          <w:sz w:val="20"/>
          <w:szCs w:val="20"/>
          <w:lang w:bidi="ar-SA"/>
        </w:rPr>
        <w:t xml:space="preserve"> F</w:t>
      </w:r>
      <w:r w:rsidR="00797C47" w:rsidRPr="00E35F4D">
        <w:rPr>
          <w:sz w:val="20"/>
          <w:szCs w:val="20"/>
          <w:lang w:bidi="ar-SA"/>
        </w:rPr>
        <w:t xml:space="preserve">, </w:t>
      </w:r>
      <w:r w:rsidR="004A3468" w:rsidRPr="00E35F4D">
        <w:rPr>
          <w:sz w:val="20"/>
          <w:szCs w:val="20"/>
        </w:rPr>
        <w:t>et al.</w:t>
      </w:r>
      <w:r w:rsidR="003726A2" w:rsidRPr="00E35F4D">
        <w:rPr>
          <w:sz w:val="20"/>
          <w:szCs w:val="20"/>
        </w:rPr>
        <w:t>:</w:t>
      </w:r>
      <w:r w:rsidR="00797C47" w:rsidRPr="00E35F4D">
        <w:rPr>
          <w:sz w:val="20"/>
          <w:szCs w:val="20"/>
          <w:lang w:bidi="ar-SA"/>
        </w:rPr>
        <w:t xml:space="preserve"> Phase II study of </w:t>
      </w:r>
      <w:proofErr w:type="spellStart"/>
      <w:r w:rsidR="00797C47" w:rsidRPr="00E35F4D">
        <w:rPr>
          <w:sz w:val="20"/>
          <w:szCs w:val="20"/>
          <w:lang w:bidi="ar-SA"/>
        </w:rPr>
        <w:t>capecitabine</w:t>
      </w:r>
      <w:proofErr w:type="spellEnd"/>
      <w:r w:rsidR="00797C47" w:rsidRPr="00E35F4D">
        <w:rPr>
          <w:sz w:val="20"/>
          <w:szCs w:val="20"/>
          <w:lang w:bidi="ar-SA"/>
        </w:rPr>
        <w:t xml:space="preserve"> and </w:t>
      </w:r>
      <w:proofErr w:type="spellStart"/>
      <w:r w:rsidR="00797C47" w:rsidRPr="00E35F4D">
        <w:rPr>
          <w:sz w:val="20"/>
          <w:szCs w:val="20"/>
          <w:lang w:bidi="ar-SA"/>
        </w:rPr>
        <w:t>oxaliplatin</w:t>
      </w:r>
      <w:proofErr w:type="spellEnd"/>
      <w:r w:rsidR="00797C47" w:rsidRPr="00E35F4D">
        <w:rPr>
          <w:sz w:val="20"/>
          <w:szCs w:val="20"/>
          <w:lang w:bidi="ar-SA"/>
        </w:rPr>
        <w:t xml:space="preserve"> given prior to and</w:t>
      </w:r>
      <w:r w:rsidR="004A3468" w:rsidRPr="00E35F4D">
        <w:rPr>
          <w:sz w:val="20"/>
          <w:szCs w:val="20"/>
          <w:lang w:bidi="ar-SA"/>
        </w:rPr>
        <w:t xml:space="preserve"> </w:t>
      </w:r>
      <w:r w:rsidR="00797C47" w:rsidRPr="00E35F4D">
        <w:rPr>
          <w:sz w:val="20"/>
          <w:szCs w:val="20"/>
          <w:lang w:bidi="ar-SA"/>
        </w:rPr>
        <w:t>concurrently with preoperative pelvic radiotherapy in patients</w:t>
      </w:r>
      <w:r w:rsidR="004A3468" w:rsidRPr="00E35F4D">
        <w:rPr>
          <w:sz w:val="20"/>
          <w:szCs w:val="20"/>
          <w:lang w:bidi="ar-SA"/>
        </w:rPr>
        <w:t xml:space="preserve"> </w:t>
      </w:r>
      <w:r w:rsidR="00797C47" w:rsidRPr="00E35F4D">
        <w:rPr>
          <w:sz w:val="20"/>
          <w:szCs w:val="20"/>
          <w:lang w:bidi="ar-SA"/>
        </w:rPr>
        <w:t>with locally advanced rectal cancer</w:t>
      </w:r>
      <w:r w:rsidR="004A3468" w:rsidRPr="00E35F4D">
        <w:rPr>
          <w:sz w:val="20"/>
          <w:szCs w:val="20"/>
          <w:lang w:bidi="ar-SA"/>
        </w:rPr>
        <w:t>.</w:t>
      </w:r>
      <w:r w:rsidR="00797C47" w:rsidRPr="00E35F4D">
        <w:rPr>
          <w:sz w:val="20"/>
          <w:szCs w:val="20"/>
          <w:lang w:bidi="ar-SA"/>
        </w:rPr>
        <w:t xml:space="preserve"> Br J Cancer</w:t>
      </w:r>
      <w:r w:rsidR="003726A2" w:rsidRPr="00E35F4D">
        <w:rPr>
          <w:sz w:val="20"/>
          <w:szCs w:val="20"/>
          <w:lang w:bidi="ar-SA"/>
        </w:rPr>
        <w:t>,</w:t>
      </w:r>
      <w:r w:rsidR="00797C47" w:rsidRPr="00E35F4D">
        <w:rPr>
          <w:sz w:val="20"/>
          <w:szCs w:val="20"/>
          <w:lang w:bidi="ar-SA"/>
        </w:rPr>
        <w:t xml:space="preserve"> 2008</w:t>
      </w:r>
      <w:r w:rsidR="00470E31" w:rsidRPr="00E35F4D">
        <w:rPr>
          <w:sz w:val="20"/>
          <w:szCs w:val="20"/>
          <w:lang w:bidi="ar-SA"/>
        </w:rPr>
        <w:t>;</w:t>
      </w:r>
      <w:r w:rsidR="00797C47" w:rsidRPr="00E35F4D">
        <w:rPr>
          <w:sz w:val="20"/>
          <w:szCs w:val="20"/>
          <w:lang w:bidi="ar-SA"/>
        </w:rPr>
        <w:t xml:space="preserve"> 98</w:t>
      </w:r>
      <w:r w:rsidR="003726A2" w:rsidRPr="00E35F4D">
        <w:rPr>
          <w:sz w:val="20"/>
          <w:szCs w:val="20"/>
          <w:lang w:bidi="ar-SA"/>
        </w:rPr>
        <w:t>(7)</w:t>
      </w:r>
      <w:r w:rsidR="00470E31" w:rsidRPr="00E35F4D">
        <w:rPr>
          <w:sz w:val="20"/>
          <w:szCs w:val="20"/>
          <w:lang w:bidi="ar-SA"/>
        </w:rPr>
        <w:t>:</w:t>
      </w:r>
      <w:r w:rsidR="00797C47" w:rsidRPr="00E35F4D">
        <w:rPr>
          <w:sz w:val="20"/>
          <w:szCs w:val="20"/>
          <w:lang w:bidi="ar-SA"/>
        </w:rPr>
        <w:t xml:space="preserve"> 1204–9.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F</w:t>
      </w:r>
      <w:r w:rsidR="008A3B3A" w:rsidRPr="00E35F4D">
        <w:rPr>
          <w:color w:val="000000"/>
          <w:sz w:val="20"/>
          <w:szCs w:val="20"/>
        </w:rPr>
        <w:t>ernández-Martos</w:t>
      </w:r>
      <w:proofErr w:type="spellEnd"/>
      <w:r w:rsidR="008A3B3A" w:rsidRPr="00E35F4D">
        <w:rPr>
          <w:color w:val="000000"/>
          <w:sz w:val="20"/>
          <w:szCs w:val="20"/>
        </w:rPr>
        <w:t xml:space="preserve"> C,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Pericay</w:t>
      </w:r>
      <w:proofErr w:type="spellEnd"/>
      <w:r w:rsidR="008A3B3A" w:rsidRPr="00E35F4D">
        <w:rPr>
          <w:color w:val="000000"/>
          <w:sz w:val="20"/>
          <w:szCs w:val="20"/>
        </w:rPr>
        <w:t xml:space="preserve"> C,</w:t>
      </w:r>
      <w:r w:rsidR="008A3B3A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A3B3A" w:rsidRPr="00E35F4D">
        <w:rPr>
          <w:color w:val="000000"/>
          <w:sz w:val="20"/>
          <w:szCs w:val="20"/>
        </w:rPr>
        <w:t>Aparicio</w:t>
      </w:r>
      <w:proofErr w:type="spellEnd"/>
      <w:r w:rsidR="008A3B3A" w:rsidRPr="00E35F4D">
        <w:rPr>
          <w:color w:val="000000"/>
          <w:sz w:val="20"/>
          <w:szCs w:val="20"/>
        </w:rPr>
        <w:t xml:space="preserve"> J,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0B2A5F" w:rsidRPr="00E35F4D">
        <w:rPr>
          <w:color w:val="000000"/>
          <w:sz w:val="20"/>
          <w:szCs w:val="20"/>
        </w:rPr>
        <w:t>Salud</w:t>
      </w:r>
      <w:proofErr w:type="spellEnd"/>
      <w:r w:rsidR="000B2A5F" w:rsidRPr="00E35F4D">
        <w:rPr>
          <w:color w:val="000000"/>
          <w:sz w:val="20"/>
          <w:szCs w:val="20"/>
        </w:rPr>
        <w:t xml:space="preserve"> A</w:t>
      </w:r>
      <w:r w:rsidR="008A3B3A" w:rsidRPr="00E35F4D">
        <w:rPr>
          <w:color w:val="000000"/>
          <w:sz w:val="20"/>
          <w:szCs w:val="20"/>
        </w:rPr>
        <w:t>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Safont</w:t>
      </w:r>
      <w:proofErr w:type="spellEnd"/>
      <w:r w:rsidR="008A3B3A" w:rsidRPr="00E35F4D">
        <w:rPr>
          <w:color w:val="000000"/>
          <w:sz w:val="20"/>
          <w:szCs w:val="20"/>
        </w:rPr>
        <w:t xml:space="preserve"> M,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proofErr w:type="gramStart"/>
      <w:r w:rsidR="008A3B3A" w:rsidRPr="00E35F4D">
        <w:rPr>
          <w:color w:val="000000"/>
          <w:sz w:val="20"/>
          <w:szCs w:val="20"/>
        </w:rPr>
        <w:t>Massuti</w:t>
      </w:r>
      <w:proofErr w:type="spellEnd"/>
      <w:proofErr w:type="gramEnd"/>
      <w:r w:rsidR="008A3B3A" w:rsidRPr="00E35F4D">
        <w:rPr>
          <w:color w:val="000000"/>
          <w:sz w:val="20"/>
          <w:szCs w:val="20"/>
        </w:rPr>
        <w:t xml:space="preserve"> B,</w:t>
      </w:r>
      <w:r w:rsidR="008A3B3A" w:rsidRPr="00E35F4D">
        <w:rPr>
          <w:rStyle w:val="apple-converted-space"/>
          <w:color w:val="000000"/>
          <w:sz w:val="20"/>
          <w:szCs w:val="20"/>
        </w:rPr>
        <w:t> et al.: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Phase II, randomized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study of concomitant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chemoradiotherapy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followed by surgery and adjuvant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capecitabine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plus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oxaliplatin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(CAPOX) compared with induction CAPOX followed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by concomitant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chemoradiotherapy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and surgery in magnetic resonance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imaging-defined, locally advanced rectal cancer: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Grupo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cancer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derecto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3 study. J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Clin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Oncol</w:t>
      </w:r>
      <w:proofErr w:type="spellEnd"/>
      <w:r w:rsidR="00BA395D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2010</w:t>
      </w:r>
      <w:r w:rsidR="00995B46" w:rsidRPr="00E35F4D">
        <w:rPr>
          <w:rFonts w:eastAsia="OfficinaSansLT-Book"/>
          <w:color w:val="131313"/>
          <w:sz w:val="20"/>
          <w:szCs w:val="20"/>
          <w:lang w:bidi="ar-SA"/>
        </w:rPr>
        <w:t>; 28</w:t>
      </w:r>
      <w:r w:rsidR="00BA395D" w:rsidRPr="00E35F4D">
        <w:rPr>
          <w:rFonts w:eastAsia="OfficinaSansLT-Book"/>
          <w:color w:val="131313"/>
          <w:sz w:val="20"/>
          <w:szCs w:val="20"/>
          <w:lang w:bidi="ar-SA"/>
        </w:rPr>
        <w:t>(5)</w:t>
      </w:r>
      <w:r w:rsidR="00995B46" w:rsidRPr="00E35F4D">
        <w:rPr>
          <w:rFonts w:eastAsia="OfficinaSansLT-Book"/>
          <w:color w:val="131313"/>
          <w:sz w:val="20"/>
          <w:szCs w:val="20"/>
          <w:lang w:bidi="ar-SA"/>
        </w:rPr>
        <w:t>:</w:t>
      </w:r>
      <w:r w:rsidR="0083443E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995B46" w:rsidRPr="00E35F4D">
        <w:rPr>
          <w:rFonts w:eastAsia="OfficinaSansLT-Book"/>
          <w:color w:val="131313"/>
          <w:sz w:val="20"/>
          <w:szCs w:val="20"/>
          <w:lang w:bidi="ar-SA"/>
        </w:rPr>
        <w:t>859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–65.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M</w:t>
      </w:r>
      <w:r w:rsidR="00265E9F" w:rsidRPr="00E35F4D">
        <w:rPr>
          <w:sz w:val="20"/>
          <w:szCs w:val="20"/>
          <w:lang w:bidi="ar-SA"/>
        </w:rPr>
        <w:t xml:space="preserve">aas M, </w:t>
      </w:r>
      <w:proofErr w:type="spellStart"/>
      <w:r w:rsidR="00265E9F" w:rsidRPr="00E35F4D">
        <w:rPr>
          <w:sz w:val="20"/>
          <w:szCs w:val="20"/>
          <w:lang w:bidi="ar-SA"/>
        </w:rPr>
        <w:t>Nelemans</w:t>
      </w:r>
      <w:proofErr w:type="spellEnd"/>
      <w:r w:rsidR="00265E9F" w:rsidRPr="00E35F4D">
        <w:rPr>
          <w:sz w:val="20"/>
          <w:szCs w:val="20"/>
          <w:lang w:bidi="ar-SA"/>
        </w:rPr>
        <w:t xml:space="preserve"> PJ, </w:t>
      </w:r>
      <w:proofErr w:type="spellStart"/>
      <w:r w:rsidR="00265E9F" w:rsidRPr="00E35F4D">
        <w:rPr>
          <w:sz w:val="20"/>
          <w:szCs w:val="20"/>
          <w:lang w:bidi="ar-SA"/>
        </w:rPr>
        <w:t>Valentini</w:t>
      </w:r>
      <w:proofErr w:type="spellEnd"/>
      <w:r w:rsidR="00265E9F" w:rsidRPr="00E35F4D">
        <w:rPr>
          <w:sz w:val="20"/>
          <w:szCs w:val="20"/>
          <w:lang w:bidi="ar-SA"/>
        </w:rPr>
        <w:t xml:space="preserve"> V</w:t>
      </w:r>
      <w:r w:rsidR="008A3B3A" w:rsidRPr="00E35F4D">
        <w:rPr>
          <w:sz w:val="20"/>
          <w:szCs w:val="20"/>
          <w:lang w:bidi="ar-SA"/>
        </w:rPr>
        <w:t>,</w:t>
      </w:r>
      <w:r w:rsidR="00265E9F" w:rsidRPr="00E35F4D">
        <w:rPr>
          <w:sz w:val="20"/>
          <w:szCs w:val="20"/>
          <w:lang w:bidi="ar-SA"/>
        </w:rPr>
        <w:t xml:space="preserve"> </w:t>
      </w:r>
      <w:r w:rsidR="008A3B3A" w:rsidRPr="00E35F4D">
        <w:rPr>
          <w:color w:val="000000"/>
          <w:sz w:val="20"/>
          <w:szCs w:val="20"/>
        </w:rPr>
        <w:t>Das P,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Rödel</w:t>
      </w:r>
      <w:proofErr w:type="spellEnd"/>
      <w:r w:rsidR="008A3B3A" w:rsidRPr="00E35F4D">
        <w:rPr>
          <w:color w:val="000000"/>
          <w:sz w:val="20"/>
          <w:szCs w:val="20"/>
        </w:rPr>
        <w:t xml:space="preserve"> C,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Kuo</w:t>
      </w:r>
      <w:proofErr w:type="spellEnd"/>
      <w:r w:rsidR="008A3B3A" w:rsidRPr="00E35F4D">
        <w:rPr>
          <w:color w:val="000000"/>
          <w:sz w:val="20"/>
          <w:szCs w:val="20"/>
        </w:rPr>
        <w:t xml:space="preserve"> LJ,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265E9F" w:rsidRPr="00E35F4D">
        <w:rPr>
          <w:sz w:val="20"/>
          <w:szCs w:val="20"/>
          <w:lang w:bidi="ar-SA"/>
        </w:rPr>
        <w:t>et al.</w:t>
      </w:r>
      <w:r w:rsidR="008A3B3A" w:rsidRPr="00E35F4D">
        <w:rPr>
          <w:sz w:val="20"/>
          <w:szCs w:val="20"/>
          <w:lang w:bidi="ar-SA"/>
        </w:rPr>
        <w:t>:</w:t>
      </w:r>
      <w:r w:rsidR="00265E9F" w:rsidRPr="00E35F4D">
        <w:rPr>
          <w:sz w:val="20"/>
          <w:szCs w:val="20"/>
          <w:lang w:bidi="ar-SA"/>
        </w:rPr>
        <w:t xml:space="preserve"> Long-term outcome in patients with</w:t>
      </w:r>
      <w:r w:rsidR="00D4682B" w:rsidRPr="00E35F4D">
        <w:rPr>
          <w:sz w:val="20"/>
          <w:szCs w:val="20"/>
          <w:lang w:bidi="ar-SA"/>
        </w:rPr>
        <w:t xml:space="preserve"> </w:t>
      </w:r>
      <w:r w:rsidR="00265E9F" w:rsidRPr="00E35F4D">
        <w:rPr>
          <w:sz w:val="20"/>
          <w:szCs w:val="20"/>
          <w:lang w:bidi="ar-SA"/>
        </w:rPr>
        <w:t xml:space="preserve">a pathological complete response after </w:t>
      </w:r>
      <w:proofErr w:type="spellStart"/>
      <w:r w:rsidR="00265E9F" w:rsidRPr="00E35F4D">
        <w:rPr>
          <w:sz w:val="20"/>
          <w:szCs w:val="20"/>
          <w:lang w:bidi="ar-SA"/>
        </w:rPr>
        <w:t>chemoradiation</w:t>
      </w:r>
      <w:proofErr w:type="spellEnd"/>
      <w:r w:rsidR="00265E9F" w:rsidRPr="00E35F4D">
        <w:rPr>
          <w:sz w:val="20"/>
          <w:szCs w:val="20"/>
          <w:lang w:bidi="ar-SA"/>
        </w:rPr>
        <w:t xml:space="preserve"> for rectal cancer:</w:t>
      </w:r>
      <w:r w:rsidR="00D4682B" w:rsidRPr="00E35F4D">
        <w:rPr>
          <w:sz w:val="20"/>
          <w:szCs w:val="20"/>
          <w:lang w:bidi="ar-SA"/>
        </w:rPr>
        <w:t xml:space="preserve"> </w:t>
      </w:r>
      <w:r w:rsidR="00265E9F" w:rsidRPr="00E35F4D">
        <w:rPr>
          <w:sz w:val="20"/>
          <w:szCs w:val="20"/>
          <w:lang w:bidi="ar-SA"/>
        </w:rPr>
        <w:t xml:space="preserve">a pooled analysis of individual patient data. Lancet </w:t>
      </w:r>
      <w:proofErr w:type="spellStart"/>
      <w:r w:rsidR="00265E9F" w:rsidRPr="00E35F4D">
        <w:rPr>
          <w:sz w:val="20"/>
          <w:szCs w:val="20"/>
          <w:lang w:bidi="ar-SA"/>
        </w:rPr>
        <w:t>Oncol</w:t>
      </w:r>
      <w:proofErr w:type="spellEnd"/>
      <w:r w:rsidR="008A3B3A" w:rsidRPr="00E35F4D">
        <w:rPr>
          <w:sz w:val="20"/>
          <w:szCs w:val="20"/>
          <w:lang w:bidi="ar-SA"/>
        </w:rPr>
        <w:t>,</w:t>
      </w:r>
      <w:r w:rsidR="00265E9F" w:rsidRPr="00E35F4D">
        <w:rPr>
          <w:sz w:val="20"/>
          <w:szCs w:val="20"/>
          <w:lang w:bidi="ar-SA"/>
        </w:rPr>
        <w:t xml:space="preserve"> 2010; 11</w:t>
      </w:r>
      <w:r w:rsidR="008A3B3A" w:rsidRPr="00E35F4D">
        <w:rPr>
          <w:sz w:val="20"/>
          <w:szCs w:val="20"/>
          <w:lang w:bidi="ar-SA"/>
        </w:rPr>
        <w:t>(9)</w:t>
      </w:r>
      <w:r w:rsidR="00265E9F" w:rsidRPr="00E35F4D">
        <w:rPr>
          <w:sz w:val="20"/>
          <w:szCs w:val="20"/>
          <w:lang w:bidi="ar-SA"/>
        </w:rPr>
        <w:t>: 835–44.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V</w:t>
      </w:r>
      <w:r w:rsidR="00564ACF" w:rsidRPr="00E35F4D">
        <w:rPr>
          <w:sz w:val="20"/>
          <w:szCs w:val="20"/>
          <w:lang w:bidi="ar-SA"/>
        </w:rPr>
        <w:t>alentini</w:t>
      </w:r>
      <w:proofErr w:type="spellEnd"/>
      <w:r w:rsidR="00564ACF" w:rsidRPr="00E35F4D">
        <w:rPr>
          <w:sz w:val="20"/>
          <w:szCs w:val="20"/>
          <w:lang w:bidi="ar-SA"/>
        </w:rPr>
        <w:t xml:space="preserve"> V, van </w:t>
      </w:r>
      <w:proofErr w:type="spellStart"/>
      <w:r w:rsidR="00564ACF" w:rsidRPr="00E35F4D">
        <w:rPr>
          <w:sz w:val="20"/>
          <w:szCs w:val="20"/>
          <w:lang w:bidi="ar-SA"/>
        </w:rPr>
        <w:t>Stiphout</w:t>
      </w:r>
      <w:proofErr w:type="spellEnd"/>
      <w:r w:rsidR="00564ACF" w:rsidRPr="00E35F4D">
        <w:rPr>
          <w:sz w:val="20"/>
          <w:szCs w:val="20"/>
          <w:lang w:bidi="ar-SA"/>
        </w:rPr>
        <w:t xml:space="preserve"> RG, </w:t>
      </w:r>
      <w:proofErr w:type="spellStart"/>
      <w:r w:rsidR="00564ACF" w:rsidRPr="00E35F4D">
        <w:rPr>
          <w:sz w:val="20"/>
          <w:szCs w:val="20"/>
          <w:lang w:bidi="ar-SA"/>
        </w:rPr>
        <w:t>Lammering</w:t>
      </w:r>
      <w:proofErr w:type="spellEnd"/>
      <w:r w:rsidR="00564ACF" w:rsidRPr="00E35F4D">
        <w:rPr>
          <w:sz w:val="20"/>
          <w:szCs w:val="20"/>
          <w:lang w:bidi="ar-SA"/>
        </w:rPr>
        <w:t xml:space="preserve"> G</w:t>
      </w:r>
      <w:r w:rsidR="0063112A" w:rsidRPr="00E35F4D">
        <w:rPr>
          <w:sz w:val="20"/>
          <w:szCs w:val="20"/>
          <w:lang w:bidi="ar-SA"/>
        </w:rPr>
        <w:t>,</w:t>
      </w:r>
      <w:r w:rsidR="00564ACF" w:rsidRPr="00E35F4D">
        <w:rPr>
          <w:sz w:val="20"/>
          <w:szCs w:val="20"/>
          <w:lang w:bidi="ar-SA"/>
        </w:rPr>
        <w:t xml:space="preserve"> </w:t>
      </w:r>
      <w:proofErr w:type="spellStart"/>
      <w:r w:rsidR="0063112A" w:rsidRPr="00E35F4D">
        <w:rPr>
          <w:color w:val="000000"/>
          <w:sz w:val="20"/>
          <w:szCs w:val="20"/>
        </w:rPr>
        <w:t>Gambacorta</w:t>
      </w:r>
      <w:proofErr w:type="spellEnd"/>
      <w:r w:rsidR="0063112A" w:rsidRPr="00E35F4D">
        <w:rPr>
          <w:color w:val="000000"/>
          <w:sz w:val="20"/>
          <w:szCs w:val="20"/>
        </w:rPr>
        <w:t xml:space="preserve"> MA,</w:t>
      </w:r>
      <w:r w:rsidR="0063112A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63112A" w:rsidRPr="00E35F4D">
        <w:rPr>
          <w:color w:val="000000"/>
          <w:sz w:val="20"/>
          <w:szCs w:val="20"/>
        </w:rPr>
        <w:t>Barba</w:t>
      </w:r>
      <w:proofErr w:type="spellEnd"/>
      <w:r w:rsidR="0063112A" w:rsidRPr="00E35F4D">
        <w:rPr>
          <w:color w:val="000000"/>
          <w:sz w:val="20"/>
          <w:szCs w:val="20"/>
        </w:rPr>
        <w:t xml:space="preserve"> MC,</w:t>
      </w:r>
      <w:r w:rsidR="0063112A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63112A" w:rsidRPr="00E35F4D">
        <w:rPr>
          <w:color w:val="000000"/>
          <w:sz w:val="20"/>
          <w:szCs w:val="20"/>
        </w:rPr>
        <w:t>Bebenek</w:t>
      </w:r>
      <w:proofErr w:type="spellEnd"/>
      <w:r w:rsidR="0063112A" w:rsidRPr="00E35F4D">
        <w:rPr>
          <w:color w:val="000000"/>
          <w:sz w:val="20"/>
          <w:szCs w:val="20"/>
        </w:rPr>
        <w:t xml:space="preserve"> M, </w:t>
      </w:r>
      <w:r w:rsidR="00564ACF" w:rsidRPr="00E35F4D">
        <w:rPr>
          <w:sz w:val="20"/>
          <w:szCs w:val="20"/>
          <w:lang w:bidi="ar-SA"/>
        </w:rPr>
        <w:t>et al.</w:t>
      </w:r>
      <w:r w:rsidR="0063112A" w:rsidRPr="00E35F4D">
        <w:rPr>
          <w:sz w:val="20"/>
          <w:szCs w:val="20"/>
          <w:lang w:bidi="ar-SA"/>
        </w:rPr>
        <w:t>:</w:t>
      </w:r>
      <w:r w:rsidR="00564ACF" w:rsidRPr="00E35F4D">
        <w:rPr>
          <w:sz w:val="20"/>
          <w:szCs w:val="20"/>
          <w:lang w:bidi="ar-SA"/>
        </w:rPr>
        <w:t xml:space="preserve"> </w:t>
      </w:r>
      <w:proofErr w:type="spellStart"/>
      <w:r w:rsidR="00564ACF" w:rsidRPr="00E35F4D">
        <w:rPr>
          <w:sz w:val="20"/>
          <w:szCs w:val="20"/>
          <w:lang w:bidi="ar-SA"/>
        </w:rPr>
        <w:t>Nomograms</w:t>
      </w:r>
      <w:proofErr w:type="spellEnd"/>
      <w:r w:rsidR="00564ACF" w:rsidRPr="00E35F4D">
        <w:rPr>
          <w:sz w:val="20"/>
          <w:szCs w:val="20"/>
          <w:lang w:bidi="ar-SA"/>
        </w:rPr>
        <w:t xml:space="preserve"> for predicting local</w:t>
      </w:r>
      <w:r w:rsidR="0009626A" w:rsidRPr="00E35F4D">
        <w:rPr>
          <w:sz w:val="20"/>
          <w:szCs w:val="20"/>
          <w:lang w:bidi="ar-SA"/>
        </w:rPr>
        <w:t xml:space="preserve"> </w:t>
      </w:r>
      <w:r w:rsidR="00564ACF" w:rsidRPr="00E35F4D">
        <w:rPr>
          <w:sz w:val="20"/>
          <w:szCs w:val="20"/>
          <w:lang w:bidi="ar-SA"/>
        </w:rPr>
        <w:t>recurrence, distant metastases, and overall survival for patients with locally</w:t>
      </w:r>
      <w:r w:rsidR="0009626A" w:rsidRPr="00E35F4D">
        <w:rPr>
          <w:sz w:val="20"/>
          <w:szCs w:val="20"/>
          <w:lang w:bidi="ar-SA"/>
        </w:rPr>
        <w:t xml:space="preserve"> </w:t>
      </w:r>
      <w:r w:rsidR="00564ACF" w:rsidRPr="00E35F4D">
        <w:rPr>
          <w:sz w:val="20"/>
          <w:szCs w:val="20"/>
          <w:lang w:bidi="ar-SA"/>
        </w:rPr>
        <w:t xml:space="preserve">advanced rectal cancer on the basis of European randomized clinical trials. J </w:t>
      </w:r>
      <w:proofErr w:type="spellStart"/>
      <w:r w:rsidR="00564ACF" w:rsidRPr="00E35F4D">
        <w:rPr>
          <w:sz w:val="20"/>
          <w:szCs w:val="20"/>
          <w:lang w:bidi="ar-SA"/>
        </w:rPr>
        <w:t>Clin</w:t>
      </w:r>
      <w:proofErr w:type="spellEnd"/>
      <w:r w:rsidR="0009626A" w:rsidRPr="00E35F4D">
        <w:rPr>
          <w:sz w:val="20"/>
          <w:szCs w:val="20"/>
          <w:lang w:bidi="ar-SA"/>
        </w:rPr>
        <w:t xml:space="preserve"> </w:t>
      </w:r>
      <w:proofErr w:type="spellStart"/>
      <w:r w:rsidR="00564ACF" w:rsidRPr="00E35F4D">
        <w:rPr>
          <w:sz w:val="20"/>
          <w:szCs w:val="20"/>
          <w:lang w:bidi="ar-SA"/>
        </w:rPr>
        <w:t>Oncol</w:t>
      </w:r>
      <w:proofErr w:type="spellEnd"/>
      <w:r w:rsidR="0063112A" w:rsidRPr="00E35F4D">
        <w:rPr>
          <w:sz w:val="20"/>
          <w:szCs w:val="20"/>
          <w:lang w:bidi="ar-SA"/>
        </w:rPr>
        <w:t>,</w:t>
      </w:r>
      <w:r w:rsidR="00564ACF" w:rsidRPr="00E35F4D">
        <w:rPr>
          <w:sz w:val="20"/>
          <w:szCs w:val="20"/>
          <w:lang w:bidi="ar-SA"/>
        </w:rPr>
        <w:t xml:space="preserve"> 2011; 29</w:t>
      </w:r>
      <w:r w:rsidR="0063112A" w:rsidRPr="00E35F4D">
        <w:rPr>
          <w:sz w:val="20"/>
          <w:szCs w:val="20"/>
          <w:lang w:bidi="ar-SA"/>
        </w:rPr>
        <w:t>(23)</w:t>
      </w:r>
      <w:r w:rsidR="00564ACF" w:rsidRPr="00E35F4D">
        <w:rPr>
          <w:sz w:val="20"/>
          <w:szCs w:val="20"/>
          <w:lang w:bidi="ar-SA"/>
        </w:rPr>
        <w:t>: 3163–72.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K</w:t>
      </w:r>
      <w:r w:rsidR="000B2A5F" w:rsidRPr="00E35F4D">
        <w:rPr>
          <w:sz w:val="20"/>
          <w:szCs w:val="20"/>
          <w:lang w:bidi="ar-SA"/>
        </w:rPr>
        <w:t>im C, Anne PR, Mitchell E</w:t>
      </w:r>
      <w:r w:rsidR="0083443E" w:rsidRPr="00E35F4D">
        <w:rPr>
          <w:sz w:val="20"/>
          <w:szCs w:val="20"/>
          <w:lang w:bidi="ar-SA"/>
        </w:rPr>
        <w:t xml:space="preserve">, </w:t>
      </w:r>
      <w:proofErr w:type="spellStart"/>
      <w:r w:rsidR="00442896" w:rsidRPr="00E35F4D">
        <w:rPr>
          <w:color w:val="333333"/>
          <w:sz w:val="20"/>
          <w:szCs w:val="20"/>
        </w:rPr>
        <w:t>Pequignot</w:t>
      </w:r>
      <w:proofErr w:type="spellEnd"/>
      <w:r w:rsidR="00442896" w:rsidRPr="00E35F4D">
        <w:rPr>
          <w:color w:val="333333"/>
          <w:sz w:val="20"/>
          <w:szCs w:val="20"/>
        </w:rPr>
        <w:t xml:space="preserve"> E, Palazzo J, Goldstein S, </w:t>
      </w:r>
      <w:r w:rsidR="0083443E" w:rsidRPr="00E35F4D">
        <w:rPr>
          <w:sz w:val="20"/>
          <w:szCs w:val="20"/>
          <w:lang w:bidi="ar-SA"/>
        </w:rPr>
        <w:t xml:space="preserve">et al.: </w:t>
      </w:r>
      <w:r w:rsidR="00F51292" w:rsidRPr="00E35F4D">
        <w:rPr>
          <w:sz w:val="20"/>
          <w:szCs w:val="20"/>
          <w:lang w:bidi="ar-SA"/>
        </w:rPr>
        <w:t>Impact of pretreatment size and lymph nodes on</w:t>
      </w:r>
      <w:r w:rsidR="007432A4" w:rsidRPr="00E35F4D">
        <w:rPr>
          <w:sz w:val="20"/>
          <w:szCs w:val="20"/>
          <w:lang w:bidi="ar-SA"/>
        </w:rPr>
        <w:t xml:space="preserve"> </w:t>
      </w:r>
      <w:r w:rsidR="00F51292" w:rsidRPr="00E35F4D">
        <w:rPr>
          <w:sz w:val="20"/>
          <w:szCs w:val="20"/>
          <w:lang w:bidi="ar-SA"/>
        </w:rPr>
        <w:t>pathological complete response and survival in a prospective trial of</w:t>
      </w:r>
      <w:r w:rsidR="007432A4" w:rsidRPr="00E35F4D">
        <w:rPr>
          <w:sz w:val="20"/>
          <w:szCs w:val="20"/>
          <w:lang w:bidi="ar-SA"/>
        </w:rPr>
        <w:t xml:space="preserve"> </w:t>
      </w:r>
      <w:proofErr w:type="spellStart"/>
      <w:r w:rsidR="00F51292" w:rsidRPr="00E35F4D">
        <w:rPr>
          <w:sz w:val="20"/>
          <w:szCs w:val="20"/>
          <w:lang w:bidi="ar-SA"/>
        </w:rPr>
        <w:t>chemoradiation</w:t>
      </w:r>
      <w:proofErr w:type="spellEnd"/>
      <w:r w:rsidR="00F51292" w:rsidRPr="00E35F4D">
        <w:rPr>
          <w:sz w:val="20"/>
          <w:szCs w:val="20"/>
          <w:lang w:bidi="ar-SA"/>
        </w:rPr>
        <w:t xml:space="preserve">. </w:t>
      </w:r>
      <w:proofErr w:type="spellStart"/>
      <w:r w:rsidR="00F51292" w:rsidRPr="00E35F4D">
        <w:rPr>
          <w:sz w:val="20"/>
          <w:szCs w:val="20"/>
          <w:lang w:bidi="ar-SA"/>
        </w:rPr>
        <w:t>Int</w:t>
      </w:r>
      <w:proofErr w:type="spellEnd"/>
      <w:r w:rsidR="00F51292" w:rsidRPr="00E35F4D">
        <w:rPr>
          <w:sz w:val="20"/>
          <w:szCs w:val="20"/>
          <w:lang w:bidi="ar-SA"/>
        </w:rPr>
        <w:t xml:space="preserve"> J </w:t>
      </w:r>
      <w:proofErr w:type="spellStart"/>
      <w:r w:rsidR="00F51292" w:rsidRPr="00E35F4D">
        <w:rPr>
          <w:sz w:val="20"/>
          <w:szCs w:val="20"/>
          <w:lang w:bidi="ar-SA"/>
        </w:rPr>
        <w:t>Radiat</w:t>
      </w:r>
      <w:proofErr w:type="spellEnd"/>
      <w:r w:rsidR="00F51292" w:rsidRPr="00E35F4D">
        <w:rPr>
          <w:sz w:val="20"/>
          <w:szCs w:val="20"/>
          <w:lang w:bidi="ar-SA"/>
        </w:rPr>
        <w:t xml:space="preserve"> </w:t>
      </w:r>
      <w:proofErr w:type="spellStart"/>
      <w:r w:rsidR="00F51292" w:rsidRPr="00E35F4D">
        <w:rPr>
          <w:sz w:val="20"/>
          <w:szCs w:val="20"/>
          <w:lang w:bidi="ar-SA"/>
        </w:rPr>
        <w:t>Oncol</w:t>
      </w:r>
      <w:proofErr w:type="spellEnd"/>
      <w:r w:rsidR="00F51292" w:rsidRPr="00E35F4D">
        <w:rPr>
          <w:sz w:val="20"/>
          <w:szCs w:val="20"/>
          <w:lang w:bidi="ar-SA"/>
        </w:rPr>
        <w:t xml:space="preserve"> </w:t>
      </w:r>
      <w:proofErr w:type="spellStart"/>
      <w:r w:rsidR="00F51292" w:rsidRPr="00E35F4D">
        <w:rPr>
          <w:sz w:val="20"/>
          <w:szCs w:val="20"/>
          <w:lang w:bidi="ar-SA"/>
        </w:rPr>
        <w:t>Biol</w:t>
      </w:r>
      <w:proofErr w:type="spellEnd"/>
      <w:r w:rsidR="00F51292" w:rsidRPr="00E35F4D">
        <w:rPr>
          <w:sz w:val="20"/>
          <w:szCs w:val="20"/>
          <w:lang w:bidi="ar-SA"/>
        </w:rPr>
        <w:t xml:space="preserve"> Phys 2005; 63(</w:t>
      </w:r>
      <w:proofErr w:type="spellStart"/>
      <w:r w:rsidR="00F51292" w:rsidRPr="00E35F4D">
        <w:rPr>
          <w:sz w:val="20"/>
          <w:szCs w:val="20"/>
          <w:lang w:bidi="ar-SA"/>
        </w:rPr>
        <w:t>Suppl</w:t>
      </w:r>
      <w:proofErr w:type="spellEnd"/>
      <w:r w:rsidR="000B2A5F" w:rsidRPr="00E35F4D">
        <w:rPr>
          <w:sz w:val="20"/>
          <w:szCs w:val="20"/>
          <w:lang w:bidi="ar-SA"/>
        </w:rPr>
        <w:t xml:space="preserve"> 1</w:t>
      </w:r>
      <w:r w:rsidR="00F51292" w:rsidRPr="00E35F4D">
        <w:rPr>
          <w:sz w:val="20"/>
          <w:szCs w:val="20"/>
          <w:lang w:bidi="ar-SA"/>
        </w:rPr>
        <w:t>): S164</w:t>
      </w:r>
      <w:r w:rsidR="0083443E" w:rsidRPr="00E35F4D">
        <w:rPr>
          <w:sz w:val="20"/>
          <w:szCs w:val="20"/>
          <w:lang w:bidi="ar-SA"/>
        </w:rPr>
        <w:t>-5</w:t>
      </w:r>
      <w:r w:rsidR="009B1AE2" w:rsidRPr="00E35F4D">
        <w:rPr>
          <w:sz w:val="20"/>
          <w:szCs w:val="20"/>
          <w:lang w:bidi="ar-SA"/>
        </w:rPr>
        <w:t>.</w:t>
      </w:r>
      <w:r w:rsidR="00E35F4D" w:rsidRPr="00E35F4D">
        <w:rPr>
          <w:rFonts w:hint="eastAsia"/>
          <w:sz w:val="20"/>
          <w:szCs w:val="20"/>
          <w:lang w:eastAsia="zh-CN" w:bidi="ar-SA"/>
        </w:rPr>
        <w:t xml:space="preserve"> </w:t>
      </w:r>
    </w:p>
    <w:p w:rsidR="002B2928" w:rsidRPr="00E35F4D" w:rsidRDefault="002B2928" w:rsidP="002B2928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  <w:sectPr w:rsidR="002B2928" w:rsidRPr="00E35F4D" w:rsidSect="002B2928">
          <w:headerReference w:type="default" r:id="rId25"/>
          <w:footerReference w:type="default" r:id="rId26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E424EE" w:rsidRPr="00E35F4D" w:rsidRDefault="00E424EE" w:rsidP="002B2928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</w:p>
    <w:p w:rsidR="009E3250" w:rsidRPr="00E35F4D" w:rsidRDefault="002B2928" w:rsidP="002B2928">
      <w:pPr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12/1</w:t>
      </w:r>
      <w:r w:rsidRPr="00E35F4D">
        <w:rPr>
          <w:rFonts w:hint="eastAsia"/>
          <w:sz w:val="20"/>
          <w:szCs w:val="20"/>
          <w:lang w:eastAsia="zh-CN"/>
        </w:rPr>
        <w:t>7</w:t>
      </w:r>
      <w:r w:rsidRPr="00E35F4D">
        <w:rPr>
          <w:sz w:val="20"/>
          <w:szCs w:val="20"/>
        </w:rPr>
        <w:t>/2016</w:t>
      </w:r>
    </w:p>
    <w:sectPr w:rsidR="009E3250" w:rsidRPr="00E35F4D" w:rsidSect="00BC5AB1">
      <w:headerReference w:type="default" r:id="rId27"/>
      <w:footerReference w:type="default" r:id="rId28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D6" w:rsidRDefault="003E41D6" w:rsidP="00CB1343">
      <w:r>
        <w:separator/>
      </w:r>
    </w:p>
  </w:endnote>
  <w:endnote w:type="continuationSeparator" w:id="0">
    <w:p w:rsidR="003E41D6" w:rsidRDefault="003E41D6" w:rsidP="00CB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nson Text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 SansSerif Std Light">
    <w:altName w:val="Rotis SansSerif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Scal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MjO11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eciliaLTStd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fficinaSansLT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Bold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D67F38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2B2928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E35F4D">
      <w:rPr>
        <w:noProof/>
        <w:sz w:val="20"/>
      </w:rPr>
      <w:t>32</w:t>
    </w:r>
    <w:r w:rsidRPr="002B2928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D67F38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2B2928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E35F4D">
      <w:rPr>
        <w:noProof/>
        <w:sz w:val="20"/>
      </w:rPr>
      <w:t>33</w:t>
    </w:r>
    <w:r w:rsidRPr="002B2928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D67F38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2B2928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E35F4D">
      <w:rPr>
        <w:noProof/>
        <w:sz w:val="20"/>
      </w:rPr>
      <w:t>35</w:t>
    </w:r>
    <w:r w:rsidRPr="002B2928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D67F38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2B2928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E35F4D">
      <w:rPr>
        <w:noProof/>
        <w:sz w:val="20"/>
      </w:rPr>
      <w:t>37</w:t>
    </w:r>
    <w:r w:rsidRPr="002B2928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D67F38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2B2928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E35F4D">
      <w:rPr>
        <w:noProof/>
        <w:sz w:val="20"/>
      </w:rPr>
      <w:t>38</w:t>
    </w:r>
    <w:r w:rsidRPr="002B2928">
      <w:rPr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D67F38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2B2928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E35F4D">
      <w:rPr>
        <w:noProof/>
        <w:sz w:val="20"/>
      </w:rPr>
      <w:t>39</w:t>
    </w:r>
    <w:r w:rsidRPr="002B2928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D67F38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="002B2928"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E35F4D">
      <w:rPr>
        <w:noProof/>
        <w:sz w:val="20"/>
      </w:rPr>
      <w:t>41</w:t>
    </w:r>
    <w:r w:rsidRPr="002B292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D6" w:rsidRDefault="003E41D6" w:rsidP="00CB1343">
      <w:r>
        <w:separator/>
      </w:r>
    </w:p>
  </w:footnote>
  <w:footnote w:type="continuationSeparator" w:id="0">
    <w:p w:rsidR="003E41D6" w:rsidRDefault="003E41D6" w:rsidP="00CB1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2B2928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2B2928" w:rsidRPr="002B2928" w:rsidRDefault="002B2928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2B2928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2B2928" w:rsidRPr="002B2928" w:rsidRDefault="002B2928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2B2928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2B2928" w:rsidRPr="002B2928" w:rsidRDefault="002B2928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2B2928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2B2928" w:rsidRPr="002B2928" w:rsidRDefault="002B2928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2B2928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2B2928" w:rsidRPr="002B2928" w:rsidRDefault="002B2928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2B2928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2B2928" w:rsidRPr="002B2928" w:rsidRDefault="002B2928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8" w:rsidRPr="002B2928" w:rsidRDefault="002B2928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2B2928" w:rsidRPr="002B2928" w:rsidRDefault="002B2928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711"/>
    <w:multiLevelType w:val="multilevel"/>
    <w:tmpl w:val="4DA2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75664"/>
    <w:multiLevelType w:val="multilevel"/>
    <w:tmpl w:val="EE5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729"/>
    <w:multiLevelType w:val="hybridMultilevel"/>
    <w:tmpl w:val="EE70C2BC"/>
    <w:lvl w:ilvl="0" w:tplc="E178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14874"/>
    <w:multiLevelType w:val="hybridMultilevel"/>
    <w:tmpl w:val="2A3CCDFA"/>
    <w:lvl w:ilvl="0" w:tplc="4030D0D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7878"/>
    <w:multiLevelType w:val="hybridMultilevel"/>
    <w:tmpl w:val="E880F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55C870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F47929"/>
    <w:multiLevelType w:val="multilevel"/>
    <w:tmpl w:val="FE3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57254"/>
    <w:multiLevelType w:val="multilevel"/>
    <w:tmpl w:val="940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15ADE"/>
    <w:multiLevelType w:val="multilevel"/>
    <w:tmpl w:val="9FD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62A60"/>
    <w:multiLevelType w:val="multilevel"/>
    <w:tmpl w:val="C3F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B4EFA"/>
    <w:multiLevelType w:val="multilevel"/>
    <w:tmpl w:val="454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C3C46"/>
    <w:multiLevelType w:val="multilevel"/>
    <w:tmpl w:val="05E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E5730"/>
    <w:multiLevelType w:val="multilevel"/>
    <w:tmpl w:val="171E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762F2"/>
    <w:multiLevelType w:val="multilevel"/>
    <w:tmpl w:val="2F4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854F85"/>
    <w:multiLevelType w:val="hybridMultilevel"/>
    <w:tmpl w:val="DF22B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08539C"/>
    <w:multiLevelType w:val="multilevel"/>
    <w:tmpl w:val="BB787E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7A8106C7"/>
    <w:multiLevelType w:val="multilevel"/>
    <w:tmpl w:val="7DF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 w:grammar="clean"/>
  <w:stylePaneFormatFilter w:val="3F01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1693"/>
    <w:rsid w:val="00000B80"/>
    <w:rsid w:val="00000BE4"/>
    <w:rsid w:val="000014E7"/>
    <w:rsid w:val="00001852"/>
    <w:rsid w:val="0000189D"/>
    <w:rsid w:val="00001A7B"/>
    <w:rsid w:val="0000295E"/>
    <w:rsid w:val="00002C71"/>
    <w:rsid w:val="00002F0A"/>
    <w:rsid w:val="00002F29"/>
    <w:rsid w:val="00003915"/>
    <w:rsid w:val="00004129"/>
    <w:rsid w:val="00004C7D"/>
    <w:rsid w:val="00004C83"/>
    <w:rsid w:val="0000561F"/>
    <w:rsid w:val="00005DB7"/>
    <w:rsid w:val="00005DF7"/>
    <w:rsid w:val="000072DC"/>
    <w:rsid w:val="00007412"/>
    <w:rsid w:val="0000746B"/>
    <w:rsid w:val="00007907"/>
    <w:rsid w:val="000102AB"/>
    <w:rsid w:val="000102FA"/>
    <w:rsid w:val="00010559"/>
    <w:rsid w:val="000105C0"/>
    <w:rsid w:val="00010DE2"/>
    <w:rsid w:val="00010EDD"/>
    <w:rsid w:val="000114A2"/>
    <w:rsid w:val="0001152E"/>
    <w:rsid w:val="0001162C"/>
    <w:rsid w:val="000118F8"/>
    <w:rsid w:val="00011D90"/>
    <w:rsid w:val="00012130"/>
    <w:rsid w:val="00012ED2"/>
    <w:rsid w:val="0001305C"/>
    <w:rsid w:val="0001341E"/>
    <w:rsid w:val="00013744"/>
    <w:rsid w:val="0001395D"/>
    <w:rsid w:val="00013ADF"/>
    <w:rsid w:val="00013DE8"/>
    <w:rsid w:val="00013E09"/>
    <w:rsid w:val="00014FE5"/>
    <w:rsid w:val="00015199"/>
    <w:rsid w:val="00015240"/>
    <w:rsid w:val="00015D8B"/>
    <w:rsid w:val="000178AE"/>
    <w:rsid w:val="00017A0B"/>
    <w:rsid w:val="00020254"/>
    <w:rsid w:val="00021DD5"/>
    <w:rsid w:val="0002220F"/>
    <w:rsid w:val="00022D85"/>
    <w:rsid w:val="000230B2"/>
    <w:rsid w:val="00025D23"/>
    <w:rsid w:val="000267DA"/>
    <w:rsid w:val="00026DE9"/>
    <w:rsid w:val="0002787F"/>
    <w:rsid w:val="00027C20"/>
    <w:rsid w:val="00027C54"/>
    <w:rsid w:val="00027CAC"/>
    <w:rsid w:val="00027DEF"/>
    <w:rsid w:val="00030652"/>
    <w:rsid w:val="000308FC"/>
    <w:rsid w:val="00030D0D"/>
    <w:rsid w:val="00030D52"/>
    <w:rsid w:val="00031B1B"/>
    <w:rsid w:val="00031B8C"/>
    <w:rsid w:val="00031E86"/>
    <w:rsid w:val="00031EE6"/>
    <w:rsid w:val="00032481"/>
    <w:rsid w:val="0003256F"/>
    <w:rsid w:val="000328F8"/>
    <w:rsid w:val="00032E5E"/>
    <w:rsid w:val="00033085"/>
    <w:rsid w:val="000330E5"/>
    <w:rsid w:val="000340EF"/>
    <w:rsid w:val="0003456D"/>
    <w:rsid w:val="00034F2A"/>
    <w:rsid w:val="00035071"/>
    <w:rsid w:val="00035391"/>
    <w:rsid w:val="0003556C"/>
    <w:rsid w:val="000358E2"/>
    <w:rsid w:val="00037FE1"/>
    <w:rsid w:val="00040216"/>
    <w:rsid w:val="000405C6"/>
    <w:rsid w:val="000415DD"/>
    <w:rsid w:val="000417B8"/>
    <w:rsid w:val="000419BC"/>
    <w:rsid w:val="0004217D"/>
    <w:rsid w:val="000426A1"/>
    <w:rsid w:val="0004307D"/>
    <w:rsid w:val="00043201"/>
    <w:rsid w:val="00043269"/>
    <w:rsid w:val="0004330D"/>
    <w:rsid w:val="00043A16"/>
    <w:rsid w:val="00043C61"/>
    <w:rsid w:val="00044496"/>
    <w:rsid w:val="000445A0"/>
    <w:rsid w:val="00044691"/>
    <w:rsid w:val="00044B75"/>
    <w:rsid w:val="00044DAD"/>
    <w:rsid w:val="000453CD"/>
    <w:rsid w:val="000460CE"/>
    <w:rsid w:val="00046638"/>
    <w:rsid w:val="00046A2B"/>
    <w:rsid w:val="00046B15"/>
    <w:rsid w:val="00046DD1"/>
    <w:rsid w:val="00046E79"/>
    <w:rsid w:val="00046FF7"/>
    <w:rsid w:val="000472B5"/>
    <w:rsid w:val="000502F5"/>
    <w:rsid w:val="000504B6"/>
    <w:rsid w:val="00050F03"/>
    <w:rsid w:val="00050F09"/>
    <w:rsid w:val="000511BA"/>
    <w:rsid w:val="0005152C"/>
    <w:rsid w:val="000520F3"/>
    <w:rsid w:val="0005246E"/>
    <w:rsid w:val="000525DA"/>
    <w:rsid w:val="00052897"/>
    <w:rsid w:val="0005290C"/>
    <w:rsid w:val="00052D25"/>
    <w:rsid w:val="00052D82"/>
    <w:rsid w:val="0005314A"/>
    <w:rsid w:val="0005336A"/>
    <w:rsid w:val="000540BE"/>
    <w:rsid w:val="000549F8"/>
    <w:rsid w:val="00055A65"/>
    <w:rsid w:val="000563B5"/>
    <w:rsid w:val="00057C8A"/>
    <w:rsid w:val="0006080C"/>
    <w:rsid w:val="00060861"/>
    <w:rsid w:val="000608F2"/>
    <w:rsid w:val="00060A25"/>
    <w:rsid w:val="00061A52"/>
    <w:rsid w:val="0006262E"/>
    <w:rsid w:val="00062707"/>
    <w:rsid w:val="00062CB9"/>
    <w:rsid w:val="00063FE4"/>
    <w:rsid w:val="000643A7"/>
    <w:rsid w:val="00064946"/>
    <w:rsid w:val="00064BE7"/>
    <w:rsid w:val="00064C3B"/>
    <w:rsid w:val="0006503E"/>
    <w:rsid w:val="0006507B"/>
    <w:rsid w:val="000650C5"/>
    <w:rsid w:val="00065215"/>
    <w:rsid w:val="000656C6"/>
    <w:rsid w:val="00065DE2"/>
    <w:rsid w:val="00065E84"/>
    <w:rsid w:val="00066A58"/>
    <w:rsid w:val="00066E0B"/>
    <w:rsid w:val="00067022"/>
    <w:rsid w:val="000676F7"/>
    <w:rsid w:val="00070043"/>
    <w:rsid w:val="00070149"/>
    <w:rsid w:val="00070750"/>
    <w:rsid w:val="00070781"/>
    <w:rsid w:val="000708BD"/>
    <w:rsid w:val="0007162D"/>
    <w:rsid w:val="00071968"/>
    <w:rsid w:val="00071F7D"/>
    <w:rsid w:val="000722AB"/>
    <w:rsid w:val="00074F59"/>
    <w:rsid w:val="000750FE"/>
    <w:rsid w:val="00075E27"/>
    <w:rsid w:val="0007615E"/>
    <w:rsid w:val="000761A7"/>
    <w:rsid w:val="000762AC"/>
    <w:rsid w:val="0007713B"/>
    <w:rsid w:val="000774C1"/>
    <w:rsid w:val="00077854"/>
    <w:rsid w:val="0007788C"/>
    <w:rsid w:val="00077982"/>
    <w:rsid w:val="000803D5"/>
    <w:rsid w:val="00080E2C"/>
    <w:rsid w:val="00081172"/>
    <w:rsid w:val="0008160F"/>
    <w:rsid w:val="00081BD8"/>
    <w:rsid w:val="00082B44"/>
    <w:rsid w:val="00083FC8"/>
    <w:rsid w:val="0008481A"/>
    <w:rsid w:val="000848CA"/>
    <w:rsid w:val="00084D1B"/>
    <w:rsid w:val="00084DBD"/>
    <w:rsid w:val="0008515A"/>
    <w:rsid w:val="000851CE"/>
    <w:rsid w:val="000853E5"/>
    <w:rsid w:val="0008612C"/>
    <w:rsid w:val="00086167"/>
    <w:rsid w:val="00086298"/>
    <w:rsid w:val="000862C8"/>
    <w:rsid w:val="0008631C"/>
    <w:rsid w:val="00086823"/>
    <w:rsid w:val="00086970"/>
    <w:rsid w:val="00090EB5"/>
    <w:rsid w:val="00091DCD"/>
    <w:rsid w:val="0009308B"/>
    <w:rsid w:val="00093F14"/>
    <w:rsid w:val="00094281"/>
    <w:rsid w:val="000942A1"/>
    <w:rsid w:val="00094573"/>
    <w:rsid w:val="00094EFC"/>
    <w:rsid w:val="0009562E"/>
    <w:rsid w:val="000959D4"/>
    <w:rsid w:val="00095DBC"/>
    <w:rsid w:val="0009626A"/>
    <w:rsid w:val="00096B42"/>
    <w:rsid w:val="00097657"/>
    <w:rsid w:val="00097B22"/>
    <w:rsid w:val="00097B5B"/>
    <w:rsid w:val="00097BB8"/>
    <w:rsid w:val="000A0141"/>
    <w:rsid w:val="000A0593"/>
    <w:rsid w:val="000A0A31"/>
    <w:rsid w:val="000A18B8"/>
    <w:rsid w:val="000A1BBC"/>
    <w:rsid w:val="000A2345"/>
    <w:rsid w:val="000A369E"/>
    <w:rsid w:val="000A37E1"/>
    <w:rsid w:val="000A3880"/>
    <w:rsid w:val="000A4042"/>
    <w:rsid w:val="000A435C"/>
    <w:rsid w:val="000A445D"/>
    <w:rsid w:val="000A44C1"/>
    <w:rsid w:val="000A6009"/>
    <w:rsid w:val="000A65AC"/>
    <w:rsid w:val="000A6716"/>
    <w:rsid w:val="000A6899"/>
    <w:rsid w:val="000A6F3F"/>
    <w:rsid w:val="000A6FA6"/>
    <w:rsid w:val="000A75E8"/>
    <w:rsid w:val="000A7A8B"/>
    <w:rsid w:val="000A7E74"/>
    <w:rsid w:val="000A7F3A"/>
    <w:rsid w:val="000B173B"/>
    <w:rsid w:val="000B2047"/>
    <w:rsid w:val="000B2323"/>
    <w:rsid w:val="000B2A5F"/>
    <w:rsid w:val="000B2CB1"/>
    <w:rsid w:val="000B2E8C"/>
    <w:rsid w:val="000B3C7A"/>
    <w:rsid w:val="000B3D6E"/>
    <w:rsid w:val="000B4133"/>
    <w:rsid w:val="000B4426"/>
    <w:rsid w:val="000B6233"/>
    <w:rsid w:val="000B66E3"/>
    <w:rsid w:val="000B68EA"/>
    <w:rsid w:val="000B6916"/>
    <w:rsid w:val="000C0445"/>
    <w:rsid w:val="000C063E"/>
    <w:rsid w:val="000C0868"/>
    <w:rsid w:val="000C0E05"/>
    <w:rsid w:val="000C20F4"/>
    <w:rsid w:val="000C25A8"/>
    <w:rsid w:val="000C262B"/>
    <w:rsid w:val="000C2EB9"/>
    <w:rsid w:val="000C369F"/>
    <w:rsid w:val="000C3A59"/>
    <w:rsid w:val="000C3BAF"/>
    <w:rsid w:val="000C430B"/>
    <w:rsid w:val="000C4556"/>
    <w:rsid w:val="000C48C5"/>
    <w:rsid w:val="000C4D31"/>
    <w:rsid w:val="000C5FEE"/>
    <w:rsid w:val="000C69FF"/>
    <w:rsid w:val="000C7353"/>
    <w:rsid w:val="000C7381"/>
    <w:rsid w:val="000C738E"/>
    <w:rsid w:val="000C7834"/>
    <w:rsid w:val="000C79A2"/>
    <w:rsid w:val="000C7D97"/>
    <w:rsid w:val="000C7E1D"/>
    <w:rsid w:val="000D0424"/>
    <w:rsid w:val="000D088B"/>
    <w:rsid w:val="000D0D94"/>
    <w:rsid w:val="000D1299"/>
    <w:rsid w:val="000D2118"/>
    <w:rsid w:val="000D2A78"/>
    <w:rsid w:val="000D3267"/>
    <w:rsid w:val="000D338E"/>
    <w:rsid w:val="000D361C"/>
    <w:rsid w:val="000D4778"/>
    <w:rsid w:val="000D4C2C"/>
    <w:rsid w:val="000D4D9A"/>
    <w:rsid w:val="000D4E53"/>
    <w:rsid w:val="000D4FB3"/>
    <w:rsid w:val="000D5551"/>
    <w:rsid w:val="000D569C"/>
    <w:rsid w:val="000D5CA6"/>
    <w:rsid w:val="000D6B06"/>
    <w:rsid w:val="000D6D9B"/>
    <w:rsid w:val="000D7CAC"/>
    <w:rsid w:val="000D7ED7"/>
    <w:rsid w:val="000E05C4"/>
    <w:rsid w:val="000E2E2C"/>
    <w:rsid w:val="000E316A"/>
    <w:rsid w:val="000E3949"/>
    <w:rsid w:val="000E3AA0"/>
    <w:rsid w:val="000E3CD0"/>
    <w:rsid w:val="000E4090"/>
    <w:rsid w:val="000E451A"/>
    <w:rsid w:val="000E4D1A"/>
    <w:rsid w:val="000E4ECF"/>
    <w:rsid w:val="000E5238"/>
    <w:rsid w:val="000E5891"/>
    <w:rsid w:val="000E6496"/>
    <w:rsid w:val="000E66ED"/>
    <w:rsid w:val="000E6920"/>
    <w:rsid w:val="000E7B29"/>
    <w:rsid w:val="000E7CBA"/>
    <w:rsid w:val="000F05EC"/>
    <w:rsid w:val="000F0D61"/>
    <w:rsid w:val="000F1933"/>
    <w:rsid w:val="000F28C4"/>
    <w:rsid w:val="000F32B8"/>
    <w:rsid w:val="000F3B82"/>
    <w:rsid w:val="000F3FC3"/>
    <w:rsid w:val="000F400E"/>
    <w:rsid w:val="000F421F"/>
    <w:rsid w:val="000F4687"/>
    <w:rsid w:val="000F4765"/>
    <w:rsid w:val="000F47C9"/>
    <w:rsid w:val="000F4FA0"/>
    <w:rsid w:val="000F5140"/>
    <w:rsid w:val="000F56D3"/>
    <w:rsid w:val="000F5969"/>
    <w:rsid w:val="000F6266"/>
    <w:rsid w:val="000F6486"/>
    <w:rsid w:val="000F6940"/>
    <w:rsid w:val="000F699E"/>
    <w:rsid w:val="000F7161"/>
    <w:rsid w:val="000F7487"/>
    <w:rsid w:val="000F7D66"/>
    <w:rsid w:val="001000BB"/>
    <w:rsid w:val="00100121"/>
    <w:rsid w:val="001008AC"/>
    <w:rsid w:val="00100A26"/>
    <w:rsid w:val="00101F63"/>
    <w:rsid w:val="001020F2"/>
    <w:rsid w:val="00102762"/>
    <w:rsid w:val="00103033"/>
    <w:rsid w:val="001034F2"/>
    <w:rsid w:val="001045A6"/>
    <w:rsid w:val="00104732"/>
    <w:rsid w:val="00104B62"/>
    <w:rsid w:val="00104C1F"/>
    <w:rsid w:val="001057B7"/>
    <w:rsid w:val="0010581E"/>
    <w:rsid w:val="00105AEF"/>
    <w:rsid w:val="00105C00"/>
    <w:rsid w:val="0010665F"/>
    <w:rsid w:val="00106C92"/>
    <w:rsid w:val="00106FC7"/>
    <w:rsid w:val="00107046"/>
    <w:rsid w:val="001072B5"/>
    <w:rsid w:val="00107410"/>
    <w:rsid w:val="00107C97"/>
    <w:rsid w:val="0011007E"/>
    <w:rsid w:val="001103E5"/>
    <w:rsid w:val="00110A9E"/>
    <w:rsid w:val="0011185F"/>
    <w:rsid w:val="00111A81"/>
    <w:rsid w:val="0011230C"/>
    <w:rsid w:val="00112516"/>
    <w:rsid w:val="00112F2C"/>
    <w:rsid w:val="00113043"/>
    <w:rsid w:val="001132F8"/>
    <w:rsid w:val="00113A02"/>
    <w:rsid w:val="00113EF4"/>
    <w:rsid w:val="001145A2"/>
    <w:rsid w:val="001156C0"/>
    <w:rsid w:val="001157D1"/>
    <w:rsid w:val="00115F51"/>
    <w:rsid w:val="00116085"/>
    <w:rsid w:val="00116090"/>
    <w:rsid w:val="00116CE7"/>
    <w:rsid w:val="0011743C"/>
    <w:rsid w:val="00117B1A"/>
    <w:rsid w:val="00117BF2"/>
    <w:rsid w:val="00120245"/>
    <w:rsid w:val="001207C3"/>
    <w:rsid w:val="00120CF5"/>
    <w:rsid w:val="00120D4B"/>
    <w:rsid w:val="00120FCB"/>
    <w:rsid w:val="00121266"/>
    <w:rsid w:val="0012210A"/>
    <w:rsid w:val="00122535"/>
    <w:rsid w:val="00122610"/>
    <w:rsid w:val="00122761"/>
    <w:rsid w:val="00122839"/>
    <w:rsid w:val="00123D50"/>
    <w:rsid w:val="0012444F"/>
    <w:rsid w:val="00124520"/>
    <w:rsid w:val="0012476E"/>
    <w:rsid w:val="00124AB5"/>
    <w:rsid w:val="00125A7C"/>
    <w:rsid w:val="00126011"/>
    <w:rsid w:val="00126056"/>
    <w:rsid w:val="001263EC"/>
    <w:rsid w:val="00126456"/>
    <w:rsid w:val="00126E3C"/>
    <w:rsid w:val="00126E59"/>
    <w:rsid w:val="001273A3"/>
    <w:rsid w:val="00127756"/>
    <w:rsid w:val="00127869"/>
    <w:rsid w:val="00127CAA"/>
    <w:rsid w:val="00130513"/>
    <w:rsid w:val="001305B0"/>
    <w:rsid w:val="00130721"/>
    <w:rsid w:val="001314EF"/>
    <w:rsid w:val="00131C3A"/>
    <w:rsid w:val="00132860"/>
    <w:rsid w:val="00132B4E"/>
    <w:rsid w:val="00133325"/>
    <w:rsid w:val="0013353B"/>
    <w:rsid w:val="00133A30"/>
    <w:rsid w:val="00134197"/>
    <w:rsid w:val="00134872"/>
    <w:rsid w:val="00134B13"/>
    <w:rsid w:val="00135529"/>
    <w:rsid w:val="0013576F"/>
    <w:rsid w:val="00135BE1"/>
    <w:rsid w:val="00135E7E"/>
    <w:rsid w:val="0013649A"/>
    <w:rsid w:val="00136FAE"/>
    <w:rsid w:val="001405CE"/>
    <w:rsid w:val="00140BDB"/>
    <w:rsid w:val="00141065"/>
    <w:rsid w:val="00141222"/>
    <w:rsid w:val="00141280"/>
    <w:rsid w:val="0014147C"/>
    <w:rsid w:val="0014202B"/>
    <w:rsid w:val="00142308"/>
    <w:rsid w:val="001425A0"/>
    <w:rsid w:val="00142960"/>
    <w:rsid w:val="001439C8"/>
    <w:rsid w:val="00144DD0"/>
    <w:rsid w:val="00145443"/>
    <w:rsid w:val="00145469"/>
    <w:rsid w:val="001464DA"/>
    <w:rsid w:val="00146768"/>
    <w:rsid w:val="00146D56"/>
    <w:rsid w:val="00147E6A"/>
    <w:rsid w:val="001500EA"/>
    <w:rsid w:val="00150486"/>
    <w:rsid w:val="00150652"/>
    <w:rsid w:val="001507A8"/>
    <w:rsid w:val="00150B81"/>
    <w:rsid w:val="00151BBB"/>
    <w:rsid w:val="00151DD4"/>
    <w:rsid w:val="00152A1D"/>
    <w:rsid w:val="00152CF3"/>
    <w:rsid w:val="00152E0D"/>
    <w:rsid w:val="00153117"/>
    <w:rsid w:val="001533BC"/>
    <w:rsid w:val="0015402B"/>
    <w:rsid w:val="00154A1B"/>
    <w:rsid w:val="00154EFE"/>
    <w:rsid w:val="00155631"/>
    <w:rsid w:val="00155B5B"/>
    <w:rsid w:val="00155E0C"/>
    <w:rsid w:val="00156367"/>
    <w:rsid w:val="00156DE9"/>
    <w:rsid w:val="00156FF5"/>
    <w:rsid w:val="00157041"/>
    <w:rsid w:val="0015752B"/>
    <w:rsid w:val="001577E6"/>
    <w:rsid w:val="00157A8F"/>
    <w:rsid w:val="00160153"/>
    <w:rsid w:val="00160F97"/>
    <w:rsid w:val="00161D44"/>
    <w:rsid w:val="001622BD"/>
    <w:rsid w:val="00162C29"/>
    <w:rsid w:val="001630DC"/>
    <w:rsid w:val="00163378"/>
    <w:rsid w:val="00163F91"/>
    <w:rsid w:val="00165EC0"/>
    <w:rsid w:val="00167A5D"/>
    <w:rsid w:val="00167E92"/>
    <w:rsid w:val="00170683"/>
    <w:rsid w:val="00170C34"/>
    <w:rsid w:val="0017166E"/>
    <w:rsid w:val="00174049"/>
    <w:rsid w:val="001748E1"/>
    <w:rsid w:val="00174FBB"/>
    <w:rsid w:val="00175599"/>
    <w:rsid w:val="00175647"/>
    <w:rsid w:val="001757E2"/>
    <w:rsid w:val="00175BFA"/>
    <w:rsid w:val="00175C40"/>
    <w:rsid w:val="00176486"/>
    <w:rsid w:val="00176887"/>
    <w:rsid w:val="0017694B"/>
    <w:rsid w:val="00176AE7"/>
    <w:rsid w:val="00177255"/>
    <w:rsid w:val="00177808"/>
    <w:rsid w:val="00177821"/>
    <w:rsid w:val="00177CEB"/>
    <w:rsid w:val="00177F80"/>
    <w:rsid w:val="001805D8"/>
    <w:rsid w:val="001807A8"/>
    <w:rsid w:val="001808A7"/>
    <w:rsid w:val="001811A2"/>
    <w:rsid w:val="00181766"/>
    <w:rsid w:val="00182C6C"/>
    <w:rsid w:val="0018340D"/>
    <w:rsid w:val="00183BED"/>
    <w:rsid w:val="0018404E"/>
    <w:rsid w:val="0018454C"/>
    <w:rsid w:val="00184BCD"/>
    <w:rsid w:val="0018513F"/>
    <w:rsid w:val="00186214"/>
    <w:rsid w:val="0018624B"/>
    <w:rsid w:val="00186279"/>
    <w:rsid w:val="001866FE"/>
    <w:rsid w:val="00186BDC"/>
    <w:rsid w:val="0018773B"/>
    <w:rsid w:val="0018799A"/>
    <w:rsid w:val="001905D8"/>
    <w:rsid w:val="001908B3"/>
    <w:rsid w:val="00191599"/>
    <w:rsid w:val="00191CDF"/>
    <w:rsid w:val="001929B9"/>
    <w:rsid w:val="00192E43"/>
    <w:rsid w:val="00194227"/>
    <w:rsid w:val="00194A6B"/>
    <w:rsid w:val="00195383"/>
    <w:rsid w:val="00195716"/>
    <w:rsid w:val="00195750"/>
    <w:rsid w:val="00195A01"/>
    <w:rsid w:val="001961CB"/>
    <w:rsid w:val="001968AE"/>
    <w:rsid w:val="0019708B"/>
    <w:rsid w:val="00197504"/>
    <w:rsid w:val="00197F1C"/>
    <w:rsid w:val="001A0007"/>
    <w:rsid w:val="001A0FF1"/>
    <w:rsid w:val="001A1131"/>
    <w:rsid w:val="001A234F"/>
    <w:rsid w:val="001A24BD"/>
    <w:rsid w:val="001A257E"/>
    <w:rsid w:val="001A36D3"/>
    <w:rsid w:val="001A3F2F"/>
    <w:rsid w:val="001A4ED8"/>
    <w:rsid w:val="001A4FB6"/>
    <w:rsid w:val="001A505E"/>
    <w:rsid w:val="001A600C"/>
    <w:rsid w:val="001A6331"/>
    <w:rsid w:val="001A652C"/>
    <w:rsid w:val="001A6754"/>
    <w:rsid w:val="001A692C"/>
    <w:rsid w:val="001A7B06"/>
    <w:rsid w:val="001A7F25"/>
    <w:rsid w:val="001B0560"/>
    <w:rsid w:val="001B06AC"/>
    <w:rsid w:val="001B0EDA"/>
    <w:rsid w:val="001B1088"/>
    <w:rsid w:val="001B1188"/>
    <w:rsid w:val="001B1245"/>
    <w:rsid w:val="001B1890"/>
    <w:rsid w:val="001B260B"/>
    <w:rsid w:val="001B29D2"/>
    <w:rsid w:val="001B3051"/>
    <w:rsid w:val="001B308F"/>
    <w:rsid w:val="001B3180"/>
    <w:rsid w:val="001B33AA"/>
    <w:rsid w:val="001B3CD1"/>
    <w:rsid w:val="001B3D05"/>
    <w:rsid w:val="001B3F10"/>
    <w:rsid w:val="001B48A2"/>
    <w:rsid w:val="001B4E62"/>
    <w:rsid w:val="001B4EE9"/>
    <w:rsid w:val="001B5728"/>
    <w:rsid w:val="001B5ED2"/>
    <w:rsid w:val="001B5FD1"/>
    <w:rsid w:val="001B6B06"/>
    <w:rsid w:val="001B7117"/>
    <w:rsid w:val="001B71EF"/>
    <w:rsid w:val="001B742A"/>
    <w:rsid w:val="001B777D"/>
    <w:rsid w:val="001C0008"/>
    <w:rsid w:val="001C03E4"/>
    <w:rsid w:val="001C051C"/>
    <w:rsid w:val="001C0623"/>
    <w:rsid w:val="001C0F15"/>
    <w:rsid w:val="001C1638"/>
    <w:rsid w:val="001C23BD"/>
    <w:rsid w:val="001C2ECC"/>
    <w:rsid w:val="001C32CE"/>
    <w:rsid w:val="001C3558"/>
    <w:rsid w:val="001C35FC"/>
    <w:rsid w:val="001C3B05"/>
    <w:rsid w:val="001C4264"/>
    <w:rsid w:val="001C4758"/>
    <w:rsid w:val="001C4C0B"/>
    <w:rsid w:val="001C4CB3"/>
    <w:rsid w:val="001C54FC"/>
    <w:rsid w:val="001C5928"/>
    <w:rsid w:val="001C5C44"/>
    <w:rsid w:val="001C5E6B"/>
    <w:rsid w:val="001C6636"/>
    <w:rsid w:val="001C68A0"/>
    <w:rsid w:val="001C74D4"/>
    <w:rsid w:val="001C7A99"/>
    <w:rsid w:val="001C7B71"/>
    <w:rsid w:val="001C7BFB"/>
    <w:rsid w:val="001D0E57"/>
    <w:rsid w:val="001D1644"/>
    <w:rsid w:val="001D1D33"/>
    <w:rsid w:val="001D23C6"/>
    <w:rsid w:val="001D2640"/>
    <w:rsid w:val="001D2FE8"/>
    <w:rsid w:val="001D323E"/>
    <w:rsid w:val="001D3739"/>
    <w:rsid w:val="001D3E5C"/>
    <w:rsid w:val="001D465B"/>
    <w:rsid w:val="001D5050"/>
    <w:rsid w:val="001D53FF"/>
    <w:rsid w:val="001D5C8A"/>
    <w:rsid w:val="001D5E4A"/>
    <w:rsid w:val="001D5FFD"/>
    <w:rsid w:val="001D67FB"/>
    <w:rsid w:val="001D6B17"/>
    <w:rsid w:val="001D6B98"/>
    <w:rsid w:val="001D6D1F"/>
    <w:rsid w:val="001D75D2"/>
    <w:rsid w:val="001D7ED1"/>
    <w:rsid w:val="001E02BC"/>
    <w:rsid w:val="001E06B3"/>
    <w:rsid w:val="001E07E0"/>
    <w:rsid w:val="001E0BD5"/>
    <w:rsid w:val="001E0DBA"/>
    <w:rsid w:val="001E0FA0"/>
    <w:rsid w:val="001E1A90"/>
    <w:rsid w:val="001E2660"/>
    <w:rsid w:val="001E2C59"/>
    <w:rsid w:val="001E329B"/>
    <w:rsid w:val="001E4202"/>
    <w:rsid w:val="001E422B"/>
    <w:rsid w:val="001E47B7"/>
    <w:rsid w:val="001E4B91"/>
    <w:rsid w:val="001E4B9E"/>
    <w:rsid w:val="001E767F"/>
    <w:rsid w:val="001E76DD"/>
    <w:rsid w:val="001E7713"/>
    <w:rsid w:val="001E7A1E"/>
    <w:rsid w:val="001F03C5"/>
    <w:rsid w:val="001F1558"/>
    <w:rsid w:val="001F225C"/>
    <w:rsid w:val="001F28E8"/>
    <w:rsid w:val="001F2D80"/>
    <w:rsid w:val="001F33CD"/>
    <w:rsid w:val="001F4012"/>
    <w:rsid w:val="001F50AB"/>
    <w:rsid w:val="001F5120"/>
    <w:rsid w:val="001F57C5"/>
    <w:rsid w:val="001F6944"/>
    <w:rsid w:val="001F694F"/>
    <w:rsid w:val="001F6BFF"/>
    <w:rsid w:val="00200534"/>
    <w:rsid w:val="00200647"/>
    <w:rsid w:val="00201032"/>
    <w:rsid w:val="00202270"/>
    <w:rsid w:val="00202478"/>
    <w:rsid w:val="00202B16"/>
    <w:rsid w:val="00202C66"/>
    <w:rsid w:val="00203421"/>
    <w:rsid w:val="00203870"/>
    <w:rsid w:val="00204254"/>
    <w:rsid w:val="00204814"/>
    <w:rsid w:val="002048BC"/>
    <w:rsid w:val="00204DAC"/>
    <w:rsid w:val="00205303"/>
    <w:rsid w:val="0020627C"/>
    <w:rsid w:val="002064F6"/>
    <w:rsid w:val="00206708"/>
    <w:rsid w:val="00206AEF"/>
    <w:rsid w:val="00206D4E"/>
    <w:rsid w:val="002077F7"/>
    <w:rsid w:val="00207F30"/>
    <w:rsid w:val="002108DB"/>
    <w:rsid w:val="00211213"/>
    <w:rsid w:val="0021171C"/>
    <w:rsid w:val="00211E4D"/>
    <w:rsid w:val="00212399"/>
    <w:rsid w:val="002128F3"/>
    <w:rsid w:val="002129A4"/>
    <w:rsid w:val="00212BDF"/>
    <w:rsid w:val="0021391E"/>
    <w:rsid w:val="00214648"/>
    <w:rsid w:val="00214AB3"/>
    <w:rsid w:val="00214AEB"/>
    <w:rsid w:val="00215300"/>
    <w:rsid w:val="00215581"/>
    <w:rsid w:val="002160E9"/>
    <w:rsid w:val="002161EB"/>
    <w:rsid w:val="0021651C"/>
    <w:rsid w:val="002167BC"/>
    <w:rsid w:val="0021710C"/>
    <w:rsid w:val="00217B08"/>
    <w:rsid w:val="00217C27"/>
    <w:rsid w:val="002211C0"/>
    <w:rsid w:val="00221999"/>
    <w:rsid w:val="00221A15"/>
    <w:rsid w:val="0022248E"/>
    <w:rsid w:val="00222BE3"/>
    <w:rsid w:val="00222FBB"/>
    <w:rsid w:val="00223822"/>
    <w:rsid w:val="00224A98"/>
    <w:rsid w:val="00224B95"/>
    <w:rsid w:val="00226285"/>
    <w:rsid w:val="0022635E"/>
    <w:rsid w:val="002269A5"/>
    <w:rsid w:val="00226A19"/>
    <w:rsid w:val="00226E04"/>
    <w:rsid w:val="00227510"/>
    <w:rsid w:val="00227B7B"/>
    <w:rsid w:val="00230E30"/>
    <w:rsid w:val="00232CBE"/>
    <w:rsid w:val="00233558"/>
    <w:rsid w:val="00233AA3"/>
    <w:rsid w:val="00233EE1"/>
    <w:rsid w:val="00234663"/>
    <w:rsid w:val="00234BA1"/>
    <w:rsid w:val="00235AE0"/>
    <w:rsid w:val="00235BC4"/>
    <w:rsid w:val="00236BCA"/>
    <w:rsid w:val="00236D07"/>
    <w:rsid w:val="002377C0"/>
    <w:rsid w:val="00237CAF"/>
    <w:rsid w:val="00240177"/>
    <w:rsid w:val="002401D7"/>
    <w:rsid w:val="0024057B"/>
    <w:rsid w:val="00240A27"/>
    <w:rsid w:val="00240A62"/>
    <w:rsid w:val="00241DF2"/>
    <w:rsid w:val="0024253B"/>
    <w:rsid w:val="00242933"/>
    <w:rsid w:val="00242C71"/>
    <w:rsid w:val="00242D58"/>
    <w:rsid w:val="002434A0"/>
    <w:rsid w:val="00243C68"/>
    <w:rsid w:val="002440D1"/>
    <w:rsid w:val="002445FB"/>
    <w:rsid w:val="00244CB5"/>
    <w:rsid w:val="00244EF9"/>
    <w:rsid w:val="002450E5"/>
    <w:rsid w:val="00246515"/>
    <w:rsid w:val="002467AF"/>
    <w:rsid w:val="00246C9B"/>
    <w:rsid w:val="002473B6"/>
    <w:rsid w:val="00247B5F"/>
    <w:rsid w:val="00247DFF"/>
    <w:rsid w:val="0025043B"/>
    <w:rsid w:val="00250A29"/>
    <w:rsid w:val="002511F9"/>
    <w:rsid w:val="00252310"/>
    <w:rsid w:val="002524C4"/>
    <w:rsid w:val="002525C4"/>
    <w:rsid w:val="002541DF"/>
    <w:rsid w:val="0025420A"/>
    <w:rsid w:val="002542F6"/>
    <w:rsid w:val="00254336"/>
    <w:rsid w:val="00254E0D"/>
    <w:rsid w:val="00254F92"/>
    <w:rsid w:val="00255081"/>
    <w:rsid w:val="00255758"/>
    <w:rsid w:val="00255A42"/>
    <w:rsid w:val="00255EAE"/>
    <w:rsid w:val="00256523"/>
    <w:rsid w:val="00256867"/>
    <w:rsid w:val="002569AE"/>
    <w:rsid w:val="00260167"/>
    <w:rsid w:val="00260627"/>
    <w:rsid w:val="00260C5B"/>
    <w:rsid w:val="00260D51"/>
    <w:rsid w:val="00260EF2"/>
    <w:rsid w:val="00261916"/>
    <w:rsid w:val="00262A12"/>
    <w:rsid w:val="00263AF5"/>
    <w:rsid w:val="00263B47"/>
    <w:rsid w:val="00263D17"/>
    <w:rsid w:val="00264D7B"/>
    <w:rsid w:val="00265E9F"/>
    <w:rsid w:val="00265FBE"/>
    <w:rsid w:val="002662EB"/>
    <w:rsid w:val="002668EE"/>
    <w:rsid w:val="0026711B"/>
    <w:rsid w:val="002673AD"/>
    <w:rsid w:val="00267B35"/>
    <w:rsid w:val="00267F31"/>
    <w:rsid w:val="0027036B"/>
    <w:rsid w:val="002705CE"/>
    <w:rsid w:val="00270FF0"/>
    <w:rsid w:val="002710C4"/>
    <w:rsid w:val="00272091"/>
    <w:rsid w:val="002721C4"/>
    <w:rsid w:val="00272251"/>
    <w:rsid w:val="002724C9"/>
    <w:rsid w:val="00272605"/>
    <w:rsid w:val="002728C3"/>
    <w:rsid w:val="00272C2E"/>
    <w:rsid w:val="00273B17"/>
    <w:rsid w:val="0027415D"/>
    <w:rsid w:val="002747E5"/>
    <w:rsid w:val="0027505F"/>
    <w:rsid w:val="00275935"/>
    <w:rsid w:val="002762B2"/>
    <w:rsid w:val="00276335"/>
    <w:rsid w:val="00276A3B"/>
    <w:rsid w:val="00276B14"/>
    <w:rsid w:val="00276C06"/>
    <w:rsid w:val="00276D52"/>
    <w:rsid w:val="0027779D"/>
    <w:rsid w:val="00280BAB"/>
    <w:rsid w:val="00280D97"/>
    <w:rsid w:val="00281070"/>
    <w:rsid w:val="00281851"/>
    <w:rsid w:val="00281A44"/>
    <w:rsid w:val="00281B92"/>
    <w:rsid w:val="0028222D"/>
    <w:rsid w:val="00282ACB"/>
    <w:rsid w:val="00283120"/>
    <w:rsid w:val="00284637"/>
    <w:rsid w:val="00284736"/>
    <w:rsid w:val="002848D1"/>
    <w:rsid w:val="0028519F"/>
    <w:rsid w:val="0028528D"/>
    <w:rsid w:val="0028565E"/>
    <w:rsid w:val="00285CB2"/>
    <w:rsid w:val="0028636B"/>
    <w:rsid w:val="002866C5"/>
    <w:rsid w:val="00287640"/>
    <w:rsid w:val="00287824"/>
    <w:rsid w:val="00287B25"/>
    <w:rsid w:val="00287DE7"/>
    <w:rsid w:val="0029011B"/>
    <w:rsid w:val="00290578"/>
    <w:rsid w:val="00290E95"/>
    <w:rsid w:val="002910AF"/>
    <w:rsid w:val="002917C6"/>
    <w:rsid w:val="00291EF4"/>
    <w:rsid w:val="0029239C"/>
    <w:rsid w:val="00292796"/>
    <w:rsid w:val="00292BBF"/>
    <w:rsid w:val="00293E4C"/>
    <w:rsid w:val="00294715"/>
    <w:rsid w:val="002949ED"/>
    <w:rsid w:val="00294AB8"/>
    <w:rsid w:val="002953A2"/>
    <w:rsid w:val="002959B4"/>
    <w:rsid w:val="00295E01"/>
    <w:rsid w:val="00296520"/>
    <w:rsid w:val="00296602"/>
    <w:rsid w:val="002974D0"/>
    <w:rsid w:val="002A003D"/>
    <w:rsid w:val="002A05B5"/>
    <w:rsid w:val="002A0C4D"/>
    <w:rsid w:val="002A1D8D"/>
    <w:rsid w:val="002A1F56"/>
    <w:rsid w:val="002A27AB"/>
    <w:rsid w:val="002A31FE"/>
    <w:rsid w:val="002A32A0"/>
    <w:rsid w:val="002A35BC"/>
    <w:rsid w:val="002A3A05"/>
    <w:rsid w:val="002A3C22"/>
    <w:rsid w:val="002A4D0D"/>
    <w:rsid w:val="002A5594"/>
    <w:rsid w:val="002A57AC"/>
    <w:rsid w:val="002A5EB0"/>
    <w:rsid w:val="002A5FBB"/>
    <w:rsid w:val="002A6025"/>
    <w:rsid w:val="002A62D6"/>
    <w:rsid w:val="002A6B15"/>
    <w:rsid w:val="002A7BC7"/>
    <w:rsid w:val="002A7BCD"/>
    <w:rsid w:val="002B17B3"/>
    <w:rsid w:val="002B1A00"/>
    <w:rsid w:val="002B1FC7"/>
    <w:rsid w:val="002B2928"/>
    <w:rsid w:val="002B2CD4"/>
    <w:rsid w:val="002B2F59"/>
    <w:rsid w:val="002B303D"/>
    <w:rsid w:val="002B4470"/>
    <w:rsid w:val="002B4B4C"/>
    <w:rsid w:val="002B4DD4"/>
    <w:rsid w:val="002B527E"/>
    <w:rsid w:val="002B5538"/>
    <w:rsid w:val="002B5549"/>
    <w:rsid w:val="002B68B2"/>
    <w:rsid w:val="002B6B30"/>
    <w:rsid w:val="002B6CC6"/>
    <w:rsid w:val="002B6CCB"/>
    <w:rsid w:val="002B71CD"/>
    <w:rsid w:val="002B7363"/>
    <w:rsid w:val="002B780D"/>
    <w:rsid w:val="002C04AA"/>
    <w:rsid w:val="002C0635"/>
    <w:rsid w:val="002C0746"/>
    <w:rsid w:val="002C16D3"/>
    <w:rsid w:val="002C1952"/>
    <w:rsid w:val="002C1C13"/>
    <w:rsid w:val="002C1F3A"/>
    <w:rsid w:val="002C2717"/>
    <w:rsid w:val="002C2AB8"/>
    <w:rsid w:val="002C418F"/>
    <w:rsid w:val="002C44C3"/>
    <w:rsid w:val="002C4508"/>
    <w:rsid w:val="002C496D"/>
    <w:rsid w:val="002C4F24"/>
    <w:rsid w:val="002C53C2"/>
    <w:rsid w:val="002C551F"/>
    <w:rsid w:val="002C5FCA"/>
    <w:rsid w:val="002C6CAA"/>
    <w:rsid w:val="002C7104"/>
    <w:rsid w:val="002C742D"/>
    <w:rsid w:val="002C75B0"/>
    <w:rsid w:val="002D083D"/>
    <w:rsid w:val="002D0F77"/>
    <w:rsid w:val="002D1323"/>
    <w:rsid w:val="002D231B"/>
    <w:rsid w:val="002D2F93"/>
    <w:rsid w:val="002D3438"/>
    <w:rsid w:val="002D3FD5"/>
    <w:rsid w:val="002D579C"/>
    <w:rsid w:val="002D776C"/>
    <w:rsid w:val="002D79D4"/>
    <w:rsid w:val="002D7AE0"/>
    <w:rsid w:val="002D7B70"/>
    <w:rsid w:val="002E08B2"/>
    <w:rsid w:val="002E097C"/>
    <w:rsid w:val="002E0EFF"/>
    <w:rsid w:val="002E110F"/>
    <w:rsid w:val="002E172D"/>
    <w:rsid w:val="002E178C"/>
    <w:rsid w:val="002E1A4F"/>
    <w:rsid w:val="002E25E8"/>
    <w:rsid w:val="002E35F1"/>
    <w:rsid w:val="002E3655"/>
    <w:rsid w:val="002E3985"/>
    <w:rsid w:val="002E476F"/>
    <w:rsid w:val="002E4BE5"/>
    <w:rsid w:val="002E4C8B"/>
    <w:rsid w:val="002E5136"/>
    <w:rsid w:val="002E5948"/>
    <w:rsid w:val="002E66E6"/>
    <w:rsid w:val="002E6A04"/>
    <w:rsid w:val="002E723B"/>
    <w:rsid w:val="002E7C59"/>
    <w:rsid w:val="002E7CB2"/>
    <w:rsid w:val="002F0109"/>
    <w:rsid w:val="002F03E5"/>
    <w:rsid w:val="002F048B"/>
    <w:rsid w:val="002F0F63"/>
    <w:rsid w:val="002F0FC0"/>
    <w:rsid w:val="002F17E1"/>
    <w:rsid w:val="002F1EC5"/>
    <w:rsid w:val="002F1F3F"/>
    <w:rsid w:val="002F2108"/>
    <w:rsid w:val="002F25D0"/>
    <w:rsid w:val="002F2B64"/>
    <w:rsid w:val="002F2BFB"/>
    <w:rsid w:val="002F4D15"/>
    <w:rsid w:val="002F5438"/>
    <w:rsid w:val="002F5AE2"/>
    <w:rsid w:val="002F5ECE"/>
    <w:rsid w:val="002F6055"/>
    <w:rsid w:val="002F617C"/>
    <w:rsid w:val="002F77CF"/>
    <w:rsid w:val="002F7BEE"/>
    <w:rsid w:val="002F7D3A"/>
    <w:rsid w:val="00300B51"/>
    <w:rsid w:val="00301492"/>
    <w:rsid w:val="003016DD"/>
    <w:rsid w:val="00301BD0"/>
    <w:rsid w:val="003028EF"/>
    <w:rsid w:val="00302A0C"/>
    <w:rsid w:val="00302F6F"/>
    <w:rsid w:val="003031AD"/>
    <w:rsid w:val="0030349A"/>
    <w:rsid w:val="0030349E"/>
    <w:rsid w:val="00303AF9"/>
    <w:rsid w:val="00303EA5"/>
    <w:rsid w:val="00304453"/>
    <w:rsid w:val="003044B4"/>
    <w:rsid w:val="00304AEA"/>
    <w:rsid w:val="00304FC6"/>
    <w:rsid w:val="0030508E"/>
    <w:rsid w:val="003050A8"/>
    <w:rsid w:val="0030562C"/>
    <w:rsid w:val="003059D8"/>
    <w:rsid w:val="00306BEF"/>
    <w:rsid w:val="00306C9F"/>
    <w:rsid w:val="00307291"/>
    <w:rsid w:val="00307AD4"/>
    <w:rsid w:val="003102F2"/>
    <w:rsid w:val="0031076B"/>
    <w:rsid w:val="003108E4"/>
    <w:rsid w:val="003109EE"/>
    <w:rsid w:val="00310D01"/>
    <w:rsid w:val="00310F2E"/>
    <w:rsid w:val="00311949"/>
    <w:rsid w:val="00312CEE"/>
    <w:rsid w:val="00313495"/>
    <w:rsid w:val="00313B36"/>
    <w:rsid w:val="003143B8"/>
    <w:rsid w:val="00315301"/>
    <w:rsid w:val="003160CE"/>
    <w:rsid w:val="00316584"/>
    <w:rsid w:val="0031696F"/>
    <w:rsid w:val="00317106"/>
    <w:rsid w:val="0031722F"/>
    <w:rsid w:val="003210B9"/>
    <w:rsid w:val="0032162E"/>
    <w:rsid w:val="00322CE0"/>
    <w:rsid w:val="00323050"/>
    <w:rsid w:val="00323A58"/>
    <w:rsid w:val="00323D24"/>
    <w:rsid w:val="003243E3"/>
    <w:rsid w:val="0032458D"/>
    <w:rsid w:val="0032486D"/>
    <w:rsid w:val="00324E88"/>
    <w:rsid w:val="00325047"/>
    <w:rsid w:val="0032513F"/>
    <w:rsid w:val="00326C4B"/>
    <w:rsid w:val="00327212"/>
    <w:rsid w:val="003275EE"/>
    <w:rsid w:val="003305A6"/>
    <w:rsid w:val="00330670"/>
    <w:rsid w:val="00330D78"/>
    <w:rsid w:val="0033125E"/>
    <w:rsid w:val="00331319"/>
    <w:rsid w:val="00332216"/>
    <w:rsid w:val="00332B2B"/>
    <w:rsid w:val="00332FEE"/>
    <w:rsid w:val="00333227"/>
    <w:rsid w:val="00334043"/>
    <w:rsid w:val="0033420D"/>
    <w:rsid w:val="003345EB"/>
    <w:rsid w:val="00334E26"/>
    <w:rsid w:val="003356F0"/>
    <w:rsid w:val="00335CA3"/>
    <w:rsid w:val="003361F2"/>
    <w:rsid w:val="00337321"/>
    <w:rsid w:val="003376C0"/>
    <w:rsid w:val="003379CD"/>
    <w:rsid w:val="00337D0E"/>
    <w:rsid w:val="0034012C"/>
    <w:rsid w:val="00340596"/>
    <w:rsid w:val="003405FE"/>
    <w:rsid w:val="00340865"/>
    <w:rsid w:val="00340DD4"/>
    <w:rsid w:val="0034133B"/>
    <w:rsid w:val="00341538"/>
    <w:rsid w:val="003422E4"/>
    <w:rsid w:val="003427AC"/>
    <w:rsid w:val="00342BE6"/>
    <w:rsid w:val="00343103"/>
    <w:rsid w:val="0034312F"/>
    <w:rsid w:val="0034317C"/>
    <w:rsid w:val="00343B8C"/>
    <w:rsid w:val="00343D97"/>
    <w:rsid w:val="0034406F"/>
    <w:rsid w:val="00344196"/>
    <w:rsid w:val="00344742"/>
    <w:rsid w:val="00344750"/>
    <w:rsid w:val="00344B8A"/>
    <w:rsid w:val="00344F42"/>
    <w:rsid w:val="00345092"/>
    <w:rsid w:val="0034510A"/>
    <w:rsid w:val="00346332"/>
    <w:rsid w:val="00346799"/>
    <w:rsid w:val="00346FCB"/>
    <w:rsid w:val="0034704E"/>
    <w:rsid w:val="00347CED"/>
    <w:rsid w:val="00347F4C"/>
    <w:rsid w:val="003502D4"/>
    <w:rsid w:val="00351C28"/>
    <w:rsid w:val="00351DBF"/>
    <w:rsid w:val="00352099"/>
    <w:rsid w:val="0035227D"/>
    <w:rsid w:val="003529F5"/>
    <w:rsid w:val="00352D98"/>
    <w:rsid w:val="00353295"/>
    <w:rsid w:val="0035335E"/>
    <w:rsid w:val="00353A5F"/>
    <w:rsid w:val="0035455E"/>
    <w:rsid w:val="0035456F"/>
    <w:rsid w:val="003547B3"/>
    <w:rsid w:val="00354A93"/>
    <w:rsid w:val="003550DD"/>
    <w:rsid w:val="00355C35"/>
    <w:rsid w:val="003576FC"/>
    <w:rsid w:val="00357AB8"/>
    <w:rsid w:val="00357BE6"/>
    <w:rsid w:val="003604BE"/>
    <w:rsid w:val="003614E1"/>
    <w:rsid w:val="003614E8"/>
    <w:rsid w:val="00362109"/>
    <w:rsid w:val="003623FE"/>
    <w:rsid w:val="00362764"/>
    <w:rsid w:val="0036298A"/>
    <w:rsid w:val="00363020"/>
    <w:rsid w:val="00363073"/>
    <w:rsid w:val="00363284"/>
    <w:rsid w:val="003639F4"/>
    <w:rsid w:val="00364ACC"/>
    <w:rsid w:val="00364DDD"/>
    <w:rsid w:val="0036677A"/>
    <w:rsid w:val="003668C3"/>
    <w:rsid w:val="003669FA"/>
    <w:rsid w:val="00366AA4"/>
    <w:rsid w:val="003675D7"/>
    <w:rsid w:val="00367A77"/>
    <w:rsid w:val="00367D66"/>
    <w:rsid w:val="00370DBF"/>
    <w:rsid w:val="00370E14"/>
    <w:rsid w:val="00370E16"/>
    <w:rsid w:val="00371613"/>
    <w:rsid w:val="003716DC"/>
    <w:rsid w:val="00371D0A"/>
    <w:rsid w:val="003720DD"/>
    <w:rsid w:val="003726A2"/>
    <w:rsid w:val="00372E8C"/>
    <w:rsid w:val="00374483"/>
    <w:rsid w:val="00374F4F"/>
    <w:rsid w:val="003750D1"/>
    <w:rsid w:val="003751A2"/>
    <w:rsid w:val="00375E3A"/>
    <w:rsid w:val="0037630C"/>
    <w:rsid w:val="00376451"/>
    <w:rsid w:val="0037669D"/>
    <w:rsid w:val="00376A92"/>
    <w:rsid w:val="0037756C"/>
    <w:rsid w:val="003778C1"/>
    <w:rsid w:val="00377BFD"/>
    <w:rsid w:val="00377D36"/>
    <w:rsid w:val="003816B8"/>
    <w:rsid w:val="003822C1"/>
    <w:rsid w:val="00382EBA"/>
    <w:rsid w:val="00383161"/>
    <w:rsid w:val="00383E7C"/>
    <w:rsid w:val="003846D0"/>
    <w:rsid w:val="00384C75"/>
    <w:rsid w:val="00384CD4"/>
    <w:rsid w:val="00385171"/>
    <w:rsid w:val="00386CC8"/>
    <w:rsid w:val="0038756E"/>
    <w:rsid w:val="003877FF"/>
    <w:rsid w:val="00387BAF"/>
    <w:rsid w:val="00387C65"/>
    <w:rsid w:val="00390ECD"/>
    <w:rsid w:val="00391142"/>
    <w:rsid w:val="0039142A"/>
    <w:rsid w:val="00391D00"/>
    <w:rsid w:val="003923D3"/>
    <w:rsid w:val="0039280C"/>
    <w:rsid w:val="00392A51"/>
    <w:rsid w:val="003934C6"/>
    <w:rsid w:val="003936B8"/>
    <w:rsid w:val="0039389D"/>
    <w:rsid w:val="00393A7C"/>
    <w:rsid w:val="00393AA3"/>
    <w:rsid w:val="00394330"/>
    <w:rsid w:val="00394C79"/>
    <w:rsid w:val="00395372"/>
    <w:rsid w:val="00395572"/>
    <w:rsid w:val="00395B11"/>
    <w:rsid w:val="00395EA3"/>
    <w:rsid w:val="00395FFD"/>
    <w:rsid w:val="0039617A"/>
    <w:rsid w:val="00396CF2"/>
    <w:rsid w:val="003970F5"/>
    <w:rsid w:val="003A015F"/>
    <w:rsid w:val="003A079E"/>
    <w:rsid w:val="003A0F2B"/>
    <w:rsid w:val="003A16D5"/>
    <w:rsid w:val="003A1D37"/>
    <w:rsid w:val="003A1E8D"/>
    <w:rsid w:val="003A1FE4"/>
    <w:rsid w:val="003A270E"/>
    <w:rsid w:val="003A359E"/>
    <w:rsid w:val="003A3C80"/>
    <w:rsid w:val="003A41F7"/>
    <w:rsid w:val="003A54CF"/>
    <w:rsid w:val="003A5985"/>
    <w:rsid w:val="003A5E91"/>
    <w:rsid w:val="003A70B4"/>
    <w:rsid w:val="003A748B"/>
    <w:rsid w:val="003A7678"/>
    <w:rsid w:val="003A7779"/>
    <w:rsid w:val="003A7E57"/>
    <w:rsid w:val="003B00A1"/>
    <w:rsid w:val="003B036E"/>
    <w:rsid w:val="003B166F"/>
    <w:rsid w:val="003B335B"/>
    <w:rsid w:val="003B3C8C"/>
    <w:rsid w:val="003B43AD"/>
    <w:rsid w:val="003B4ACF"/>
    <w:rsid w:val="003B4F35"/>
    <w:rsid w:val="003B569B"/>
    <w:rsid w:val="003B627B"/>
    <w:rsid w:val="003B630A"/>
    <w:rsid w:val="003B6C51"/>
    <w:rsid w:val="003B7158"/>
    <w:rsid w:val="003B71AC"/>
    <w:rsid w:val="003B76CA"/>
    <w:rsid w:val="003B7702"/>
    <w:rsid w:val="003B7A41"/>
    <w:rsid w:val="003B7BF1"/>
    <w:rsid w:val="003B7D57"/>
    <w:rsid w:val="003C0130"/>
    <w:rsid w:val="003C079D"/>
    <w:rsid w:val="003C0A10"/>
    <w:rsid w:val="003C1142"/>
    <w:rsid w:val="003C1DD7"/>
    <w:rsid w:val="003C23F5"/>
    <w:rsid w:val="003C2496"/>
    <w:rsid w:val="003C25F3"/>
    <w:rsid w:val="003C2950"/>
    <w:rsid w:val="003C2B51"/>
    <w:rsid w:val="003C307C"/>
    <w:rsid w:val="003C32AC"/>
    <w:rsid w:val="003C3484"/>
    <w:rsid w:val="003C4197"/>
    <w:rsid w:val="003C41AB"/>
    <w:rsid w:val="003C4B6F"/>
    <w:rsid w:val="003C5056"/>
    <w:rsid w:val="003C5462"/>
    <w:rsid w:val="003C5921"/>
    <w:rsid w:val="003C5DBA"/>
    <w:rsid w:val="003C5FC9"/>
    <w:rsid w:val="003C62B5"/>
    <w:rsid w:val="003C658C"/>
    <w:rsid w:val="003C6EAA"/>
    <w:rsid w:val="003C6F58"/>
    <w:rsid w:val="003C737A"/>
    <w:rsid w:val="003C749D"/>
    <w:rsid w:val="003C79B3"/>
    <w:rsid w:val="003C7B1A"/>
    <w:rsid w:val="003D07A2"/>
    <w:rsid w:val="003D1571"/>
    <w:rsid w:val="003D1EBB"/>
    <w:rsid w:val="003D2974"/>
    <w:rsid w:val="003D3D65"/>
    <w:rsid w:val="003D4209"/>
    <w:rsid w:val="003D4834"/>
    <w:rsid w:val="003D536A"/>
    <w:rsid w:val="003D5BB1"/>
    <w:rsid w:val="003D5D3A"/>
    <w:rsid w:val="003D6DE8"/>
    <w:rsid w:val="003D7F12"/>
    <w:rsid w:val="003E045D"/>
    <w:rsid w:val="003E05EA"/>
    <w:rsid w:val="003E0DF6"/>
    <w:rsid w:val="003E1302"/>
    <w:rsid w:val="003E20CE"/>
    <w:rsid w:val="003E26D4"/>
    <w:rsid w:val="003E26DA"/>
    <w:rsid w:val="003E316B"/>
    <w:rsid w:val="003E3A86"/>
    <w:rsid w:val="003E3BA1"/>
    <w:rsid w:val="003E3F9E"/>
    <w:rsid w:val="003E4041"/>
    <w:rsid w:val="003E41D6"/>
    <w:rsid w:val="003E48AB"/>
    <w:rsid w:val="003E4C41"/>
    <w:rsid w:val="003E4C6D"/>
    <w:rsid w:val="003E6012"/>
    <w:rsid w:val="003E6329"/>
    <w:rsid w:val="003E6ACC"/>
    <w:rsid w:val="003F09A0"/>
    <w:rsid w:val="003F0A5A"/>
    <w:rsid w:val="003F11E5"/>
    <w:rsid w:val="003F1AE5"/>
    <w:rsid w:val="003F1D01"/>
    <w:rsid w:val="003F1F0B"/>
    <w:rsid w:val="003F1FAC"/>
    <w:rsid w:val="003F2218"/>
    <w:rsid w:val="003F2CC3"/>
    <w:rsid w:val="003F2D9B"/>
    <w:rsid w:val="003F371B"/>
    <w:rsid w:val="003F3810"/>
    <w:rsid w:val="003F396F"/>
    <w:rsid w:val="003F41D5"/>
    <w:rsid w:val="003F46F0"/>
    <w:rsid w:val="003F4825"/>
    <w:rsid w:val="003F5BE5"/>
    <w:rsid w:val="003F61BB"/>
    <w:rsid w:val="003F64B2"/>
    <w:rsid w:val="003F6F83"/>
    <w:rsid w:val="003F792D"/>
    <w:rsid w:val="003F79FD"/>
    <w:rsid w:val="003F7E65"/>
    <w:rsid w:val="00400437"/>
    <w:rsid w:val="0040093B"/>
    <w:rsid w:val="004009F6"/>
    <w:rsid w:val="00401168"/>
    <w:rsid w:val="0040131A"/>
    <w:rsid w:val="00401352"/>
    <w:rsid w:val="00401CEC"/>
    <w:rsid w:val="00401F19"/>
    <w:rsid w:val="004026CD"/>
    <w:rsid w:val="0040298E"/>
    <w:rsid w:val="00403103"/>
    <w:rsid w:val="00403C03"/>
    <w:rsid w:val="00404A0D"/>
    <w:rsid w:val="00404B27"/>
    <w:rsid w:val="00404B96"/>
    <w:rsid w:val="00405496"/>
    <w:rsid w:val="004055C9"/>
    <w:rsid w:val="00405606"/>
    <w:rsid w:val="00405680"/>
    <w:rsid w:val="0040589F"/>
    <w:rsid w:val="00406CF9"/>
    <w:rsid w:val="00407C0D"/>
    <w:rsid w:val="00407C7C"/>
    <w:rsid w:val="00407FAB"/>
    <w:rsid w:val="0041069A"/>
    <w:rsid w:val="004109C5"/>
    <w:rsid w:val="004110DD"/>
    <w:rsid w:val="00411BB9"/>
    <w:rsid w:val="00411C74"/>
    <w:rsid w:val="00412393"/>
    <w:rsid w:val="00412528"/>
    <w:rsid w:val="00412893"/>
    <w:rsid w:val="00412F99"/>
    <w:rsid w:val="00413165"/>
    <w:rsid w:val="004133AD"/>
    <w:rsid w:val="004139DE"/>
    <w:rsid w:val="00413EC0"/>
    <w:rsid w:val="00414034"/>
    <w:rsid w:val="00414237"/>
    <w:rsid w:val="004145E1"/>
    <w:rsid w:val="004146B5"/>
    <w:rsid w:val="00414B45"/>
    <w:rsid w:val="00415590"/>
    <w:rsid w:val="00416BC5"/>
    <w:rsid w:val="00417129"/>
    <w:rsid w:val="00417391"/>
    <w:rsid w:val="004174B9"/>
    <w:rsid w:val="00417CC8"/>
    <w:rsid w:val="00417DB4"/>
    <w:rsid w:val="0042053C"/>
    <w:rsid w:val="00420677"/>
    <w:rsid w:val="00420ED6"/>
    <w:rsid w:val="00421042"/>
    <w:rsid w:val="00421426"/>
    <w:rsid w:val="0042186F"/>
    <w:rsid w:val="00421AE4"/>
    <w:rsid w:val="00422130"/>
    <w:rsid w:val="004221AA"/>
    <w:rsid w:val="004221D9"/>
    <w:rsid w:val="0042245E"/>
    <w:rsid w:val="00422BD0"/>
    <w:rsid w:val="004234E9"/>
    <w:rsid w:val="00423D46"/>
    <w:rsid w:val="0042409B"/>
    <w:rsid w:val="004248EE"/>
    <w:rsid w:val="004249FE"/>
    <w:rsid w:val="00425606"/>
    <w:rsid w:val="00425EDB"/>
    <w:rsid w:val="0042667E"/>
    <w:rsid w:val="00427345"/>
    <w:rsid w:val="00427C68"/>
    <w:rsid w:val="004305FF"/>
    <w:rsid w:val="00430AAC"/>
    <w:rsid w:val="004311B6"/>
    <w:rsid w:val="00431647"/>
    <w:rsid w:val="0043214D"/>
    <w:rsid w:val="004321FC"/>
    <w:rsid w:val="0043250B"/>
    <w:rsid w:val="00432924"/>
    <w:rsid w:val="00432D22"/>
    <w:rsid w:val="00434FB4"/>
    <w:rsid w:val="00435915"/>
    <w:rsid w:val="00435EEE"/>
    <w:rsid w:val="00436060"/>
    <w:rsid w:val="00436497"/>
    <w:rsid w:val="00436739"/>
    <w:rsid w:val="004367AF"/>
    <w:rsid w:val="00436D18"/>
    <w:rsid w:val="0043742E"/>
    <w:rsid w:val="004379E6"/>
    <w:rsid w:val="00437E00"/>
    <w:rsid w:val="00437E69"/>
    <w:rsid w:val="00440273"/>
    <w:rsid w:val="00441EB2"/>
    <w:rsid w:val="00442389"/>
    <w:rsid w:val="00442602"/>
    <w:rsid w:val="004426FE"/>
    <w:rsid w:val="00442708"/>
    <w:rsid w:val="00442896"/>
    <w:rsid w:val="00443130"/>
    <w:rsid w:val="0044335B"/>
    <w:rsid w:val="004435D5"/>
    <w:rsid w:val="00443C09"/>
    <w:rsid w:val="00444779"/>
    <w:rsid w:val="00444945"/>
    <w:rsid w:val="00444C6A"/>
    <w:rsid w:val="004450C8"/>
    <w:rsid w:val="004453FF"/>
    <w:rsid w:val="00445689"/>
    <w:rsid w:val="00445D7D"/>
    <w:rsid w:val="00445FB8"/>
    <w:rsid w:val="00446057"/>
    <w:rsid w:val="00446905"/>
    <w:rsid w:val="004469DC"/>
    <w:rsid w:val="00446BA7"/>
    <w:rsid w:val="0044767D"/>
    <w:rsid w:val="00447BD6"/>
    <w:rsid w:val="00447C41"/>
    <w:rsid w:val="00450431"/>
    <w:rsid w:val="00450A32"/>
    <w:rsid w:val="00450F3B"/>
    <w:rsid w:val="00451314"/>
    <w:rsid w:val="0045134E"/>
    <w:rsid w:val="004513FE"/>
    <w:rsid w:val="00451887"/>
    <w:rsid w:val="00451B19"/>
    <w:rsid w:val="00451FD3"/>
    <w:rsid w:val="00451FE3"/>
    <w:rsid w:val="00452545"/>
    <w:rsid w:val="00453335"/>
    <w:rsid w:val="00453CB6"/>
    <w:rsid w:val="0045461E"/>
    <w:rsid w:val="00454952"/>
    <w:rsid w:val="004549E6"/>
    <w:rsid w:val="004555AE"/>
    <w:rsid w:val="0045597F"/>
    <w:rsid w:val="00455E01"/>
    <w:rsid w:val="00456960"/>
    <w:rsid w:val="00456B2D"/>
    <w:rsid w:val="00457AB4"/>
    <w:rsid w:val="00457EF9"/>
    <w:rsid w:val="00460216"/>
    <w:rsid w:val="0046070E"/>
    <w:rsid w:val="0046098D"/>
    <w:rsid w:val="00460D56"/>
    <w:rsid w:val="00460FA6"/>
    <w:rsid w:val="0046133D"/>
    <w:rsid w:val="00461C99"/>
    <w:rsid w:val="00461EAB"/>
    <w:rsid w:val="0046227A"/>
    <w:rsid w:val="00462734"/>
    <w:rsid w:val="00462B50"/>
    <w:rsid w:val="00462BFC"/>
    <w:rsid w:val="004637CA"/>
    <w:rsid w:val="00463B24"/>
    <w:rsid w:val="00464245"/>
    <w:rsid w:val="00464BC2"/>
    <w:rsid w:val="00465258"/>
    <w:rsid w:val="00465E79"/>
    <w:rsid w:val="004664E5"/>
    <w:rsid w:val="00466667"/>
    <w:rsid w:val="004667B5"/>
    <w:rsid w:val="00466C99"/>
    <w:rsid w:val="00466EA9"/>
    <w:rsid w:val="0047010A"/>
    <w:rsid w:val="00470345"/>
    <w:rsid w:val="00470E31"/>
    <w:rsid w:val="00470FE1"/>
    <w:rsid w:val="00471168"/>
    <w:rsid w:val="0047147B"/>
    <w:rsid w:val="0047180A"/>
    <w:rsid w:val="00471CBA"/>
    <w:rsid w:val="0047220B"/>
    <w:rsid w:val="00472342"/>
    <w:rsid w:val="00472B36"/>
    <w:rsid w:val="00472F9C"/>
    <w:rsid w:val="0047327C"/>
    <w:rsid w:val="00473C6D"/>
    <w:rsid w:val="00473E91"/>
    <w:rsid w:val="004744D3"/>
    <w:rsid w:val="004752EA"/>
    <w:rsid w:val="0047571B"/>
    <w:rsid w:val="00476222"/>
    <w:rsid w:val="00476395"/>
    <w:rsid w:val="004765E3"/>
    <w:rsid w:val="00476713"/>
    <w:rsid w:val="0047679E"/>
    <w:rsid w:val="00476A57"/>
    <w:rsid w:val="00477EBD"/>
    <w:rsid w:val="004812EF"/>
    <w:rsid w:val="00481CC3"/>
    <w:rsid w:val="0048278F"/>
    <w:rsid w:val="00482836"/>
    <w:rsid w:val="00482B6D"/>
    <w:rsid w:val="00482EE3"/>
    <w:rsid w:val="004830C6"/>
    <w:rsid w:val="00483775"/>
    <w:rsid w:val="00483795"/>
    <w:rsid w:val="00483C41"/>
    <w:rsid w:val="00483CA7"/>
    <w:rsid w:val="00484122"/>
    <w:rsid w:val="00484BEA"/>
    <w:rsid w:val="00484C53"/>
    <w:rsid w:val="00484E0C"/>
    <w:rsid w:val="00485CB4"/>
    <w:rsid w:val="00486D4D"/>
    <w:rsid w:val="0049030F"/>
    <w:rsid w:val="0049077E"/>
    <w:rsid w:val="00490C5E"/>
    <w:rsid w:val="0049190C"/>
    <w:rsid w:val="00491C76"/>
    <w:rsid w:val="00491EAB"/>
    <w:rsid w:val="00491EAF"/>
    <w:rsid w:val="004923B7"/>
    <w:rsid w:val="0049273F"/>
    <w:rsid w:val="00493444"/>
    <w:rsid w:val="0049357B"/>
    <w:rsid w:val="00493E1B"/>
    <w:rsid w:val="00494768"/>
    <w:rsid w:val="00494BD5"/>
    <w:rsid w:val="0049525A"/>
    <w:rsid w:val="0049555B"/>
    <w:rsid w:val="0049592C"/>
    <w:rsid w:val="00495A56"/>
    <w:rsid w:val="00495D34"/>
    <w:rsid w:val="00496857"/>
    <w:rsid w:val="004972F9"/>
    <w:rsid w:val="004A0429"/>
    <w:rsid w:val="004A06B9"/>
    <w:rsid w:val="004A097D"/>
    <w:rsid w:val="004A09C6"/>
    <w:rsid w:val="004A1570"/>
    <w:rsid w:val="004A1BF7"/>
    <w:rsid w:val="004A2437"/>
    <w:rsid w:val="004A2907"/>
    <w:rsid w:val="004A29EF"/>
    <w:rsid w:val="004A2CD6"/>
    <w:rsid w:val="004A345F"/>
    <w:rsid w:val="004A3468"/>
    <w:rsid w:val="004A3874"/>
    <w:rsid w:val="004A3FD1"/>
    <w:rsid w:val="004A4189"/>
    <w:rsid w:val="004A46DD"/>
    <w:rsid w:val="004A4B3C"/>
    <w:rsid w:val="004A4D41"/>
    <w:rsid w:val="004A4FED"/>
    <w:rsid w:val="004A5CF7"/>
    <w:rsid w:val="004A5D95"/>
    <w:rsid w:val="004A5DB1"/>
    <w:rsid w:val="004A6157"/>
    <w:rsid w:val="004A695B"/>
    <w:rsid w:val="004A695F"/>
    <w:rsid w:val="004A741D"/>
    <w:rsid w:val="004A7B9E"/>
    <w:rsid w:val="004B00C7"/>
    <w:rsid w:val="004B0225"/>
    <w:rsid w:val="004B02BA"/>
    <w:rsid w:val="004B063C"/>
    <w:rsid w:val="004B0954"/>
    <w:rsid w:val="004B150D"/>
    <w:rsid w:val="004B17CE"/>
    <w:rsid w:val="004B1DD0"/>
    <w:rsid w:val="004B2313"/>
    <w:rsid w:val="004B2655"/>
    <w:rsid w:val="004B2A9F"/>
    <w:rsid w:val="004B2C12"/>
    <w:rsid w:val="004B2CC3"/>
    <w:rsid w:val="004B4188"/>
    <w:rsid w:val="004B42B1"/>
    <w:rsid w:val="004B44E3"/>
    <w:rsid w:val="004B455D"/>
    <w:rsid w:val="004B45DD"/>
    <w:rsid w:val="004B49C4"/>
    <w:rsid w:val="004B5024"/>
    <w:rsid w:val="004B5677"/>
    <w:rsid w:val="004B57BC"/>
    <w:rsid w:val="004B60EB"/>
    <w:rsid w:val="004B6786"/>
    <w:rsid w:val="004B67B0"/>
    <w:rsid w:val="004B6970"/>
    <w:rsid w:val="004B6D2E"/>
    <w:rsid w:val="004B6D7D"/>
    <w:rsid w:val="004B7CE9"/>
    <w:rsid w:val="004C0088"/>
    <w:rsid w:val="004C0626"/>
    <w:rsid w:val="004C084F"/>
    <w:rsid w:val="004C0917"/>
    <w:rsid w:val="004C10ED"/>
    <w:rsid w:val="004C153D"/>
    <w:rsid w:val="004C190B"/>
    <w:rsid w:val="004C1B30"/>
    <w:rsid w:val="004C1BEB"/>
    <w:rsid w:val="004C2BC1"/>
    <w:rsid w:val="004C3629"/>
    <w:rsid w:val="004C38A5"/>
    <w:rsid w:val="004C3A67"/>
    <w:rsid w:val="004C4399"/>
    <w:rsid w:val="004C46C9"/>
    <w:rsid w:val="004C4ADC"/>
    <w:rsid w:val="004C4B32"/>
    <w:rsid w:val="004C4E37"/>
    <w:rsid w:val="004C5249"/>
    <w:rsid w:val="004C538A"/>
    <w:rsid w:val="004C647E"/>
    <w:rsid w:val="004C6B6C"/>
    <w:rsid w:val="004C6FD0"/>
    <w:rsid w:val="004D0888"/>
    <w:rsid w:val="004D1933"/>
    <w:rsid w:val="004D1BBA"/>
    <w:rsid w:val="004D1E99"/>
    <w:rsid w:val="004D2366"/>
    <w:rsid w:val="004D36F6"/>
    <w:rsid w:val="004D41D2"/>
    <w:rsid w:val="004D4284"/>
    <w:rsid w:val="004D4FF1"/>
    <w:rsid w:val="004D4FF6"/>
    <w:rsid w:val="004D5F6B"/>
    <w:rsid w:val="004D7C38"/>
    <w:rsid w:val="004D7E22"/>
    <w:rsid w:val="004E0169"/>
    <w:rsid w:val="004E01B6"/>
    <w:rsid w:val="004E0C75"/>
    <w:rsid w:val="004E13BA"/>
    <w:rsid w:val="004E1698"/>
    <w:rsid w:val="004E22D3"/>
    <w:rsid w:val="004E31F1"/>
    <w:rsid w:val="004E41C5"/>
    <w:rsid w:val="004E4BDC"/>
    <w:rsid w:val="004E4DFC"/>
    <w:rsid w:val="004E500F"/>
    <w:rsid w:val="004E58FB"/>
    <w:rsid w:val="004E6E12"/>
    <w:rsid w:val="004E7474"/>
    <w:rsid w:val="004E754F"/>
    <w:rsid w:val="004E7FD4"/>
    <w:rsid w:val="004F05E0"/>
    <w:rsid w:val="004F0D89"/>
    <w:rsid w:val="004F0EC5"/>
    <w:rsid w:val="004F1111"/>
    <w:rsid w:val="004F144C"/>
    <w:rsid w:val="004F178B"/>
    <w:rsid w:val="004F20D8"/>
    <w:rsid w:val="004F2D4A"/>
    <w:rsid w:val="004F2E1E"/>
    <w:rsid w:val="004F3A82"/>
    <w:rsid w:val="004F4074"/>
    <w:rsid w:val="004F436E"/>
    <w:rsid w:val="004F46AD"/>
    <w:rsid w:val="004F4D16"/>
    <w:rsid w:val="004F5197"/>
    <w:rsid w:val="004F531D"/>
    <w:rsid w:val="004F59C6"/>
    <w:rsid w:val="004F5FFF"/>
    <w:rsid w:val="004F6364"/>
    <w:rsid w:val="004F65CD"/>
    <w:rsid w:val="004F7B7B"/>
    <w:rsid w:val="004F7BFF"/>
    <w:rsid w:val="00500138"/>
    <w:rsid w:val="005007BF"/>
    <w:rsid w:val="00500FEF"/>
    <w:rsid w:val="005015A8"/>
    <w:rsid w:val="005019C9"/>
    <w:rsid w:val="00501F4A"/>
    <w:rsid w:val="005021EF"/>
    <w:rsid w:val="0050242C"/>
    <w:rsid w:val="00502A84"/>
    <w:rsid w:val="0050346A"/>
    <w:rsid w:val="00503C4F"/>
    <w:rsid w:val="00504A87"/>
    <w:rsid w:val="00504D3D"/>
    <w:rsid w:val="00504EC9"/>
    <w:rsid w:val="00504F1A"/>
    <w:rsid w:val="005062DC"/>
    <w:rsid w:val="00506A3F"/>
    <w:rsid w:val="00506E56"/>
    <w:rsid w:val="00507EBC"/>
    <w:rsid w:val="005102CD"/>
    <w:rsid w:val="0051067E"/>
    <w:rsid w:val="005116FF"/>
    <w:rsid w:val="00511822"/>
    <w:rsid w:val="0051237E"/>
    <w:rsid w:val="00512602"/>
    <w:rsid w:val="00512BBE"/>
    <w:rsid w:val="005136C9"/>
    <w:rsid w:val="00513805"/>
    <w:rsid w:val="0051383F"/>
    <w:rsid w:val="0051467C"/>
    <w:rsid w:val="0051558D"/>
    <w:rsid w:val="00515931"/>
    <w:rsid w:val="00515B68"/>
    <w:rsid w:val="00515BCE"/>
    <w:rsid w:val="00515BD3"/>
    <w:rsid w:val="005162F7"/>
    <w:rsid w:val="00516F6D"/>
    <w:rsid w:val="00517026"/>
    <w:rsid w:val="005206A7"/>
    <w:rsid w:val="00520A1E"/>
    <w:rsid w:val="00521204"/>
    <w:rsid w:val="0052178F"/>
    <w:rsid w:val="00522D6A"/>
    <w:rsid w:val="00523202"/>
    <w:rsid w:val="005235FE"/>
    <w:rsid w:val="00523F90"/>
    <w:rsid w:val="005241D0"/>
    <w:rsid w:val="005249AC"/>
    <w:rsid w:val="005251ED"/>
    <w:rsid w:val="005262EE"/>
    <w:rsid w:val="005272C5"/>
    <w:rsid w:val="005307E0"/>
    <w:rsid w:val="00531179"/>
    <w:rsid w:val="00531B2E"/>
    <w:rsid w:val="00532CC3"/>
    <w:rsid w:val="00533753"/>
    <w:rsid w:val="00533BFB"/>
    <w:rsid w:val="00533DD2"/>
    <w:rsid w:val="0053403A"/>
    <w:rsid w:val="0053493B"/>
    <w:rsid w:val="0053495B"/>
    <w:rsid w:val="00534F14"/>
    <w:rsid w:val="005352D5"/>
    <w:rsid w:val="00535D28"/>
    <w:rsid w:val="00535D51"/>
    <w:rsid w:val="00535DDF"/>
    <w:rsid w:val="0053660F"/>
    <w:rsid w:val="00537076"/>
    <w:rsid w:val="005371B5"/>
    <w:rsid w:val="00537EC5"/>
    <w:rsid w:val="005404AA"/>
    <w:rsid w:val="005409BD"/>
    <w:rsid w:val="00541644"/>
    <w:rsid w:val="00542350"/>
    <w:rsid w:val="0054249F"/>
    <w:rsid w:val="00542729"/>
    <w:rsid w:val="00543400"/>
    <w:rsid w:val="00543F5D"/>
    <w:rsid w:val="00544BC3"/>
    <w:rsid w:val="00544C26"/>
    <w:rsid w:val="00544C64"/>
    <w:rsid w:val="005453A8"/>
    <w:rsid w:val="00545C44"/>
    <w:rsid w:val="005467B3"/>
    <w:rsid w:val="0054711C"/>
    <w:rsid w:val="005477CE"/>
    <w:rsid w:val="00547830"/>
    <w:rsid w:val="005501AD"/>
    <w:rsid w:val="005505B0"/>
    <w:rsid w:val="00550606"/>
    <w:rsid w:val="00551CB7"/>
    <w:rsid w:val="005528D7"/>
    <w:rsid w:val="00552C97"/>
    <w:rsid w:val="00552E4A"/>
    <w:rsid w:val="005531EA"/>
    <w:rsid w:val="0055326D"/>
    <w:rsid w:val="00554031"/>
    <w:rsid w:val="005547E5"/>
    <w:rsid w:val="00555187"/>
    <w:rsid w:val="00555A07"/>
    <w:rsid w:val="00555CBE"/>
    <w:rsid w:val="005563CC"/>
    <w:rsid w:val="005572F3"/>
    <w:rsid w:val="0055740F"/>
    <w:rsid w:val="005575D6"/>
    <w:rsid w:val="00560003"/>
    <w:rsid w:val="0056086E"/>
    <w:rsid w:val="00560C5B"/>
    <w:rsid w:val="00561364"/>
    <w:rsid w:val="005618C9"/>
    <w:rsid w:val="00562210"/>
    <w:rsid w:val="00564A31"/>
    <w:rsid w:val="00564ACF"/>
    <w:rsid w:val="00564E4E"/>
    <w:rsid w:val="00565034"/>
    <w:rsid w:val="00565284"/>
    <w:rsid w:val="005653D0"/>
    <w:rsid w:val="005657E7"/>
    <w:rsid w:val="005663BB"/>
    <w:rsid w:val="0056653E"/>
    <w:rsid w:val="00566A07"/>
    <w:rsid w:val="005674CC"/>
    <w:rsid w:val="0056775D"/>
    <w:rsid w:val="005706E9"/>
    <w:rsid w:val="00570EB8"/>
    <w:rsid w:val="005712FC"/>
    <w:rsid w:val="0057142F"/>
    <w:rsid w:val="005717DC"/>
    <w:rsid w:val="00571EA2"/>
    <w:rsid w:val="00571F25"/>
    <w:rsid w:val="005728BE"/>
    <w:rsid w:val="00572D4D"/>
    <w:rsid w:val="00572FF7"/>
    <w:rsid w:val="00573098"/>
    <w:rsid w:val="00573123"/>
    <w:rsid w:val="00573D42"/>
    <w:rsid w:val="00574874"/>
    <w:rsid w:val="00574EE5"/>
    <w:rsid w:val="0057515C"/>
    <w:rsid w:val="0057520D"/>
    <w:rsid w:val="0057543B"/>
    <w:rsid w:val="00575977"/>
    <w:rsid w:val="00576D7D"/>
    <w:rsid w:val="00577488"/>
    <w:rsid w:val="00580345"/>
    <w:rsid w:val="005817AE"/>
    <w:rsid w:val="005829A8"/>
    <w:rsid w:val="00582A28"/>
    <w:rsid w:val="00582C4F"/>
    <w:rsid w:val="00583375"/>
    <w:rsid w:val="00583DB6"/>
    <w:rsid w:val="00583F3B"/>
    <w:rsid w:val="00584902"/>
    <w:rsid w:val="00585FE3"/>
    <w:rsid w:val="0058640A"/>
    <w:rsid w:val="00586580"/>
    <w:rsid w:val="005867AF"/>
    <w:rsid w:val="00586C76"/>
    <w:rsid w:val="00587861"/>
    <w:rsid w:val="005879D3"/>
    <w:rsid w:val="00587EA9"/>
    <w:rsid w:val="00590555"/>
    <w:rsid w:val="005911CD"/>
    <w:rsid w:val="005912F2"/>
    <w:rsid w:val="00591C42"/>
    <w:rsid w:val="00591E61"/>
    <w:rsid w:val="005926DD"/>
    <w:rsid w:val="00592777"/>
    <w:rsid w:val="005928D7"/>
    <w:rsid w:val="00593222"/>
    <w:rsid w:val="00593394"/>
    <w:rsid w:val="00593636"/>
    <w:rsid w:val="0059446C"/>
    <w:rsid w:val="00594522"/>
    <w:rsid w:val="00595D20"/>
    <w:rsid w:val="00595E09"/>
    <w:rsid w:val="00596306"/>
    <w:rsid w:val="005966CC"/>
    <w:rsid w:val="00596A6B"/>
    <w:rsid w:val="00596F59"/>
    <w:rsid w:val="00596FC1"/>
    <w:rsid w:val="0059766C"/>
    <w:rsid w:val="005977DC"/>
    <w:rsid w:val="005A0320"/>
    <w:rsid w:val="005A09F7"/>
    <w:rsid w:val="005A0DC5"/>
    <w:rsid w:val="005A12E1"/>
    <w:rsid w:val="005A1B51"/>
    <w:rsid w:val="005A1E94"/>
    <w:rsid w:val="005A22C9"/>
    <w:rsid w:val="005A2463"/>
    <w:rsid w:val="005A26C7"/>
    <w:rsid w:val="005A2720"/>
    <w:rsid w:val="005A2862"/>
    <w:rsid w:val="005A2A89"/>
    <w:rsid w:val="005A2E34"/>
    <w:rsid w:val="005A3C1E"/>
    <w:rsid w:val="005A3D52"/>
    <w:rsid w:val="005A3DE7"/>
    <w:rsid w:val="005A3E01"/>
    <w:rsid w:val="005A4299"/>
    <w:rsid w:val="005A47AD"/>
    <w:rsid w:val="005A4B44"/>
    <w:rsid w:val="005A4FA0"/>
    <w:rsid w:val="005A676B"/>
    <w:rsid w:val="005A6A82"/>
    <w:rsid w:val="005A6EC2"/>
    <w:rsid w:val="005A7515"/>
    <w:rsid w:val="005A7632"/>
    <w:rsid w:val="005A785E"/>
    <w:rsid w:val="005B00CA"/>
    <w:rsid w:val="005B02FF"/>
    <w:rsid w:val="005B0A30"/>
    <w:rsid w:val="005B0BA9"/>
    <w:rsid w:val="005B245C"/>
    <w:rsid w:val="005B2604"/>
    <w:rsid w:val="005B3F41"/>
    <w:rsid w:val="005B4A16"/>
    <w:rsid w:val="005B4B96"/>
    <w:rsid w:val="005B6097"/>
    <w:rsid w:val="005B62E3"/>
    <w:rsid w:val="005B675E"/>
    <w:rsid w:val="005B6D9F"/>
    <w:rsid w:val="005B738D"/>
    <w:rsid w:val="005B779B"/>
    <w:rsid w:val="005B7D72"/>
    <w:rsid w:val="005C0D67"/>
    <w:rsid w:val="005C1085"/>
    <w:rsid w:val="005C168E"/>
    <w:rsid w:val="005C1A40"/>
    <w:rsid w:val="005C1C52"/>
    <w:rsid w:val="005C1F6E"/>
    <w:rsid w:val="005C2D7F"/>
    <w:rsid w:val="005C3220"/>
    <w:rsid w:val="005C3444"/>
    <w:rsid w:val="005C3692"/>
    <w:rsid w:val="005C3D70"/>
    <w:rsid w:val="005C4876"/>
    <w:rsid w:val="005C5392"/>
    <w:rsid w:val="005C5891"/>
    <w:rsid w:val="005C58C8"/>
    <w:rsid w:val="005C6FEB"/>
    <w:rsid w:val="005C7935"/>
    <w:rsid w:val="005D07B1"/>
    <w:rsid w:val="005D1212"/>
    <w:rsid w:val="005D13BA"/>
    <w:rsid w:val="005D1DC0"/>
    <w:rsid w:val="005D317A"/>
    <w:rsid w:val="005D36EC"/>
    <w:rsid w:val="005D3891"/>
    <w:rsid w:val="005D3B81"/>
    <w:rsid w:val="005D3DE7"/>
    <w:rsid w:val="005D3FD3"/>
    <w:rsid w:val="005D4D69"/>
    <w:rsid w:val="005D593A"/>
    <w:rsid w:val="005D5C65"/>
    <w:rsid w:val="005D6D63"/>
    <w:rsid w:val="005D7295"/>
    <w:rsid w:val="005D76BC"/>
    <w:rsid w:val="005E0DB4"/>
    <w:rsid w:val="005E20D0"/>
    <w:rsid w:val="005E2E25"/>
    <w:rsid w:val="005E34F8"/>
    <w:rsid w:val="005E392B"/>
    <w:rsid w:val="005E3E25"/>
    <w:rsid w:val="005E4BF2"/>
    <w:rsid w:val="005E4C10"/>
    <w:rsid w:val="005E505F"/>
    <w:rsid w:val="005E57E0"/>
    <w:rsid w:val="005E6C8C"/>
    <w:rsid w:val="005E6EBA"/>
    <w:rsid w:val="005E7B87"/>
    <w:rsid w:val="005E7BAE"/>
    <w:rsid w:val="005F11CD"/>
    <w:rsid w:val="005F1407"/>
    <w:rsid w:val="005F1EE4"/>
    <w:rsid w:val="005F206C"/>
    <w:rsid w:val="005F20E5"/>
    <w:rsid w:val="005F2860"/>
    <w:rsid w:val="005F2A27"/>
    <w:rsid w:val="005F3170"/>
    <w:rsid w:val="005F3523"/>
    <w:rsid w:val="005F3704"/>
    <w:rsid w:val="005F51CE"/>
    <w:rsid w:val="005F5479"/>
    <w:rsid w:val="005F59F1"/>
    <w:rsid w:val="005F5F5C"/>
    <w:rsid w:val="005F649F"/>
    <w:rsid w:val="005F64B5"/>
    <w:rsid w:val="005F7948"/>
    <w:rsid w:val="005F7E5F"/>
    <w:rsid w:val="006000C0"/>
    <w:rsid w:val="0060022F"/>
    <w:rsid w:val="006002D6"/>
    <w:rsid w:val="00600492"/>
    <w:rsid w:val="0060053D"/>
    <w:rsid w:val="00600B87"/>
    <w:rsid w:val="0060134B"/>
    <w:rsid w:val="0060240E"/>
    <w:rsid w:val="00602420"/>
    <w:rsid w:val="0060311C"/>
    <w:rsid w:val="006039EA"/>
    <w:rsid w:val="0060475D"/>
    <w:rsid w:val="00604D47"/>
    <w:rsid w:val="006051DE"/>
    <w:rsid w:val="0060593E"/>
    <w:rsid w:val="00605B25"/>
    <w:rsid w:val="00605E92"/>
    <w:rsid w:val="0060624F"/>
    <w:rsid w:val="006062D2"/>
    <w:rsid w:val="00606532"/>
    <w:rsid w:val="00606B22"/>
    <w:rsid w:val="00606CAA"/>
    <w:rsid w:val="006071E1"/>
    <w:rsid w:val="00607C4C"/>
    <w:rsid w:val="00607EA7"/>
    <w:rsid w:val="00610239"/>
    <w:rsid w:val="006102CB"/>
    <w:rsid w:val="00610360"/>
    <w:rsid w:val="00611AB0"/>
    <w:rsid w:val="00611BBD"/>
    <w:rsid w:val="00611C3E"/>
    <w:rsid w:val="006128B2"/>
    <w:rsid w:val="00613D12"/>
    <w:rsid w:val="00614526"/>
    <w:rsid w:val="00614F10"/>
    <w:rsid w:val="0061506A"/>
    <w:rsid w:val="006159E3"/>
    <w:rsid w:val="00615D98"/>
    <w:rsid w:val="00616673"/>
    <w:rsid w:val="00616A87"/>
    <w:rsid w:val="00616D9A"/>
    <w:rsid w:val="00616E1E"/>
    <w:rsid w:val="006175A6"/>
    <w:rsid w:val="00617732"/>
    <w:rsid w:val="00617AE6"/>
    <w:rsid w:val="00617E2F"/>
    <w:rsid w:val="006206C1"/>
    <w:rsid w:val="0062076D"/>
    <w:rsid w:val="00620A12"/>
    <w:rsid w:val="00620A40"/>
    <w:rsid w:val="00621540"/>
    <w:rsid w:val="00621728"/>
    <w:rsid w:val="00622A4B"/>
    <w:rsid w:val="00622D42"/>
    <w:rsid w:val="00622EDF"/>
    <w:rsid w:val="006230C1"/>
    <w:rsid w:val="006237BD"/>
    <w:rsid w:val="00623FE6"/>
    <w:rsid w:val="006254BA"/>
    <w:rsid w:val="00625955"/>
    <w:rsid w:val="00626579"/>
    <w:rsid w:val="00626731"/>
    <w:rsid w:val="0062678F"/>
    <w:rsid w:val="0062686E"/>
    <w:rsid w:val="00626B8E"/>
    <w:rsid w:val="00626E7E"/>
    <w:rsid w:val="00627097"/>
    <w:rsid w:val="006301ED"/>
    <w:rsid w:val="00630201"/>
    <w:rsid w:val="00630D74"/>
    <w:rsid w:val="00631016"/>
    <w:rsid w:val="0063112A"/>
    <w:rsid w:val="00631A2F"/>
    <w:rsid w:val="00631C6C"/>
    <w:rsid w:val="00631CC7"/>
    <w:rsid w:val="0063289A"/>
    <w:rsid w:val="00632B63"/>
    <w:rsid w:val="006333A0"/>
    <w:rsid w:val="00634351"/>
    <w:rsid w:val="006346A0"/>
    <w:rsid w:val="006347DC"/>
    <w:rsid w:val="00635104"/>
    <w:rsid w:val="00635D90"/>
    <w:rsid w:val="00637F56"/>
    <w:rsid w:val="006412A9"/>
    <w:rsid w:val="0064195D"/>
    <w:rsid w:val="0064253C"/>
    <w:rsid w:val="006427A3"/>
    <w:rsid w:val="00642BD0"/>
    <w:rsid w:val="00643949"/>
    <w:rsid w:val="006440BB"/>
    <w:rsid w:val="006444C0"/>
    <w:rsid w:val="00644B0B"/>
    <w:rsid w:val="00644E76"/>
    <w:rsid w:val="00645A14"/>
    <w:rsid w:val="00645C29"/>
    <w:rsid w:val="006463CB"/>
    <w:rsid w:val="00646C2B"/>
    <w:rsid w:val="00646E19"/>
    <w:rsid w:val="00646EC5"/>
    <w:rsid w:val="006470D1"/>
    <w:rsid w:val="006472F1"/>
    <w:rsid w:val="00647393"/>
    <w:rsid w:val="00650B24"/>
    <w:rsid w:val="006513B7"/>
    <w:rsid w:val="00651646"/>
    <w:rsid w:val="006518A1"/>
    <w:rsid w:val="006521D6"/>
    <w:rsid w:val="006523EE"/>
    <w:rsid w:val="0065243A"/>
    <w:rsid w:val="00652B96"/>
    <w:rsid w:val="00652C63"/>
    <w:rsid w:val="0065345C"/>
    <w:rsid w:val="00653928"/>
    <w:rsid w:val="00653AF1"/>
    <w:rsid w:val="00654635"/>
    <w:rsid w:val="006549AB"/>
    <w:rsid w:val="00654C8B"/>
    <w:rsid w:val="00654CA1"/>
    <w:rsid w:val="006554C7"/>
    <w:rsid w:val="00656707"/>
    <w:rsid w:val="00656F2E"/>
    <w:rsid w:val="00657687"/>
    <w:rsid w:val="0065788B"/>
    <w:rsid w:val="00657B21"/>
    <w:rsid w:val="00657F58"/>
    <w:rsid w:val="006600BB"/>
    <w:rsid w:val="00660757"/>
    <w:rsid w:val="00660799"/>
    <w:rsid w:val="00660D1D"/>
    <w:rsid w:val="00660D4A"/>
    <w:rsid w:val="006617CF"/>
    <w:rsid w:val="00662458"/>
    <w:rsid w:val="0066291C"/>
    <w:rsid w:val="00662FC4"/>
    <w:rsid w:val="00663DE1"/>
    <w:rsid w:val="006643E2"/>
    <w:rsid w:val="00664CA9"/>
    <w:rsid w:val="006650B6"/>
    <w:rsid w:val="0066689E"/>
    <w:rsid w:val="00666CCA"/>
    <w:rsid w:val="00666E71"/>
    <w:rsid w:val="0066700A"/>
    <w:rsid w:val="00670148"/>
    <w:rsid w:val="006701CF"/>
    <w:rsid w:val="00670437"/>
    <w:rsid w:val="006706A3"/>
    <w:rsid w:val="00671127"/>
    <w:rsid w:val="006721DE"/>
    <w:rsid w:val="006731AA"/>
    <w:rsid w:val="00673E4F"/>
    <w:rsid w:val="00674043"/>
    <w:rsid w:val="00674231"/>
    <w:rsid w:val="00674BCD"/>
    <w:rsid w:val="00674C99"/>
    <w:rsid w:val="00674F41"/>
    <w:rsid w:val="00675176"/>
    <w:rsid w:val="00675248"/>
    <w:rsid w:val="0067563E"/>
    <w:rsid w:val="00676095"/>
    <w:rsid w:val="00677044"/>
    <w:rsid w:val="00677C15"/>
    <w:rsid w:val="006801E1"/>
    <w:rsid w:val="00680B35"/>
    <w:rsid w:val="00681B97"/>
    <w:rsid w:val="0068272F"/>
    <w:rsid w:val="00682AC4"/>
    <w:rsid w:val="00683057"/>
    <w:rsid w:val="006831F3"/>
    <w:rsid w:val="00684311"/>
    <w:rsid w:val="0068444F"/>
    <w:rsid w:val="006845A2"/>
    <w:rsid w:val="006845C8"/>
    <w:rsid w:val="00684A1A"/>
    <w:rsid w:val="0068505A"/>
    <w:rsid w:val="0068516D"/>
    <w:rsid w:val="006851C4"/>
    <w:rsid w:val="0068551D"/>
    <w:rsid w:val="00685547"/>
    <w:rsid w:val="006856CF"/>
    <w:rsid w:val="006866F8"/>
    <w:rsid w:val="00687105"/>
    <w:rsid w:val="006909E8"/>
    <w:rsid w:val="0069100A"/>
    <w:rsid w:val="00691501"/>
    <w:rsid w:val="00692AB2"/>
    <w:rsid w:val="00692BA0"/>
    <w:rsid w:val="00692BFB"/>
    <w:rsid w:val="00692D6B"/>
    <w:rsid w:val="00692F1A"/>
    <w:rsid w:val="006933D9"/>
    <w:rsid w:val="006938C3"/>
    <w:rsid w:val="00693913"/>
    <w:rsid w:val="00693C2A"/>
    <w:rsid w:val="00693EBE"/>
    <w:rsid w:val="00694CC9"/>
    <w:rsid w:val="0069588C"/>
    <w:rsid w:val="00695DB0"/>
    <w:rsid w:val="00696045"/>
    <w:rsid w:val="0069606F"/>
    <w:rsid w:val="0069625F"/>
    <w:rsid w:val="00696517"/>
    <w:rsid w:val="006A192D"/>
    <w:rsid w:val="006A1B32"/>
    <w:rsid w:val="006A24AC"/>
    <w:rsid w:val="006A2DDC"/>
    <w:rsid w:val="006A2E52"/>
    <w:rsid w:val="006A3045"/>
    <w:rsid w:val="006A32B5"/>
    <w:rsid w:val="006A3373"/>
    <w:rsid w:val="006A367B"/>
    <w:rsid w:val="006A3B19"/>
    <w:rsid w:val="006A3DD3"/>
    <w:rsid w:val="006A3FB5"/>
    <w:rsid w:val="006A4477"/>
    <w:rsid w:val="006A4FAF"/>
    <w:rsid w:val="006A5757"/>
    <w:rsid w:val="006A5CDE"/>
    <w:rsid w:val="006A5EC0"/>
    <w:rsid w:val="006A5FFE"/>
    <w:rsid w:val="006A63FB"/>
    <w:rsid w:val="006A65C7"/>
    <w:rsid w:val="006A66BD"/>
    <w:rsid w:val="006A66F4"/>
    <w:rsid w:val="006A6B42"/>
    <w:rsid w:val="006A7415"/>
    <w:rsid w:val="006A7678"/>
    <w:rsid w:val="006B0918"/>
    <w:rsid w:val="006B0F81"/>
    <w:rsid w:val="006B119D"/>
    <w:rsid w:val="006B3156"/>
    <w:rsid w:val="006B363C"/>
    <w:rsid w:val="006B3B19"/>
    <w:rsid w:val="006B3E7B"/>
    <w:rsid w:val="006B446E"/>
    <w:rsid w:val="006B44F8"/>
    <w:rsid w:val="006B4AC8"/>
    <w:rsid w:val="006B4AD5"/>
    <w:rsid w:val="006B4CBE"/>
    <w:rsid w:val="006B4D3D"/>
    <w:rsid w:val="006B5A73"/>
    <w:rsid w:val="006B5B9B"/>
    <w:rsid w:val="006B5BC7"/>
    <w:rsid w:val="006B7BFE"/>
    <w:rsid w:val="006B7F28"/>
    <w:rsid w:val="006C066C"/>
    <w:rsid w:val="006C07A1"/>
    <w:rsid w:val="006C0F7B"/>
    <w:rsid w:val="006C11A7"/>
    <w:rsid w:val="006C1592"/>
    <w:rsid w:val="006C1B1A"/>
    <w:rsid w:val="006C1D47"/>
    <w:rsid w:val="006C3085"/>
    <w:rsid w:val="006C30D6"/>
    <w:rsid w:val="006C3172"/>
    <w:rsid w:val="006C3187"/>
    <w:rsid w:val="006C364D"/>
    <w:rsid w:val="006C3AB3"/>
    <w:rsid w:val="006C3AD7"/>
    <w:rsid w:val="006C4843"/>
    <w:rsid w:val="006C4AE3"/>
    <w:rsid w:val="006C4F16"/>
    <w:rsid w:val="006C534A"/>
    <w:rsid w:val="006C5BCF"/>
    <w:rsid w:val="006C5C09"/>
    <w:rsid w:val="006C6599"/>
    <w:rsid w:val="006C719E"/>
    <w:rsid w:val="006D0439"/>
    <w:rsid w:val="006D06CB"/>
    <w:rsid w:val="006D1CED"/>
    <w:rsid w:val="006D1FCA"/>
    <w:rsid w:val="006D2182"/>
    <w:rsid w:val="006D265D"/>
    <w:rsid w:val="006D27DF"/>
    <w:rsid w:val="006D2A72"/>
    <w:rsid w:val="006D2D2A"/>
    <w:rsid w:val="006D32EF"/>
    <w:rsid w:val="006D396A"/>
    <w:rsid w:val="006D3DA1"/>
    <w:rsid w:val="006D3DAA"/>
    <w:rsid w:val="006D4118"/>
    <w:rsid w:val="006D4690"/>
    <w:rsid w:val="006D4CC7"/>
    <w:rsid w:val="006D510F"/>
    <w:rsid w:val="006D52A9"/>
    <w:rsid w:val="006D533B"/>
    <w:rsid w:val="006D5823"/>
    <w:rsid w:val="006D5DF5"/>
    <w:rsid w:val="006D60B5"/>
    <w:rsid w:val="006D6F85"/>
    <w:rsid w:val="006D739D"/>
    <w:rsid w:val="006D753D"/>
    <w:rsid w:val="006D795B"/>
    <w:rsid w:val="006E04BA"/>
    <w:rsid w:val="006E0B8F"/>
    <w:rsid w:val="006E0CF8"/>
    <w:rsid w:val="006E1034"/>
    <w:rsid w:val="006E1055"/>
    <w:rsid w:val="006E18D9"/>
    <w:rsid w:val="006E21F2"/>
    <w:rsid w:val="006E2775"/>
    <w:rsid w:val="006E386D"/>
    <w:rsid w:val="006E38B4"/>
    <w:rsid w:val="006E3E18"/>
    <w:rsid w:val="006E4825"/>
    <w:rsid w:val="006E4B07"/>
    <w:rsid w:val="006E4D62"/>
    <w:rsid w:val="006E4DED"/>
    <w:rsid w:val="006E5280"/>
    <w:rsid w:val="006E5B67"/>
    <w:rsid w:val="006E6503"/>
    <w:rsid w:val="006E6A67"/>
    <w:rsid w:val="006E7A94"/>
    <w:rsid w:val="006F18BF"/>
    <w:rsid w:val="006F1ADE"/>
    <w:rsid w:val="006F21C1"/>
    <w:rsid w:val="006F2700"/>
    <w:rsid w:val="006F277B"/>
    <w:rsid w:val="006F3699"/>
    <w:rsid w:val="006F48F5"/>
    <w:rsid w:val="006F4FC6"/>
    <w:rsid w:val="006F5501"/>
    <w:rsid w:val="006F5C6E"/>
    <w:rsid w:val="006F62B1"/>
    <w:rsid w:val="006F64BF"/>
    <w:rsid w:val="006F65B9"/>
    <w:rsid w:val="006F6A14"/>
    <w:rsid w:val="006F79C7"/>
    <w:rsid w:val="00701764"/>
    <w:rsid w:val="00701CAF"/>
    <w:rsid w:val="00702539"/>
    <w:rsid w:val="007028BE"/>
    <w:rsid w:val="00702F14"/>
    <w:rsid w:val="00702FD5"/>
    <w:rsid w:val="007032A4"/>
    <w:rsid w:val="007032D4"/>
    <w:rsid w:val="0070331F"/>
    <w:rsid w:val="00703727"/>
    <w:rsid w:val="00703F1E"/>
    <w:rsid w:val="007044FC"/>
    <w:rsid w:val="00704759"/>
    <w:rsid w:val="0070490D"/>
    <w:rsid w:val="0070498E"/>
    <w:rsid w:val="007057F4"/>
    <w:rsid w:val="00705BB2"/>
    <w:rsid w:val="00705F57"/>
    <w:rsid w:val="00706449"/>
    <w:rsid w:val="0070683A"/>
    <w:rsid w:val="00706991"/>
    <w:rsid w:val="00707F2F"/>
    <w:rsid w:val="0071020F"/>
    <w:rsid w:val="0071049C"/>
    <w:rsid w:val="0071126D"/>
    <w:rsid w:val="00711302"/>
    <w:rsid w:val="007117AC"/>
    <w:rsid w:val="007121D4"/>
    <w:rsid w:val="007129E2"/>
    <w:rsid w:val="00712EEF"/>
    <w:rsid w:val="00714602"/>
    <w:rsid w:val="00714E2F"/>
    <w:rsid w:val="0071571B"/>
    <w:rsid w:val="007159B4"/>
    <w:rsid w:val="00715D7D"/>
    <w:rsid w:val="00716F40"/>
    <w:rsid w:val="00716FA6"/>
    <w:rsid w:val="0071702C"/>
    <w:rsid w:val="0071772B"/>
    <w:rsid w:val="007177BD"/>
    <w:rsid w:val="0072039F"/>
    <w:rsid w:val="00720607"/>
    <w:rsid w:val="00720A99"/>
    <w:rsid w:val="00720E5D"/>
    <w:rsid w:val="00720EEC"/>
    <w:rsid w:val="00721F1F"/>
    <w:rsid w:val="007220D2"/>
    <w:rsid w:val="00722BA7"/>
    <w:rsid w:val="00722FD7"/>
    <w:rsid w:val="0072343E"/>
    <w:rsid w:val="0072529A"/>
    <w:rsid w:val="00725CA1"/>
    <w:rsid w:val="0072750C"/>
    <w:rsid w:val="00727D94"/>
    <w:rsid w:val="00730858"/>
    <w:rsid w:val="00730B9D"/>
    <w:rsid w:val="00730BA1"/>
    <w:rsid w:val="007317FD"/>
    <w:rsid w:val="00733C51"/>
    <w:rsid w:val="007340BD"/>
    <w:rsid w:val="00734C6C"/>
    <w:rsid w:val="00734D1A"/>
    <w:rsid w:val="00734F52"/>
    <w:rsid w:val="00736098"/>
    <w:rsid w:val="00736430"/>
    <w:rsid w:val="0073654C"/>
    <w:rsid w:val="0073696F"/>
    <w:rsid w:val="00736A63"/>
    <w:rsid w:val="00737117"/>
    <w:rsid w:val="00737AC4"/>
    <w:rsid w:val="007409CB"/>
    <w:rsid w:val="00740AF4"/>
    <w:rsid w:val="0074139A"/>
    <w:rsid w:val="00741922"/>
    <w:rsid w:val="00741D21"/>
    <w:rsid w:val="007429C0"/>
    <w:rsid w:val="007432A4"/>
    <w:rsid w:val="007438CE"/>
    <w:rsid w:val="007443D3"/>
    <w:rsid w:val="0074492C"/>
    <w:rsid w:val="00745241"/>
    <w:rsid w:val="00745A40"/>
    <w:rsid w:val="00745B85"/>
    <w:rsid w:val="00745BA5"/>
    <w:rsid w:val="00745BB2"/>
    <w:rsid w:val="00746046"/>
    <w:rsid w:val="007462C3"/>
    <w:rsid w:val="007472B9"/>
    <w:rsid w:val="00747389"/>
    <w:rsid w:val="0075004C"/>
    <w:rsid w:val="007508F9"/>
    <w:rsid w:val="00751485"/>
    <w:rsid w:val="00751F1F"/>
    <w:rsid w:val="007522EC"/>
    <w:rsid w:val="007535E5"/>
    <w:rsid w:val="007539EE"/>
    <w:rsid w:val="00753A6F"/>
    <w:rsid w:val="0075506C"/>
    <w:rsid w:val="0075596A"/>
    <w:rsid w:val="00756968"/>
    <w:rsid w:val="00756F4C"/>
    <w:rsid w:val="00757265"/>
    <w:rsid w:val="007604A6"/>
    <w:rsid w:val="00761370"/>
    <w:rsid w:val="00761BB8"/>
    <w:rsid w:val="00761E72"/>
    <w:rsid w:val="007621F7"/>
    <w:rsid w:val="007622EA"/>
    <w:rsid w:val="0076238D"/>
    <w:rsid w:val="00762396"/>
    <w:rsid w:val="0076250D"/>
    <w:rsid w:val="00762772"/>
    <w:rsid w:val="00762C17"/>
    <w:rsid w:val="007639F7"/>
    <w:rsid w:val="0076442E"/>
    <w:rsid w:val="00764439"/>
    <w:rsid w:val="007646CD"/>
    <w:rsid w:val="007656C9"/>
    <w:rsid w:val="00766079"/>
    <w:rsid w:val="0076689F"/>
    <w:rsid w:val="007668C9"/>
    <w:rsid w:val="00766A01"/>
    <w:rsid w:val="00766D82"/>
    <w:rsid w:val="00767C20"/>
    <w:rsid w:val="007712AD"/>
    <w:rsid w:val="007713DC"/>
    <w:rsid w:val="00771854"/>
    <w:rsid w:val="00771D6F"/>
    <w:rsid w:val="00771E5C"/>
    <w:rsid w:val="00772211"/>
    <w:rsid w:val="00773170"/>
    <w:rsid w:val="007742A5"/>
    <w:rsid w:val="00774626"/>
    <w:rsid w:val="0077489C"/>
    <w:rsid w:val="0077588C"/>
    <w:rsid w:val="00775CEC"/>
    <w:rsid w:val="00775D0C"/>
    <w:rsid w:val="00775E58"/>
    <w:rsid w:val="007760DF"/>
    <w:rsid w:val="007764B5"/>
    <w:rsid w:val="00776E4D"/>
    <w:rsid w:val="007773F6"/>
    <w:rsid w:val="007807D2"/>
    <w:rsid w:val="00780B32"/>
    <w:rsid w:val="007814C6"/>
    <w:rsid w:val="007819BA"/>
    <w:rsid w:val="00781DBC"/>
    <w:rsid w:val="00782869"/>
    <w:rsid w:val="00782990"/>
    <w:rsid w:val="00782B14"/>
    <w:rsid w:val="0078348C"/>
    <w:rsid w:val="00783973"/>
    <w:rsid w:val="0078404A"/>
    <w:rsid w:val="00784138"/>
    <w:rsid w:val="0078432C"/>
    <w:rsid w:val="00784D3F"/>
    <w:rsid w:val="0078542D"/>
    <w:rsid w:val="007858B2"/>
    <w:rsid w:val="00785965"/>
    <w:rsid w:val="00785DD1"/>
    <w:rsid w:val="007862FC"/>
    <w:rsid w:val="0078688D"/>
    <w:rsid w:val="00786DCB"/>
    <w:rsid w:val="00787351"/>
    <w:rsid w:val="0078768E"/>
    <w:rsid w:val="00787943"/>
    <w:rsid w:val="00787B72"/>
    <w:rsid w:val="00791074"/>
    <w:rsid w:val="0079139D"/>
    <w:rsid w:val="007917A0"/>
    <w:rsid w:val="007918E0"/>
    <w:rsid w:val="00793052"/>
    <w:rsid w:val="00793650"/>
    <w:rsid w:val="00793EB6"/>
    <w:rsid w:val="00794196"/>
    <w:rsid w:val="00795421"/>
    <w:rsid w:val="007957CD"/>
    <w:rsid w:val="00795846"/>
    <w:rsid w:val="0079680F"/>
    <w:rsid w:val="007968FE"/>
    <w:rsid w:val="00796FD9"/>
    <w:rsid w:val="00797087"/>
    <w:rsid w:val="007971B0"/>
    <w:rsid w:val="007974FD"/>
    <w:rsid w:val="00797C47"/>
    <w:rsid w:val="007A10AC"/>
    <w:rsid w:val="007A1565"/>
    <w:rsid w:val="007A1B2F"/>
    <w:rsid w:val="007A20E4"/>
    <w:rsid w:val="007A2965"/>
    <w:rsid w:val="007A2D01"/>
    <w:rsid w:val="007A3030"/>
    <w:rsid w:val="007A3577"/>
    <w:rsid w:val="007A3842"/>
    <w:rsid w:val="007A3C36"/>
    <w:rsid w:val="007A44AB"/>
    <w:rsid w:val="007A578F"/>
    <w:rsid w:val="007A590C"/>
    <w:rsid w:val="007A5F85"/>
    <w:rsid w:val="007A74B2"/>
    <w:rsid w:val="007A77C0"/>
    <w:rsid w:val="007B05A2"/>
    <w:rsid w:val="007B05E5"/>
    <w:rsid w:val="007B0ACF"/>
    <w:rsid w:val="007B0D18"/>
    <w:rsid w:val="007B105E"/>
    <w:rsid w:val="007B11DD"/>
    <w:rsid w:val="007B227C"/>
    <w:rsid w:val="007B2AE9"/>
    <w:rsid w:val="007B3C3A"/>
    <w:rsid w:val="007B469E"/>
    <w:rsid w:val="007B46A0"/>
    <w:rsid w:val="007B46B2"/>
    <w:rsid w:val="007B4E6F"/>
    <w:rsid w:val="007B59C3"/>
    <w:rsid w:val="007B5F47"/>
    <w:rsid w:val="007B77E5"/>
    <w:rsid w:val="007C00E6"/>
    <w:rsid w:val="007C08D0"/>
    <w:rsid w:val="007C096D"/>
    <w:rsid w:val="007C0C15"/>
    <w:rsid w:val="007C0E63"/>
    <w:rsid w:val="007C1A0D"/>
    <w:rsid w:val="007C1AD8"/>
    <w:rsid w:val="007C1B27"/>
    <w:rsid w:val="007C21BF"/>
    <w:rsid w:val="007C273F"/>
    <w:rsid w:val="007C2A56"/>
    <w:rsid w:val="007C2F22"/>
    <w:rsid w:val="007C383E"/>
    <w:rsid w:val="007C4691"/>
    <w:rsid w:val="007C4E5A"/>
    <w:rsid w:val="007C532F"/>
    <w:rsid w:val="007C56A6"/>
    <w:rsid w:val="007C56F1"/>
    <w:rsid w:val="007C5B7C"/>
    <w:rsid w:val="007C5B95"/>
    <w:rsid w:val="007C5C4A"/>
    <w:rsid w:val="007C667F"/>
    <w:rsid w:val="007C6EB0"/>
    <w:rsid w:val="007C7077"/>
    <w:rsid w:val="007D0089"/>
    <w:rsid w:val="007D0270"/>
    <w:rsid w:val="007D055C"/>
    <w:rsid w:val="007D0DAA"/>
    <w:rsid w:val="007D1C9A"/>
    <w:rsid w:val="007D282C"/>
    <w:rsid w:val="007D2910"/>
    <w:rsid w:val="007D2ABE"/>
    <w:rsid w:val="007D2C13"/>
    <w:rsid w:val="007D2D37"/>
    <w:rsid w:val="007D3969"/>
    <w:rsid w:val="007D3BF0"/>
    <w:rsid w:val="007D3F50"/>
    <w:rsid w:val="007D40BE"/>
    <w:rsid w:val="007D4D5B"/>
    <w:rsid w:val="007D5244"/>
    <w:rsid w:val="007D53DB"/>
    <w:rsid w:val="007D5B7B"/>
    <w:rsid w:val="007D6052"/>
    <w:rsid w:val="007D767D"/>
    <w:rsid w:val="007D77C5"/>
    <w:rsid w:val="007D78B2"/>
    <w:rsid w:val="007D7C09"/>
    <w:rsid w:val="007E0487"/>
    <w:rsid w:val="007E054F"/>
    <w:rsid w:val="007E069C"/>
    <w:rsid w:val="007E08B1"/>
    <w:rsid w:val="007E0B55"/>
    <w:rsid w:val="007E1105"/>
    <w:rsid w:val="007E15FD"/>
    <w:rsid w:val="007E1807"/>
    <w:rsid w:val="007E28A3"/>
    <w:rsid w:val="007E2EB7"/>
    <w:rsid w:val="007E385C"/>
    <w:rsid w:val="007E397F"/>
    <w:rsid w:val="007E45C2"/>
    <w:rsid w:val="007E49D3"/>
    <w:rsid w:val="007E4B4C"/>
    <w:rsid w:val="007E4F7B"/>
    <w:rsid w:val="007E5320"/>
    <w:rsid w:val="007E536C"/>
    <w:rsid w:val="007E6F86"/>
    <w:rsid w:val="007E7656"/>
    <w:rsid w:val="007E765A"/>
    <w:rsid w:val="007E7704"/>
    <w:rsid w:val="007E7CA8"/>
    <w:rsid w:val="007E7CAA"/>
    <w:rsid w:val="007F0876"/>
    <w:rsid w:val="007F0BD3"/>
    <w:rsid w:val="007F13DF"/>
    <w:rsid w:val="007F1BD4"/>
    <w:rsid w:val="007F3114"/>
    <w:rsid w:val="007F3841"/>
    <w:rsid w:val="007F3AC4"/>
    <w:rsid w:val="007F49B5"/>
    <w:rsid w:val="007F4A12"/>
    <w:rsid w:val="007F4DDC"/>
    <w:rsid w:val="007F4E48"/>
    <w:rsid w:val="007F4E5A"/>
    <w:rsid w:val="007F5302"/>
    <w:rsid w:val="007F6248"/>
    <w:rsid w:val="007F648A"/>
    <w:rsid w:val="007F66CF"/>
    <w:rsid w:val="007F71C2"/>
    <w:rsid w:val="007F7492"/>
    <w:rsid w:val="007F785E"/>
    <w:rsid w:val="007F7988"/>
    <w:rsid w:val="007F7B74"/>
    <w:rsid w:val="007F7E52"/>
    <w:rsid w:val="00800FE4"/>
    <w:rsid w:val="00800FE7"/>
    <w:rsid w:val="0080114E"/>
    <w:rsid w:val="008013A2"/>
    <w:rsid w:val="008013FA"/>
    <w:rsid w:val="008014AA"/>
    <w:rsid w:val="008014ED"/>
    <w:rsid w:val="00801959"/>
    <w:rsid w:val="00801C9C"/>
    <w:rsid w:val="00802F2A"/>
    <w:rsid w:val="00802F7F"/>
    <w:rsid w:val="00803C89"/>
    <w:rsid w:val="00803E55"/>
    <w:rsid w:val="00803FD8"/>
    <w:rsid w:val="00804699"/>
    <w:rsid w:val="00805EBB"/>
    <w:rsid w:val="0080615F"/>
    <w:rsid w:val="008066C4"/>
    <w:rsid w:val="0080676A"/>
    <w:rsid w:val="00806957"/>
    <w:rsid w:val="008069C4"/>
    <w:rsid w:val="008069E9"/>
    <w:rsid w:val="008069F4"/>
    <w:rsid w:val="00806A87"/>
    <w:rsid w:val="00806DB4"/>
    <w:rsid w:val="00807232"/>
    <w:rsid w:val="0080729D"/>
    <w:rsid w:val="00807446"/>
    <w:rsid w:val="00807AD9"/>
    <w:rsid w:val="00807C10"/>
    <w:rsid w:val="00807CB1"/>
    <w:rsid w:val="00807E2A"/>
    <w:rsid w:val="00810079"/>
    <w:rsid w:val="0081064C"/>
    <w:rsid w:val="0081100F"/>
    <w:rsid w:val="00811483"/>
    <w:rsid w:val="008114A6"/>
    <w:rsid w:val="00811C67"/>
    <w:rsid w:val="00812787"/>
    <w:rsid w:val="00812E48"/>
    <w:rsid w:val="00812FAE"/>
    <w:rsid w:val="008130C0"/>
    <w:rsid w:val="00813267"/>
    <w:rsid w:val="00813D7D"/>
    <w:rsid w:val="008141FB"/>
    <w:rsid w:val="00815CDC"/>
    <w:rsid w:val="00815F83"/>
    <w:rsid w:val="008161DF"/>
    <w:rsid w:val="008161F5"/>
    <w:rsid w:val="00817946"/>
    <w:rsid w:val="00820AAA"/>
    <w:rsid w:val="00822554"/>
    <w:rsid w:val="0082268F"/>
    <w:rsid w:val="00822870"/>
    <w:rsid w:val="008228F2"/>
    <w:rsid w:val="0082292C"/>
    <w:rsid w:val="00822C17"/>
    <w:rsid w:val="008230C8"/>
    <w:rsid w:val="00824AC8"/>
    <w:rsid w:val="00825937"/>
    <w:rsid w:val="00825C52"/>
    <w:rsid w:val="0082675D"/>
    <w:rsid w:val="00826998"/>
    <w:rsid w:val="00827B51"/>
    <w:rsid w:val="008302EB"/>
    <w:rsid w:val="008309DA"/>
    <w:rsid w:val="008312E0"/>
    <w:rsid w:val="00831323"/>
    <w:rsid w:val="00831410"/>
    <w:rsid w:val="008315B3"/>
    <w:rsid w:val="008319E4"/>
    <w:rsid w:val="00831A56"/>
    <w:rsid w:val="00832524"/>
    <w:rsid w:val="008329D4"/>
    <w:rsid w:val="00832BC6"/>
    <w:rsid w:val="00833222"/>
    <w:rsid w:val="0083322D"/>
    <w:rsid w:val="00833610"/>
    <w:rsid w:val="00833801"/>
    <w:rsid w:val="00833CB0"/>
    <w:rsid w:val="0083443E"/>
    <w:rsid w:val="008344CB"/>
    <w:rsid w:val="00835587"/>
    <w:rsid w:val="008356FB"/>
    <w:rsid w:val="008364A4"/>
    <w:rsid w:val="008366D6"/>
    <w:rsid w:val="008366FF"/>
    <w:rsid w:val="008367CF"/>
    <w:rsid w:val="00836C3D"/>
    <w:rsid w:val="00836D15"/>
    <w:rsid w:val="00836EE1"/>
    <w:rsid w:val="008370A1"/>
    <w:rsid w:val="00837D50"/>
    <w:rsid w:val="008406C1"/>
    <w:rsid w:val="00840BD6"/>
    <w:rsid w:val="00841793"/>
    <w:rsid w:val="00841B1F"/>
    <w:rsid w:val="00841D3F"/>
    <w:rsid w:val="00842159"/>
    <w:rsid w:val="0084261C"/>
    <w:rsid w:val="00842C36"/>
    <w:rsid w:val="00842CA3"/>
    <w:rsid w:val="00842F88"/>
    <w:rsid w:val="008443FD"/>
    <w:rsid w:val="00844A78"/>
    <w:rsid w:val="008462F8"/>
    <w:rsid w:val="0084688A"/>
    <w:rsid w:val="00847919"/>
    <w:rsid w:val="00847F1B"/>
    <w:rsid w:val="008507A7"/>
    <w:rsid w:val="00850B3B"/>
    <w:rsid w:val="0085160A"/>
    <w:rsid w:val="0085169E"/>
    <w:rsid w:val="008519FA"/>
    <w:rsid w:val="00851E7C"/>
    <w:rsid w:val="00852831"/>
    <w:rsid w:val="00852836"/>
    <w:rsid w:val="00853144"/>
    <w:rsid w:val="00853ACF"/>
    <w:rsid w:val="00854595"/>
    <w:rsid w:val="008551E6"/>
    <w:rsid w:val="00855657"/>
    <w:rsid w:val="00855756"/>
    <w:rsid w:val="0085594B"/>
    <w:rsid w:val="00855EDD"/>
    <w:rsid w:val="008560E9"/>
    <w:rsid w:val="00856A74"/>
    <w:rsid w:val="0085709E"/>
    <w:rsid w:val="00857325"/>
    <w:rsid w:val="00857DC5"/>
    <w:rsid w:val="008600A8"/>
    <w:rsid w:val="008602D1"/>
    <w:rsid w:val="00861096"/>
    <w:rsid w:val="008615BC"/>
    <w:rsid w:val="00861799"/>
    <w:rsid w:val="008619B3"/>
    <w:rsid w:val="0086278E"/>
    <w:rsid w:val="00862DD6"/>
    <w:rsid w:val="00863BFF"/>
    <w:rsid w:val="00863FAA"/>
    <w:rsid w:val="00865BA6"/>
    <w:rsid w:val="00866CF5"/>
    <w:rsid w:val="0086709C"/>
    <w:rsid w:val="0086745F"/>
    <w:rsid w:val="00867606"/>
    <w:rsid w:val="00867887"/>
    <w:rsid w:val="00867939"/>
    <w:rsid w:val="008702AA"/>
    <w:rsid w:val="00870DE7"/>
    <w:rsid w:val="00870E5E"/>
    <w:rsid w:val="00871255"/>
    <w:rsid w:val="00872AB7"/>
    <w:rsid w:val="00873468"/>
    <w:rsid w:val="00873D59"/>
    <w:rsid w:val="00874798"/>
    <w:rsid w:val="00874A19"/>
    <w:rsid w:val="00875AFA"/>
    <w:rsid w:val="00875CAC"/>
    <w:rsid w:val="0087630B"/>
    <w:rsid w:val="00876B4F"/>
    <w:rsid w:val="00877738"/>
    <w:rsid w:val="0088012A"/>
    <w:rsid w:val="00880417"/>
    <w:rsid w:val="00880486"/>
    <w:rsid w:val="008807D7"/>
    <w:rsid w:val="008809A1"/>
    <w:rsid w:val="00880C50"/>
    <w:rsid w:val="00881372"/>
    <w:rsid w:val="00881FB4"/>
    <w:rsid w:val="00882154"/>
    <w:rsid w:val="008828A1"/>
    <w:rsid w:val="008830D7"/>
    <w:rsid w:val="008833D2"/>
    <w:rsid w:val="0088358F"/>
    <w:rsid w:val="008841F2"/>
    <w:rsid w:val="00886A6F"/>
    <w:rsid w:val="00886B15"/>
    <w:rsid w:val="00886D39"/>
    <w:rsid w:val="00886F20"/>
    <w:rsid w:val="00887C2D"/>
    <w:rsid w:val="00887CB6"/>
    <w:rsid w:val="008910FC"/>
    <w:rsid w:val="008913D4"/>
    <w:rsid w:val="00891CB6"/>
    <w:rsid w:val="00891EA6"/>
    <w:rsid w:val="00892A5B"/>
    <w:rsid w:val="00893019"/>
    <w:rsid w:val="00893CE5"/>
    <w:rsid w:val="00893F60"/>
    <w:rsid w:val="0089406F"/>
    <w:rsid w:val="0089497B"/>
    <w:rsid w:val="00894EEE"/>
    <w:rsid w:val="00895119"/>
    <w:rsid w:val="008954A9"/>
    <w:rsid w:val="00895E32"/>
    <w:rsid w:val="008964DC"/>
    <w:rsid w:val="0089692F"/>
    <w:rsid w:val="00896E56"/>
    <w:rsid w:val="008974C4"/>
    <w:rsid w:val="00897624"/>
    <w:rsid w:val="00897B09"/>
    <w:rsid w:val="00897CBC"/>
    <w:rsid w:val="008A015E"/>
    <w:rsid w:val="008A09A6"/>
    <w:rsid w:val="008A125F"/>
    <w:rsid w:val="008A1457"/>
    <w:rsid w:val="008A1D68"/>
    <w:rsid w:val="008A369D"/>
    <w:rsid w:val="008A3B3A"/>
    <w:rsid w:val="008A4172"/>
    <w:rsid w:val="008A5904"/>
    <w:rsid w:val="008A63A2"/>
    <w:rsid w:val="008A79F7"/>
    <w:rsid w:val="008A7E35"/>
    <w:rsid w:val="008B0706"/>
    <w:rsid w:val="008B128F"/>
    <w:rsid w:val="008B166A"/>
    <w:rsid w:val="008B1B9F"/>
    <w:rsid w:val="008B208F"/>
    <w:rsid w:val="008B222C"/>
    <w:rsid w:val="008B2821"/>
    <w:rsid w:val="008B2EF3"/>
    <w:rsid w:val="008B326C"/>
    <w:rsid w:val="008B3331"/>
    <w:rsid w:val="008B3444"/>
    <w:rsid w:val="008B3CC3"/>
    <w:rsid w:val="008B4E49"/>
    <w:rsid w:val="008B53ED"/>
    <w:rsid w:val="008B54A8"/>
    <w:rsid w:val="008B5BD3"/>
    <w:rsid w:val="008B5E87"/>
    <w:rsid w:val="008B6151"/>
    <w:rsid w:val="008B62E3"/>
    <w:rsid w:val="008B6B1A"/>
    <w:rsid w:val="008B6F29"/>
    <w:rsid w:val="008B72CC"/>
    <w:rsid w:val="008B73E2"/>
    <w:rsid w:val="008B7EE0"/>
    <w:rsid w:val="008C0629"/>
    <w:rsid w:val="008C070B"/>
    <w:rsid w:val="008C10BE"/>
    <w:rsid w:val="008C1322"/>
    <w:rsid w:val="008C1C53"/>
    <w:rsid w:val="008C233D"/>
    <w:rsid w:val="008C23DA"/>
    <w:rsid w:val="008C339C"/>
    <w:rsid w:val="008C3964"/>
    <w:rsid w:val="008C4DB3"/>
    <w:rsid w:val="008C6019"/>
    <w:rsid w:val="008C6524"/>
    <w:rsid w:val="008C6F51"/>
    <w:rsid w:val="008C701D"/>
    <w:rsid w:val="008C7DB9"/>
    <w:rsid w:val="008D0262"/>
    <w:rsid w:val="008D0BB4"/>
    <w:rsid w:val="008D0D66"/>
    <w:rsid w:val="008D13AC"/>
    <w:rsid w:val="008D17D1"/>
    <w:rsid w:val="008D24B3"/>
    <w:rsid w:val="008D2B64"/>
    <w:rsid w:val="008D2C0F"/>
    <w:rsid w:val="008D2C15"/>
    <w:rsid w:val="008D2F38"/>
    <w:rsid w:val="008D3576"/>
    <w:rsid w:val="008D35ED"/>
    <w:rsid w:val="008D37AE"/>
    <w:rsid w:val="008D3B5B"/>
    <w:rsid w:val="008D3B69"/>
    <w:rsid w:val="008D3BAE"/>
    <w:rsid w:val="008D3BE3"/>
    <w:rsid w:val="008D3CB8"/>
    <w:rsid w:val="008D3F17"/>
    <w:rsid w:val="008D4123"/>
    <w:rsid w:val="008D46EC"/>
    <w:rsid w:val="008D48F8"/>
    <w:rsid w:val="008D4F99"/>
    <w:rsid w:val="008D5C5D"/>
    <w:rsid w:val="008D6790"/>
    <w:rsid w:val="008D7046"/>
    <w:rsid w:val="008D78B0"/>
    <w:rsid w:val="008E07E9"/>
    <w:rsid w:val="008E0D10"/>
    <w:rsid w:val="008E0EA1"/>
    <w:rsid w:val="008E1693"/>
    <w:rsid w:val="008E1C43"/>
    <w:rsid w:val="008E2000"/>
    <w:rsid w:val="008E28BD"/>
    <w:rsid w:val="008E2F4A"/>
    <w:rsid w:val="008E4AF7"/>
    <w:rsid w:val="008E5352"/>
    <w:rsid w:val="008E5A9E"/>
    <w:rsid w:val="008E65AA"/>
    <w:rsid w:val="008E75F9"/>
    <w:rsid w:val="008E7F7D"/>
    <w:rsid w:val="008F05F0"/>
    <w:rsid w:val="008F0643"/>
    <w:rsid w:val="008F0DCA"/>
    <w:rsid w:val="008F0F35"/>
    <w:rsid w:val="008F16C9"/>
    <w:rsid w:val="008F1861"/>
    <w:rsid w:val="008F1886"/>
    <w:rsid w:val="008F1AA7"/>
    <w:rsid w:val="008F308A"/>
    <w:rsid w:val="008F3CEA"/>
    <w:rsid w:val="008F3EDE"/>
    <w:rsid w:val="008F42B7"/>
    <w:rsid w:val="008F4C72"/>
    <w:rsid w:val="008F5085"/>
    <w:rsid w:val="008F658B"/>
    <w:rsid w:val="008F6E58"/>
    <w:rsid w:val="008F6EE7"/>
    <w:rsid w:val="008F7103"/>
    <w:rsid w:val="008F764D"/>
    <w:rsid w:val="008F7722"/>
    <w:rsid w:val="008F7F71"/>
    <w:rsid w:val="009018D2"/>
    <w:rsid w:val="00901C10"/>
    <w:rsid w:val="00901F20"/>
    <w:rsid w:val="00902118"/>
    <w:rsid w:val="0090220D"/>
    <w:rsid w:val="009030FC"/>
    <w:rsid w:val="00903571"/>
    <w:rsid w:val="009038D6"/>
    <w:rsid w:val="00903B1E"/>
    <w:rsid w:val="00903D65"/>
    <w:rsid w:val="00903DBE"/>
    <w:rsid w:val="0090421C"/>
    <w:rsid w:val="00904632"/>
    <w:rsid w:val="009047F0"/>
    <w:rsid w:val="009048CD"/>
    <w:rsid w:val="00904A82"/>
    <w:rsid w:val="00904DF8"/>
    <w:rsid w:val="00904FC2"/>
    <w:rsid w:val="0090511B"/>
    <w:rsid w:val="009053F5"/>
    <w:rsid w:val="009059A6"/>
    <w:rsid w:val="00905A20"/>
    <w:rsid w:val="00905FFB"/>
    <w:rsid w:val="00906957"/>
    <w:rsid w:val="00907A0F"/>
    <w:rsid w:val="00907DF1"/>
    <w:rsid w:val="0091068F"/>
    <w:rsid w:val="00910F50"/>
    <w:rsid w:val="009111FC"/>
    <w:rsid w:val="0091166E"/>
    <w:rsid w:val="00911714"/>
    <w:rsid w:val="0091271A"/>
    <w:rsid w:val="00912D4A"/>
    <w:rsid w:val="00912D9A"/>
    <w:rsid w:val="00913228"/>
    <w:rsid w:val="00913F50"/>
    <w:rsid w:val="00913F86"/>
    <w:rsid w:val="0091484B"/>
    <w:rsid w:val="00916026"/>
    <w:rsid w:val="009169BA"/>
    <w:rsid w:val="00916AB7"/>
    <w:rsid w:val="0091747A"/>
    <w:rsid w:val="009179AE"/>
    <w:rsid w:val="00917BC1"/>
    <w:rsid w:val="00917C8E"/>
    <w:rsid w:val="00917D15"/>
    <w:rsid w:val="009202ED"/>
    <w:rsid w:val="009205ED"/>
    <w:rsid w:val="009207FA"/>
    <w:rsid w:val="00920E46"/>
    <w:rsid w:val="00921356"/>
    <w:rsid w:val="009214C7"/>
    <w:rsid w:val="00921ADA"/>
    <w:rsid w:val="00921B45"/>
    <w:rsid w:val="00921CE9"/>
    <w:rsid w:val="00921EE7"/>
    <w:rsid w:val="0092267E"/>
    <w:rsid w:val="009235CD"/>
    <w:rsid w:val="0092393A"/>
    <w:rsid w:val="00924096"/>
    <w:rsid w:val="00926A1E"/>
    <w:rsid w:val="00926D69"/>
    <w:rsid w:val="00927278"/>
    <w:rsid w:val="0092748A"/>
    <w:rsid w:val="00927D42"/>
    <w:rsid w:val="00927DDA"/>
    <w:rsid w:val="00930167"/>
    <w:rsid w:val="009301DA"/>
    <w:rsid w:val="00930401"/>
    <w:rsid w:val="009308FD"/>
    <w:rsid w:val="00931144"/>
    <w:rsid w:val="009315F7"/>
    <w:rsid w:val="00931C6A"/>
    <w:rsid w:val="00933434"/>
    <w:rsid w:val="0093398A"/>
    <w:rsid w:val="009344AC"/>
    <w:rsid w:val="00934F36"/>
    <w:rsid w:val="0093519C"/>
    <w:rsid w:val="00935234"/>
    <w:rsid w:val="00935A05"/>
    <w:rsid w:val="00935A1F"/>
    <w:rsid w:val="0093738F"/>
    <w:rsid w:val="00937CCC"/>
    <w:rsid w:val="00937F5D"/>
    <w:rsid w:val="00940393"/>
    <w:rsid w:val="00940747"/>
    <w:rsid w:val="00940765"/>
    <w:rsid w:val="0094084D"/>
    <w:rsid w:val="0094119B"/>
    <w:rsid w:val="009416B0"/>
    <w:rsid w:val="00941868"/>
    <w:rsid w:val="009419FB"/>
    <w:rsid w:val="00941A87"/>
    <w:rsid w:val="00941B2A"/>
    <w:rsid w:val="00941F8A"/>
    <w:rsid w:val="009421B2"/>
    <w:rsid w:val="009429A4"/>
    <w:rsid w:val="00943667"/>
    <w:rsid w:val="00943DAC"/>
    <w:rsid w:val="0094415A"/>
    <w:rsid w:val="00944CD3"/>
    <w:rsid w:val="00944EFE"/>
    <w:rsid w:val="00945B1B"/>
    <w:rsid w:val="00946319"/>
    <w:rsid w:val="00946D23"/>
    <w:rsid w:val="00946ED7"/>
    <w:rsid w:val="00947AEB"/>
    <w:rsid w:val="00947DE8"/>
    <w:rsid w:val="00947FEE"/>
    <w:rsid w:val="00950B05"/>
    <w:rsid w:val="00950BDB"/>
    <w:rsid w:val="009520EB"/>
    <w:rsid w:val="00952E69"/>
    <w:rsid w:val="009530CE"/>
    <w:rsid w:val="009553CD"/>
    <w:rsid w:val="0095540D"/>
    <w:rsid w:val="00955ABF"/>
    <w:rsid w:val="00956507"/>
    <w:rsid w:val="0095713A"/>
    <w:rsid w:val="00957CD4"/>
    <w:rsid w:val="00957D88"/>
    <w:rsid w:val="00957EF3"/>
    <w:rsid w:val="00957F51"/>
    <w:rsid w:val="00960110"/>
    <w:rsid w:val="0096084F"/>
    <w:rsid w:val="009608E9"/>
    <w:rsid w:val="00960A8B"/>
    <w:rsid w:val="00960FA8"/>
    <w:rsid w:val="00961034"/>
    <w:rsid w:val="009618AC"/>
    <w:rsid w:val="00962C1C"/>
    <w:rsid w:val="00962CB9"/>
    <w:rsid w:val="00962CD5"/>
    <w:rsid w:val="00963183"/>
    <w:rsid w:val="00963513"/>
    <w:rsid w:val="00964231"/>
    <w:rsid w:val="00965F01"/>
    <w:rsid w:val="009668FA"/>
    <w:rsid w:val="00970367"/>
    <w:rsid w:val="009703B2"/>
    <w:rsid w:val="00970591"/>
    <w:rsid w:val="00971498"/>
    <w:rsid w:val="00971A41"/>
    <w:rsid w:val="00971B54"/>
    <w:rsid w:val="00972173"/>
    <w:rsid w:val="00972FEB"/>
    <w:rsid w:val="00973B73"/>
    <w:rsid w:val="00973F50"/>
    <w:rsid w:val="00974006"/>
    <w:rsid w:val="0097413F"/>
    <w:rsid w:val="00975D0B"/>
    <w:rsid w:val="009761C8"/>
    <w:rsid w:val="0097620A"/>
    <w:rsid w:val="00976780"/>
    <w:rsid w:val="00976D62"/>
    <w:rsid w:val="009773BB"/>
    <w:rsid w:val="009773F4"/>
    <w:rsid w:val="00977EDA"/>
    <w:rsid w:val="009804A7"/>
    <w:rsid w:val="009804C5"/>
    <w:rsid w:val="009809E2"/>
    <w:rsid w:val="00980B78"/>
    <w:rsid w:val="00981796"/>
    <w:rsid w:val="00983241"/>
    <w:rsid w:val="00983D64"/>
    <w:rsid w:val="0098421B"/>
    <w:rsid w:val="00984909"/>
    <w:rsid w:val="00984D55"/>
    <w:rsid w:val="00985298"/>
    <w:rsid w:val="0098570A"/>
    <w:rsid w:val="0098578A"/>
    <w:rsid w:val="00985F82"/>
    <w:rsid w:val="00986030"/>
    <w:rsid w:val="0098642B"/>
    <w:rsid w:val="00986952"/>
    <w:rsid w:val="009869AC"/>
    <w:rsid w:val="00986A5E"/>
    <w:rsid w:val="0098708C"/>
    <w:rsid w:val="009879F5"/>
    <w:rsid w:val="00987EB2"/>
    <w:rsid w:val="0099020A"/>
    <w:rsid w:val="00990329"/>
    <w:rsid w:val="009909D4"/>
    <w:rsid w:val="00990D04"/>
    <w:rsid w:val="009910A8"/>
    <w:rsid w:val="00991534"/>
    <w:rsid w:val="00991574"/>
    <w:rsid w:val="009923D3"/>
    <w:rsid w:val="00994140"/>
    <w:rsid w:val="009944A6"/>
    <w:rsid w:val="009944B5"/>
    <w:rsid w:val="00994B8E"/>
    <w:rsid w:val="00995B46"/>
    <w:rsid w:val="00995B72"/>
    <w:rsid w:val="00995D80"/>
    <w:rsid w:val="00995FDD"/>
    <w:rsid w:val="00996532"/>
    <w:rsid w:val="00996FD9"/>
    <w:rsid w:val="00997959"/>
    <w:rsid w:val="009A0298"/>
    <w:rsid w:val="009A0C03"/>
    <w:rsid w:val="009A101A"/>
    <w:rsid w:val="009A1AED"/>
    <w:rsid w:val="009A1D54"/>
    <w:rsid w:val="009A2379"/>
    <w:rsid w:val="009A2AE5"/>
    <w:rsid w:val="009A329B"/>
    <w:rsid w:val="009A3B7C"/>
    <w:rsid w:val="009A3BC2"/>
    <w:rsid w:val="009A4E93"/>
    <w:rsid w:val="009A5486"/>
    <w:rsid w:val="009A5BFF"/>
    <w:rsid w:val="009A5CB9"/>
    <w:rsid w:val="009A5DD9"/>
    <w:rsid w:val="009A5EA8"/>
    <w:rsid w:val="009A5F8F"/>
    <w:rsid w:val="009A61BB"/>
    <w:rsid w:val="009A624C"/>
    <w:rsid w:val="009A6444"/>
    <w:rsid w:val="009A65D6"/>
    <w:rsid w:val="009A7124"/>
    <w:rsid w:val="009A73E5"/>
    <w:rsid w:val="009A791E"/>
    <w:rsid w:val="009A79CF"/>
    <w:rsid w:val="009B0B62"/>
    <w:rsid w:val="009B18E3"/>
    <w:rsid w:val="009B1AE2"/>
    <w:rsid w:val="009B24C9"/>
    <w:rsid w:val="009B25F8"/>
    <w:rsid w:val="009B2D5C"/>
    <w:rsid w:val="009B2ED1"/>
    <w:rsid w:val="009B34EE"/>
    <w:rsid w:val="009B3739"/>
    <w:rsid w:val="009B3D4F"/>
    <w:rsid w:val="009B45ED"/>
    <w:rsid w:val="009B4672"/>
    <w:rsid w:val="009B5FD1"/>
    <w:rsid w:val="009B6735"/>
    <w:rsid w:val="009B6BAE"/>
    <w:rsid w:val="009B74C4"/>
    <w:rsid w:val="009B7556"/>
    <w:rsid w:val="009C0ADB"/>
    <w:rsid w:val="009C1AD6"/>
    <w:rsid w:val="009C1C32"/>
    <w:rsid w:val="009C2057"/>
    <w:rsid w:val="009C2AC4"/>
    <w:rsid w:val="009C2D31"/>
    <w:rsid w:val="009C31D9"/>
    <w:rsid w:val="009C39CB"/>
    <w:rsid w:val="009C3C42"/>
    <w:rsid w:val="009C49FB"/>
    <w:rsid w:val="009C572C"/>
    <w:rsid w:val="009C597E"/>
    <w:rsid w:val="009C5D4E"/>
    <w:rsid w:val="009C60DB"/>
    <w:rsid w:val="009C66C6"/>
    <w:rsid w:val="009C6E2D"/>
    <w:rsid w:val="009C70F5"/>
    <w:rsid w:val="009C712D"/>
    <w:rsid w:val="009C7A50"/>
    <w:rsid w:val="009C7B3A"/>
    <w:rsid w:val="009D001E"/>
    <w:rsid w:val="009D0434"/>
    <w:rsid w:val="009D04DE"/>
    <w:rsid w:val="009D16FF"/>
    <w:rsid w:val="009D1B5B"/>
    <w:rsid w:val="009D1FC0"/>
    <w:rsid w:val="009D31BD"/>
    <w:rsid w:val="009D396F"/>
    <w:rsid w:val="009D3D66"/>
    <w:rsid w:val="009D3E68"/>
    <w:rsid w:val="009D3F07"/>
    <w:rsid w:val="009D4274"/>
    <w:rsid w:val="009D46C9"/>
    <w:rsid w:val="009D46D9"/>
    <w:rsid w:val="009D596D"/>
    <w:rsid w:val="009D5EA6"/>
    <w:rsid w:val="009D651E"/>
    <w:rsid w:val="009D6AF1"/>
    <w:rsid w:val="009D788C"/>
    <w:rsid w:val="009E034A"/>
    <w:rsid w:val="009E0679"/>
    <w:rsid w:val="009E0A69"/>
    <w:rsid w:val="009E1218"/>
    <w:rsid w:val="009E150E"/>
    <w:rsid w:val="009E15FE"/>
    <w:rsid w:val="009E1713"/>
    <w:rsid w:val="009E178F"/>
    <w:rsid w:val="009E1BBE"/>
    <w:rsid w:val="009E1BE3"/>
    <w:rsid w:val="009E27AE"/>
    <w:rsid w:val="009E28C5"/>
    <w:rsid w:val="009E3250"/>
    <w:rsid w:val="009E34BF"/>
    <w:rsid w:val="009E3DDB"/>
    <w:rsid w:val="009E3ED4"/>
    <w:rsid w:val="009E41F7"/>
    <w:rsid w:val="009E455E"/>
    <w:rsid w:val="009E5357"/>
    <w:rsid w:val="009E54C1"/>
    <w:rsid w:val="009E5660"/>
    <w:rsid w:val="009E611B"/>
    <w:rsid w:val="009E62ED"/>
    <w:rsid w:val="009E633E"/>
    <w:rsid w:val="009E69E0"/>
    <w:rsid w:val="009E6AC4"/>
    <w:rsid w:val="009E6E8E"/>
    <w:rsid w:val="009E7205"/>
    <w:rsid w:val="009F04A3"/>
    <w:rsid w:val="009F07E6"/>
    <w:rsid w:val="009F0CB5"/>
    <w:rsid w:val="009F1678"/>
    <w:rsid w:val="009F1713"/>
    <w:rsid w:val="009F1830"/>
    <w:rsid w:val="009F18D2"/>
    <w:rsid w:val="009F2FBB"/>
    <w:rsid w:val="009F3C40"/>
    <w:rsid w:val="009F3F21"/>
    <w:rsid w:val="009F4365"/>
    <w:rsid w:val="009F4507"/>
    <w:rsid w:val="009F518C"/>
    <w:rsid w:val="009F54E7"/>
    <w:rsid w:val="009F5BC5"/>
    <w:rsid w:val="009F60E6"/>
    <w:rsid w:val="009F6186"/>
    <w:rsid w:val="00A00DA0"/>
    <w:rsid w:val="00A00EC0"/>
    <w:rsid w:val="00A01477"/>
    <w:rsid w:val="00A02928"/>
    <w:rsid w:val="00A02BE3"/>
    <w:rsid w:val="00A0346E"/>
    <w:rsid w:val="00A03BD8"/>
    <w:rsid w:val="00A03C3A"/>
    <w:rsid w:val="00A03E37"/>
    <w:rsid w:val="00A0531C"/>
    <w:rsid w:val="00A065DC"/>
    <w:rsid w:val="00A06D50"/>
    <w:rsid w:val="00A07692"/>
    <w:rsid w:val="00A10460"/>
    <w:rsid w:val="00A11288"/>
    <w:rsid w:val="00A113BC"/>
    <w:rsid w:val="00A11836"/>
    <w:rsid w:val="00A11906"/>
    <w:rsid w:val="00A120A1"/>
    <w:rsid w:val="00A122C5"/>
    <w:rsid w:val="00A1256A"/>
    <w:rsid w:val="00A12BA3"/>
    <w:rsid w:val="00A12DBF"/>
    <w:rsid w:val="00A13B48"/>
    <w:rsid w:val="00A1449A"/>
    <w:rsid w:val="00A14BAD"/>
    <w:rsid w:val="00A156D2"/>
    <w:rsid w:val="00A16960"/>
    <w:rsid w:val="00A16A22"/>
    <w:rsid w:val="00A16F92"/>
    <w:rsid w:val="00A17F94"/>
    <w:rsid w:val="00A20BCF"/>
    <w:rsid w:val="00A212A4"/>
    <w:rsid w:val="00A21762"/>
    <w:rsid w:val="00A21D34"/>
    <w:rsid w:val="00A2226C"/>
    <w:rsid w:val="00A24423"/>
    <w:rsid w:val="00A248FB"/>
    <w:rsid w:val="00A25F20"/>
    <w:rsid w:val="00A26963"/>
    <w:rsid w:val="00A26ED0"/>
    <w:rsid w:val="00A26EF1"/>
    <w:rsid w:val="00A270D9"/>
    <w:rsid w:val="00A2725D"/>
    <w:rsid w:val="00A276C7"/>
    <w:rsid w:val="00A27C9A"/>
    <w:rsid w:val="00A30070"/>
    <w:rsid w:val="00A30738"/>
    <w:rsid w:val="00A3077F"/>
    <w:rsid w:val="00A31177"/>
    <w:rsid w:val="00A3154E"/>
    <w:rsid w:val="00A31623"/>
    <w:rsid w:val="00A31C6B"/>
    <w:rsid w:val="00A34D71"/>
    <w:rsid w:val="00A3527F"/>
    <w:rsid w:val="00A353F8"/>
    <w:rsid w:val="00A356EF"/>
    <w:rsid w:val="00A35C67"/>
    <w:rsid w:val="00A3602B"/>
    <w:rsid w:val="00A36133"/>
    <w:rsid w:val="00A3641B"/>
    <w:rsid w:val="00A369C7"/>
    <w:rsid w:val="00A375CB"/>
    <w:rsid w:val="00A3777B"/>
    <w:rsid w:val="00A40178"/>
    <w:rsid w:val="00A4095D"/>
    <w:rsid w:val="00A40C73"/>
    <w:rsid w:val="00A40C88"/>
    <w:rsid w:val="00A40C97"/>
    <w:rsid w:val="00A418CA"/>
    <w:rsid w:val="00A4193F"/>
    <w:rsid w:val="00A419CB"/>
    <w:rsid w:val="00A42411"/>
    <w:rsid w:val="00A42986"/>
    <w:rsid w:val="00A443D5"/>
    <w:rsid w:val="00A4490A"/>
    <w:rsid w:val="00A44D08"/>
    <w:rsid w:val="00A44F53"/>
    <w:rsid w:val="00A44FC5"/>
    <w:rsid w:val="00A45085"/>
    <w:rsid w:val="00A45121"/>
    <w:rsid w:val="00A46D57"/>
    <w:rsid w:val="00A47016"/>
    <w:rsid w:val="00A47AD1"/>
    <w:rsid w:val="00A47B92"/>
    <w:rsid w:val="00A47D21"/>
    <w:rsid w:val="00A50CFF"/>
    <w:rsid w:val="00A50D1D"/>
    <w:rsid w:val="00A5207B"/>
    <w:rsid w:val="00A52506"/>
    <w:rsid w:val="00A53583"/>
    <w:rsid w:val="00A538AE"/>
    <w:rsid w:val="00A54852"/>
    <w:rsid w:val="00A55641"/>
    <w:rsid w:val="00A55A06"/>
    <w:rsid w:val="00A55A89"/>
    <w:rsid w:val="00A55FAB"/>
    <w:rsid w:val="00A56721"/>
    <w:rsid w:val="00A573FE"/>
    <w:rsid w:val="00A579E6"/>
    <w:rsid w:val="00A57CF6"/>
    <w:rsid w:val="00A6019A"/>
    <w:rsid w:val="00A6026E"/>
    <w:rsid w:val="00A606E8"/>
    <w:rsid w:val="00A6150F"/>
    <w:rsid w:val="00A615FE"/>
    <w:rsid w:val="00A62552"/>
    <w:rsid w:val="00A6265A"/>
    <w:rsid w:val="00A634B4"/>
    <w:rsid w:val="00A63AC1"/>
    <w:rsid w:val="00A640E6"/>
    <w:rsid w:val="00A641AB"/>
    <w:rsid w:val="00A6489A"/>
    <w:rsid w:val="00A64EC4"/>
    <w:rsid w:val="00A660EC"/>
    <w:rsid w:val="00A6616C"/>
    <w:rsid w:val="00A66438"/>
    <w:rsid w:val="00A670E8"/>
    <w:rsid w:val="00A670EF"/>
    <w:rsid w:val="00A67159"/>
    <w:rsid w:val="00A70014"/>
    <w:rsid w:val="00A700F7"/>
    <w:rsid w:val="00A70B88"/>
    <w:rsid w:val="00A70E25"/>
    <w:rsid w:val="00A71232"/>
    <w:rsid w:val="00A714E5"/>
    <w:rsid w:val="00A714EC"/>
    <w:rsid w:val="00A724F2"/>
    <w:rsid w:val="00A734FD"/>
    <w:rsid w:val="00A73746"/>
    <w:rsid w:val="00A742F5"/>
    <w:rsid w:val="00A745D2"/>
    <w:rsid w:val="00A74AC9"/>
    <w:rsid w:val="00A74E2A"/>
    <w:rsid w:val="00A74EEC"/>
    <w:rsid w:val="00A75577"/>
    <w:rsid w:val="00A765DD"/>
    <w:rsid w:val="00A813B5"/>
    <w:rsid w:val="00A82BA9"/>
    <w:rsid w:val="00A82E22"/>
    <w:rsid w:val="00A83936"/>
    <w:rsid w:val="00A8453F"/>
    <w:rsid w:val="00A84B99"/>
    <w:rsid w:val="00A84BB5"/>
    <w:rsid w:val="00A84E44"/>
    <w:rsid w:val="00A84E85"/>
    <w:rsid w:val="00A852A3"/>
    <w:rsid w:val="00A85A43"/>
    <w:rsid w:val="00A85C3B"/>
    <w:rsid w:val="00A86051"/>
    <w:rsid w:val="00A864FA"/>
    <w:rsid w:val="00A869EF"/>
    <w:rsid w:val="00A86CC2"/>
    <w:rsid w:val="00A86E3C"/>
    <w:rsid w:val="00A87031"/>
    <w:rsid w:val="00A9084C"/>
    <w:rsid w:val="00A90A0A"/>
    <w:rsid w:val="00A90CA2"/>
    <w:rsid w:val="00A91190"/>
    <w:rsid w:val="00A911A3"/>
    <w:rsid w:val="00A91520"/>
    <w:rsid w:val="00A92434"/>
    <w:rsid w:val="00A9372C"/>
    <w:rsid w:val="00A93A51"/>
    <w:rsid w:val="00A94DC4"/>
    <w:rsid w:val="00A956CD"/>
    <w:rsid w:val="00A959C5"/>
    <w:rsid w:val="00A95DC7"/>
    <w:rsid w:val="00A95DFD"/>
    <w:rsid w:val="00A95E7B"/>
    <w:rsid w:val="00A96170"/>
    <w:rsid w:val="00A9646D"/>
    <w:rsid w:val="00A96998"/>
    <w:rsid w:val="00A96A9D"/>
    <w:rsid w:val="00A96AA4"/>
    <w:rsid w:val="00A97A84"/>
    <w:rsid w:val="00AA0358"/>
    <w:rsid w:val="00AA037F"/>
    <w:rsid w:val="00AA0498"/>
    <w:rsid w:val="00AA1079"/>
    <w:rsid w:val="00AA1A7B"/>
    <w:rsid w:val="00AA1D11"/>
    <w:rsid w:val="00AA1FC1"/>
    <w:rsid w:val="00AA34C8"/>
    <w:rsid w:val="00AA34D7"/>
    <w:rsid w:val="00AA3C62"/>
    <w:rsid w:val="00AA4036"/>
    <w:rsid w:val="00AA40A0"/>
    <w:rsid w:val="00AA4B4E"/>
    <w:rsid w:val="00AA4C7C"/>
    <w:rsid w:val="00AA4C97"/>
    <w:rsid w:val="00AA4FFF"/>
    <w:rsid w:val="00AA59C1"/>
    <w:rsid w:val="00AA62AC"/>
    <w:rsid w:val="00AA75D8"/>
    <w:rsid w:val="00AA7636"/>
    <w:rsid w:val="00AA7A23"/>
    <w:rsid w:val="00AB0328"/>
    <w:rsid w:val="00AB06AA"/>
    <w:rsid w:val="00AB082B"/>
    <w:rsid w:val="00AB0D01"/>
    <w:rsid w:val="00AB11AC"/>
    <w:rsid w:val="00AB1AC6"/>
    <w:rsid w:val="00AB1D5E"/>
    <w:rsid w:val="00AB20A1"/>
    <w:rsid w:val="00AB2A49"/>
    <w:rsid w:val="00AB33AB"/>
    <w:rsid w:val="00AB4383"/>
    <w:rsid w:val="00AB43B2"/>
    <w:rsid w:val="00AB45E8"/>
    <w:rsid w:val="00AB4D78"/>
    <w:rsid w:val="00AB5957"/>
    <w:rsid w:val="00AB5A95"/>
    <w:rsid w:val="00AB5D7E"/>
    <w:rsid w:val="00AB5F2E"/>
    <w:rsid w:val="00AB6348"/>
    <w:rsid w:val="00AB6374"/>
    <w:rsid w:val="00AB6542"/>
    <w:rsid w:val="00AB77D7"/>
    <w:rsid w:val="00AB78DB"/>
    <w:rsid w:val="00AB7D97"/>
    <w:rsid w:val="00AC0790"/>
    <w:rsid w:val="00AC0ADE"/>
    <w:rsid w:val="00AC2CA9"/>
    <w:rsid w:val="00AC3377"/>
    <w:rsid w:val="00AC37E3"/>
    <w:rsid w:val="00AC399D"/>
    <w:rsid w:val="00AC3B4C"/>
    <w:rsid w:val="00AC5451"/>
    <w:rsid w:val="00AC57BE"/>
    <w:rsid w:val="00AC62FD"/>
    <w:rsid w:val="00AC6584"/>
    <w:rsid w:val="00AC65EC"/>
    <w:rsid w:val="00AC7357"/>
    <w:rsid w:val="00AC73E0"/>
    <w:rsid w:val="00AC78B0"/>
    <w:rsid w:val="00AC7B04"/>
    <w:rsid w:val="00AD0897"/>
    <w:rsid w:val="00AD1985"/>
    <w:rsid w:val="00AD1B5F"/>
    <w:rsid w:val="00AD1FDC"/>
    <w:rsid w:val="00AD1FF1"/>
    <w:rsid w:val="00AD2A38"/>
    <w:rsid w:val="00AD3FC1"/>
    <w:rsid w:val="00AD41C8"/>
    <w:rsid w:val="00AD49A9"/>
    <w:rsid w:val="00AD50C9"/>
    <w:rsid w:val="00AD5218"/>
    <w:rsid w:val="00AD58CA"/>
    <w:rsid w:val="00AD5975"/>
    <w:rsid w:val="00AD70D7"/>
    <w:rsid w:val="00AD724B"/>
    <w:rsid w:val="00AD7422"/>
    <w:rsid w:val="00AD751B"/>
    <w:rsid w:val="00AD7640"/>
    <w:rsid w:val="00AD78AA"/>
    <w:rsid w:val="00AE0093"/>
    <w:rsid w:val="00AE0192"/>
    <w:rsid w:val="00AE0439"/>
    <w:rsid w:val="00AE05EA"/>
    <w:rsid w:val="00AE0860"/>
    <w:rsid w:val="00AE0CE0"/>
    <w:rsid w:val="00AE0D34"/>
    <w:rsid w:val="00AE11EA"/>
    <w:rsid w:val="00AE1BF4"/>
    <w:rsid w:val="00AE2193"/>
    <w:rsid w:val="00AE2E6D"/>
    <w:rsid w:val="00AE3689"/>
    <w:rsid w:val="00AE36A8"/>
    <w:rsid w:val="00AE4A46"/>
    <w:rsid w:val="00AE5539"/>
    <w:rsid w:val="00AE5584"/>
    <w:rsid w:val="00AE573D"/>
    <w:rsid w:val="00AE5A32"/>
    <w:rsid w:val="00AE5E39"/>
    <w:rsid w:val="00AE684A"/>
    <w:rsid w:val="00AE6B76"/>
    <w:rsid w:val="00AE71BC"/>
    <w:rsid w:val="00AE732B"/>
    <w:rsid w:val="00AE7A04"/>
    <w:rsid w:val="00AE7F74"/>
    <w:rsid w:val="00AF08EC"/>
    <w:rsid w:val="00AF09C0"/>
    <w:rsid w:val="00AF0AD4"/>
    <w:rsid w:val="00AF0BC4"/>
    <w:rsid w:val="00AF1899"/>
    <w:rsid w:val="00AF1DCD"/>
    <w:rsid w:val="00AF2043"/>
    <w:rsid w:val="00AF24AF"/>
    <w:rsid w:val="00AF3689"/>
    <w:rsid w:val="00AF38FB"/>
    <w:rsid w:val="00AF4176"/>
    <w:rsid w:val="00AF47D3"/>
    <w:rsid w:val="00AF5F2C"/>
    <w:rsid w:val="00AF5F78"/>
    <w:rsid w:val="00AF611B"/>
    <w:rsid w:val="00AF6156"/>
    <w:rsid w:val="00AF61E9"/>
    <w:rsid w:val="00AF66D8"/>
    <w:rsid w:val="00AF7044"/>
    <w:rsid w:val="00AF7368"/>
    <w:rsid w:val="00B0032D"/>
    <w:rsid w:val="00B00511"/>
    <w:rsid w:val="00B005D2"/>
    <w:rsid w:val="00B00965"/>
    <w:rsid w:val="00B009A1"/>
    <w:rsid w:val="00B00C51"/>
    <w:rsid w:val="00B0106F"/>
    <w:rsid w:val="00B01180"/>
    <w:rsid w:val="00B0143D"/>
    <w:rsid w:val="00B017BB"/>
    <w:rsid w:val="00B01931"/>
    <w:rsid w:val="00B019D3"/>
    <w:rsid w:val="00B02443"/>
    <w:rsid w:val="00B02CB3"/>
    <w:rsid w:val="00B02D3B"/>
    <w:rsid w:val="00B03259"/>
    <w:rsid w:val="00B03CA1"/>
    <w:rsid w:val="00B05639"/>
    <w:rsid w:val="00B05660"/>
    <w:rsid w:val="00B05E16"/>
    <w:rsid w:val="00B05E86"/>
    <w:rsid w:val="00B05F05"/>
    <w:rsid w:val="00B061FA"/>
    <w:rsid w:val="00B069C8"/>
    <w:rsid w:val="00B06A70"/>
    <w:rsid w:val="00B076CF"/>
    <w:rsid w:val="00B10AE9"/>
    <w:rsid w:val="00B10BE7"/>
    <w:rsid w:val="00B10C22"/>
    <w:rsid w:val="00B11109"/>
    <w:rsid w:val="00B113DF"/>
    <w:rsid w:val="00B11A61"/>
    <w:rsid w:val="00B11E3C"/>
    <w:rsid w:val="00B12042"/>
    <w:rsid w:val="00B132D5"/>
    <w:rsid w:val="00B13B1F"/>
    <w:rsid w:val="00B13D82"/>
    <w:rsid w:val="00B141AE"/>
    <w:rsid w:val="00B14F99"/>
    <w:rsid w:val="00B153C2"/>
    <w:rsid w:val="00B15FD5"/>
    <w:rsid w:val="00B16C19"/>
    <w:rsid w:val="00B17198"/>
    <w:rsid w:val="00B1775A"/>
    <w:rsid w:val="00B17EF7"/>
    <w:rsid w:val="00B204B8"/>
    <w:rsid w:val="00B20850"/>
    <w:rsid w:val="00B210BE"/>
    <w:rsid w:val="00B21295"/>
    <w:rsid w:val="00B21338"/>
    <w:rsid w:val="00B21602"/>
    <w:rsid w:val="00B222CF"/>
    <w:rsid w:val="00B222D7"/>
    <w:rsid w:val="00B22634"/>
    <w:rsid w:val="00B229D7"/>
    <w:rsid w:val="00B22B76"/>
    <w:rsid w:val="00B2315E"/>
    <w:rsid w:val="00B24D46"/>
    <w:rsid w:val="00B252B0"/>
    <w:rsid w:val="00B25319"/>
    <w:rsid w:val="00B25742"/>
    <w:rsid w:val="00B25BB8"/>
    <w:rsid w:val="00B26035"/>
    <w:rsid w:val="00B26BA6"/>
    <w:rsid w:val="00B26D10"/>
    <w:rsid w:val="00B26F48"/>
    <w:rsid w:val="00B27223"/>
    <w:rsid w:val="00B27D1D"/>
    <w:rsid w:val="00B30BB0"/>
    <w:rsid w:val="00B31302"/>
    <w:rsid w:val="00B321C3"/>
    <w:rsid w:val="00B3266B"/>
    <w:rsid w:val="00B32833"/>
    <w:rsid w:val="00B32BEF"/>
    <w:rsid w:val="00B3382E"/>
    <w:rsid w:val="00B33BDF"/>
    <w:rsid w:val="00B33CF8"/>
    <w:rsid w:val="00B33D23"/>
    <w:rsid w:val="00B33D26"/>
    <w:rsid w:val="00B344B3"/>
    <w:rsid w:val="00B34E87"/>
    <w:rsid w:val="00B355E9"/>
    <w:rsid w:val="00B35D33"/>
    <w:rsid w:val="00B36256"/>
    <w:rsid w:val="00B372DD"/>
    <w:rsid w:val="00B373A4"/>
    <w:rsid w:val="00B377E0"/>
    <w:rsid w:val="00B37A55"/>
    <w:rsid w:val="00B40959"/>
    <w:rsid w:val="00B413FB"/>
    <w:rsid w:val="00B41750"/>
    <w:rsid w:val="00B41E4B"/>
    <w:rsid w:val="00B421D4"/>
    <w:rsid w:val="00B42379"/>
    <w:rsid w:val="00B42380"/>
    <w:rsid w:val="00B42545"/>
    <w:rsid w:val="00B4287D"/>
    <w:rsid w:val="00B43B22"/>
    <w:rsid w:val="00B45837"/>
    <w:rsid w:val="00B45B5C"/>
    <w:rsid w:val="00B45E2B"/>
    <w:rsid w:val="00B45E3B"/>
    <w:rsid w:val="00B4635B"/>
    <w:rsid w:val="00B46595"/>
    <w:rsid w:val="00B470F6"/>
    <w:rsid w:val="00B47F2F"/>
    <w:rsid w:val="00B50505"/>
    <w:rsid w:val="00B506C6"/>
    <w:rsid w:val="00B507F0"/>
    <w:rsid w:val="00B51315"/>
    <w:rsid w:val="00B51ABC"/>
    <w:rsid w:val="00B51ACF"/>
    <w:rsid w:val="00B51B72"/>
    <w:rsid w:val="00B51CB0"/>
    <w:rsid w:val="00B51E57"/>
    <w:rsid w:val="00B51EF7"/>
    <w:rsid w:val="00B52026"/>
    <w:rsid w:val="00B5287C"/>
    <w:rsid w:val="00B529F5"/>
    <w:rsid w:val="00B532EE"/>
    <w:rsid w:val="00B534F8"/>
    <w:rsid w:val="00B53E47"/>
    <w:rsid w:val="00B53F67"/>
    <w:rsid w:val="00B540E1"/>
    <w:rsid w:val="00B544AB"/>
    <w:rsid w:val="00B5464F"/>
    <w:rsid w:val="00B55235"/>
    <w:rsid w:val="00B55E56"/>
    <w:rsid w:val="00B55EE4"/>
    <w:rsid w:val="00B56434"/>
    <w:rsid w:val="00B5667E"/>
    <w:rsid w:val="00B57419"/>
    <w:rsid w:val="00B57936"/>
    <w:rsid w:val="00B57A14"/>
    <w:rsid w:val="00B6022E"/>
    <w:rsid w:val="00B606F0"/>
    <w:rsid w:val="00B60CEB"/>
    <w:rsid w:val="00B60DF2"/>
    <w:rsid w:val="00B6214E"/>
    <w:rsid w:val="00B621B7"/>
    <w:rsid w:val="00B624E5"/>
    <w:rsid w:val="00B63223"/>
    <w:rsid w:val="00B632FF"/>
    <w:rsid w:val="00B63500"/>
    <w:rsid w:val="00B63633"/>
    <w:rsid w:val="00B637BC"/>
    <w:rsid w:val="00B64381"/>
    <w:rsid w:val="00B643A9"/>
    <w:rsid w:val="00B643AE"/>
    <w:rsid w:val="00B643F9"/>
    <w:rsid w:val="00B65773"/>
    <w:rsid w:val="00B66056"/>
    <w:rsid w:val="00B66066"/>
    <w:rsid w:val="00B6607E"/>
    <w:rsid w:val="00B6614E"/>
    <w:rsid w:val="00B661A2"/>
    <w:rsid w:val="00B6665F"/>
    <w:rsid w:val="00B669BE"/>
    <w:rsid w:val="00B66BEF"/>
    <w:rsid w:val="00B66D94"/>
    <w:rsid w:val="00B67025"/>
    <w:rsid w:val="00B670B4"/>
    <w:rsid w:val="00B67612"/>
    <w:rsid w:val="00B705AB"/>
    <w:rsid w:val="00B708F3"/>
    <w:rsid w:val="00B70BDE"/>
    <w:rsid w:val="00B71D9C"/>
    <w:rsid w:val="00B71DCB"/>
    <w:rsid w:val="00B7257D"/>
    <w:rsid w:val="00B72A8D"/>
    <w:rsid w:val="00B72B92"/>
    <w:rsid w:val="00B72EAB"/>
    <w:rsid w:val="00B72F90"/>
    <w:rsid w:val="00B746A3"/>
    <w:rsid w:val="00B751AD"/>
    <w:rsid w:val="00B751EC"/>
    <w:rsid w:val="00B753F3"/>
    <w:rsid w:val="00B761D9"/>
    <w:rsid w:val="00B76627"/>
    <w:rsid w:val="00B76891"/>
    <w:rsid w:val="00B76B05"/>
    <w:rsid w:val="00B7759B"/>
    <w:rsid w:val="00B77816"/>
    <w:rsid w:val="00B778C2"/>
    <w:rsid w:val="00B779E8"/>
    <w:rsid w:val="00B800D8"/>
    <w:rsid w:val="00B8047B"/>
    <w:rsid w:val="00B813A8"/>
    <w:rsid w:val="00B814C4"/>
    <w:rsid w:val="00B819CA"/>
    <w:rsid w:val="00B81D2B"/>
    <w:rsid w:val="00B8212E"/>
    <w:rsid w:val="00B82C82"/>
    <w:rsid w:val="00B83295"/>
    <w:rsid w:val="00B835F6"/>
    <w:rsid w:val="00B83B3D"/>
    <w:rsid w:val="00B84C72"/>
    <w:rsid w:val="00B84DC3"/>
    <w:rsid w:val="00B86206"/>
    <w:rsid w:val="00B86AA8"/>
    <w:rsid w:val="00B8752B"/>
    <w:rsid w:val="00B87611"/>
    <w:rsid w:val="00B878C2"/>
    <w:rsid w:val="00B87A03"/>
    <w:rsid w:val="00B90991"/>
    <w:rsid w:val="00B911C1"/>
    <w:rsid w:val="00B91A05"/>
    <w:rsid w:val="00B920C7"/>
    <w:rsid w:val="00B9219F"/>
    <w:rsid w:val="00B92B02"/>
    <w:rsid w:val="00B92BA6"/>
    <w:rsid w:val="00B9301D"/>
    <w:rsid w:val="00B9353C"/>
    <w:rsid w:val="00B9426E"/>
    <w:rsid w:val="00B94978"/>
    <w:rsid w:val="00B94A87"/>
    <w:rsid w:val="00B95584"/>
    <w:rsid w:val="00B96965"/>
    <w:rsid w:val="00BA053B"/>
    <w:rsid w:val="00BA1AFB"/>
    <w:rsid w:val="00BA1EEC"/>
    <w:rsid w:val="00BA1F3F"/>
    <w:rsid w:val="00BA23B2"/>
    <w:rsid w:val="00BA2E25"/>
    <w:rsid w:val="00BA33E8"/>
    <w:rsid w:val="00BA3407"/>
    <w:rsid w:val="00BA34BA"/>
    <w:rsid w:val="00BA38DA"/>
    <w:rsid w:val="00BA395D"/>
    <w:rsid w:val="00BA3A97"/>
    <w:rsid w:val="00BA49D1"/>
    <w:rsid w:val="00BA52F5"/>
    <w:rsid w:val="00BA5B62"/>
    <w:rsid w:val="00BA5E2B"/>
    <w:rsid w:val="00BA7253"/>
    <w:rsid w:val="00BA73E7"/>
    <w:rsid w:val="00BA7F57"/>
    <w:rsid w:val="00BB04C3"/>
    <w:rsid w:val="00BB08F3"/>
    <w:rsid w:val="00BB1E99"/>
    <w:rsid w:val="00BB1EE4"/>
    <w:rsid w:val="00BB2428"/>
    <w:rsid w:val="00BB2442"/>
    <w:rsid w:val="00BB24C6"/>
    <w:rsid w:val="00BB2E10"/>
    <w:rsid w:val="00BB3173"/>
    <w:rsid w:val="00BB3813"/>
    <w:rsid w:val="00BB3F85"/>
    <w:rsid w:val="00BB40E1"/>
    <w:rsid w:val="00BB5434"/>
    <w:rsid w:val="00BB61C3"/>
    <w:rsid w:val="00BB663D"/>
    <w:rsid w:val="00BB66C4"/>
    <w:rsid w:val="00BB6E9C"/>
    <w:rsid w:val="00BC0729"/>
    <w:rsid w:val="00BC1397"/>
    <w:rsid w:val="00BC13A1"/>
    <w:rsid w:val="00BC168B"/>
    <w:rsid w:val="00BC177D"/>
    <w:rsid w:val="00BC1821"/>
    <w:rsid w:val="00BC1F49"/>
    <w:rsid w:val="00BC2269"/>
    <w:rsid w:val="00BC2A79"/>
    <w:rsid w:val="00BC2B21"/>
    <w:rsid w:val="00BC2B72"/>
    <w:rsid w:val="00BC3285"/>
    <w:rsid w:val="00BC339F"/>
    <w:rsid w:val="00BC38FD"/>
    <w:rsid w:val="00BC3993"/>
    <w:rsid w:val="00BC3A0E"/>
    <w:rsid w:val="00BC58D6"/>
    <w:rsid w:val="00BC5AB1"/>
    <w:rsid w:val="00BC61D6"/>
    <w:rsid w:val="00BC6435"/>
    <w:rsid w:val="00BC6879"/>
    <w:rsid w:val="00BC6D02"/>
    <w:rsid w:val="00BC6DCF"/>
    <w:rsid w:val="00BC718B"/>
    <w:rsid w:val="00BD01A9"/>
    <w:rsid w:val="00BD094F"/>
    <w:rsid w:val="00BD1C26"/>
    <w:rsid w:val="00BD24E9"/>
    <w:rsid w:val="00BD27C7"/>
    <w:rsid w:val="00BD34FB"/>
    <w:rsid w:val="00BD37FF"/>
    <w:rsid w:val="00BD3E0E"/>
    <w:rsid w:val="00BD3FF3"/>
    <w:rsid w:val="00BD5269"/>
    <w:rsid w:val="00BD557A"/>
    <w:rsid w:val="00BD5BDC"/>
    <w:rsid w:val="00BD7441"/>
    <w:rsid w:val="00BD76DA"/>
    <w:rsid w:val="00BD7AB0"/>
    <w:rsid w:val="00BE04CD"/>
    <w:rsid w:val="00BE05AF"/>
    <w:rsid w:val="00BE1915"/>
    <w:rsid w:val="00BE19A5"/>
    <w:rsid w:val="00BE209B"/>
    <w:rsid w:val="00BE32D6"/>
    <w:rsid w:val="00BE373E"/>
    <w:rsid w:val="00BE3A2C"/>
    <w:rsid w:val="00BE3EF7"/>
    <w:rsid w:val="00BE3F40"/>
    <w:rsid w:val="00BE4513"/>
    <w:rsid w:val="00BE56D5"/>
    <w:rsid w:val="00BE58F4"/>
    <w:rsid w:val="00BE5CD0"/>
    <w:rsid w:val="00BE5F1B"/>
    <w:rsid w:val="00BE6122"/>
    <w:rsid w:val="00BE6370"/>
    <w:rsid w:val="00BE673D"/>
    <w:rsid w:val="00BE67E6"/>
    <w:rsid w:val="00BE6971"/>
    <w:rsid w:val="00BE73E0"/>
    <w:rsid w:val="00BE76CA"/>
    <w:rsid w:val="00BF08DA"/>
    <w:rsid w:val="00BF18DE"/>
    <w:rsid w:val="00BF1A57"/>
    <w:rsid w:val="00BF1C0B"/>
    <w:rsid w:val="00BF2AF2"/>
    <w:rsid w:val="00BF3571"/>
    <w:rsid w:val="00BF40A7"/>
    <w:rsid w:val="00BF40C8"/>
    <w:rsid w:val="00BF4699"/>
    <w:rsid w:val="00BF4AE5"/>
    <w:rsid w:val="00BF50D7"/>
    <w:rsid w:val="00BF526E"/>
    <w:rsid w:val="00BF53C3"/>
    <w:rsid w:val="00BF5435"/>
    <w:rsid w:val="00BF6609"/>
    <w:rsid w:val="00BF682C"/>
    <w:rsid w:val="00BF6CE3"/>
    <w:rsid w:val="00BF6CEB"/>
    <w:rsid w:val="00BF771A"/>
    <w:rsid w:val="00BF7CF7"/>
    <w:rsid w:val="00C001B9"/>
    <w:rsid w:val="00C00409"/>
    <w:rsid w:val="00C0061D"/>
    <w:rsid w:val="00C00654"/>
    <w:rsid w:val="00C010B5"/>
    <w:rsid w:val="00C01232"/>
    <w:rsid w:val="00C01534"/>
    <w:rsid w:val="00C01677"/>
    <w:rsid w:val="00C01978"/>
    <w:rsid w:val="00C01CD0"/>
    <w:rsid w:val="00C01EAD"/>
    <w:rsid w:val="00C0204A"/>
    <w:rsid w:val="00C026AE"/>
    <w:rsid w:val="00C02B19"/>
    <w:rsid w:val="00C02C1F"/>
    <w:rsid w:val="00C035B0"/>
    <w:rsid w:val="00C04A88"/>
    <w:rsid w:val="00C05A7A"/>
    <w:rsid w:val="00C05E87"/>
    <w:rsid w:val="00C05F10"/>
    <w:rsid w:val="00C06107"/>
    <w:rsid w:val="00C065D6"/>
    <w:rsid w:val="00C07021"/>
    <w:rsid w:val="00C07709"/>
    <w:rsid w:val="00C102F0"/>
    <w:rsid w:val="00C10AE1"/>
    <w:rsid w:val="00C10C4E"/>
    <w:rsid w:val="00C11BEB"/>
    <w:rsid w:val="00C12209"/>
    <w:rsid w:val="00C124BF"/>
    <w:rsid w:val="00C126D7"/>
    <w:rsid w:val="00C1275F"/>
    <w:rsid w:val="00C13985"/>
    <w:rsid w:val="00C1482C"/>
    <w:rsid w:val="00C14AFE"/>
    <w:rsid w:val="00C15199"/>
    <w:rsid w:val="00C15461"/>
    <w:rsid w:val="00C1560D"/>
    <w:rsid w:val="00C15778"/>
    <w:rsid w:val="00C15BAB"/>
    <w:rsid w:val="00C162E3"/>
    <w:rsid w:val="00C16332"/>
    <w:rsid w:val="00C16716"/>
    <w:rsid w:val="00C16C68"/>
    <w:rsid w:val="00C1702B"/>
    <w:rsid w:val="00C170E9"/>
    <w:rsid w:val="00C200A9"/>
    <w:rsid w:val="00C205CB"/>
    <w:rsid w:val="00C2061D"/>
    <w:rsid w:val="00C20AC9"/>
    <w:rsid w:val="00C213B1"/>
    <w:rsid w:val="00C21407"/>
    <w:rsid w:val="00C21A5E"/>
    <w:rsid w:val="00C21FC7"/>
    <w:rsid w:val="00C23EE9"/>
    <w:rsid w:val="00C240FD"/>
    <w:rsid w:val="00C24271"/>
    <w:rsid w:val="00C24B28"/>
    <w:rsid w:val="00C25186"/>
    <w:rsid w:val="00C256CA"/>
    <w:rsid w:val="00C25D69"/>
    <w:rsid w:val="00C26486"/>
    <w:rsid w:val="00C26F66"/>
    <w:rsid w:val="00C26FD5"/>
    <w:rsid w:val="00C27122"/>
    <w:rsid w:val="00C273B1"/>
    <w:rsid w:val="00C2743B"/>
    <w:rsid w:val="00C2758B"/>
    <w:rsid w:val="00C27D70"/>
    <w:rsid w:val="00C27E42"/>
    <w:rsid w:val="00C300D1"/>
    <w:rsid w:val="00C30114"/>
    <w:rsid w:val="00C31ECC"/>
    <w:rsid w:val="00C32119"/>
    <w:rsid w:val="00C32209"/>
    <w:rsid w:val="00C3222F"/>
    <w:rsid w:val="00C32745"/>
    <w:rsid w:val="00C32BD0"/>
    <w:rsid w:val="00C3319B"/>
    <w:rsid w:val="00C334EC"/>
    <w:rsid w:val="00C33837"/>
    <w:rsid w:val="00C33BB0"/>
    <w:rsid w:val="00C34888"/>
    <w:rsid w:val="00C34F18"/>
    <w:rsid w:val="00C35AA9"/>
    <w:rsid w:val="00C35C15"/>
    <w:rsid w:val="00C35C22"/>
    <w:rsid w:val="00C36606"/>
    <w:rsid w:val="00C36D13"/>
    <w:rsid w:val="00C37484"/>
    <w:rsid w:val="00C37BC4"/>
    <w:rsid w:val="00C4014A"/>
    <w:rsid w:val="00C40A2C"/>
    <w:rsid w:val="00C414D4"/>
    <w:rsid w:val="00C41719"/>
    <w:rsid w:val="00C417BE"/>
    <w:rsid w:val="00C41E56"/>
    <w:rsid w:val="00C41EF4"/>
    <w:rsid w:val="00C42025"/>
    <w:rsid w:val="00C4203F"/>
    <w:rsid w:val="00C421CA"/>
    <w:rsid w:val="00C426B7"/>
    <w:rsid w:val="00C42C1C"/>
    <w:rsid w:val="00C43163"/>
    <w:rsid w:val="00C43FA1"/>
    <w:rsid w:val="00C44774"/>
    <w:rsid w:val="00C44DEB"/>
    <w:rsid w:val="00C44EF0"/>
    <w:rsid w:val="00C4591C"/>
    <w:rsid w:val="00C45F2F"/>
    <w:rsid w:val="00C4666F"/>
    <w:rsid w:val="00C46C14"/>
    <w:rsid w:val="00C478C7"/>
    <w:rsid w:val="00C47DFA"/>
    <w:rsid w:val="00C5082A"/>
    <w:rsid w:val="00C508E2"/>
    <w:rsid w:val="00C50A68"/>
    <w:rsid w:val="00C50C97"/>
    <w:rsid w:val="00C51923"/>
    <w:rsid w:val="00C51E0B"/>
    <w:rsid w:val="00C52C3A"/>
    <w:rsid w:val="00C53955"/>
    <w:rsid w:val="00C541A6"/>
    <w:rsid w:val="00C5428A"/>
    <w:rsid w:val="00C54366"/>
    <w:rsid w:val="00C54644"/>
    <w:rsid w:val="00C54E13"/>
    <w:rsid w:val="00C552E9"/>
    <w:rsid w:val="00C55327"/>
    <w:rsid w:val="00C555AF"/>
    <w:rsid w:val="00C560C3"/>
    <w:rsid w:val="00C56699"/>
    <w:rsid w:val="00C56C92"/>
    <w:rsid w:val="00C56F8E"/>
    <w:rsid w:val="00C57A37"/>
    <w:rsid w:val="00C6023F"/>
    <w:rsid w:val="00C60653"/>
    <w:rsid w:val="00C6097E"/>
    <w:rsid w:val="00C60B88"/>
    <w:rsid w:val="00C613E1"/>
    <w:rsid w:val="00C6279F"/>
    <w:rsid w:val="00C6372B"/>
    <w:rsid w:val="00C64874"/>
    <w:rsid w:val="00C64B52"/>
    <w:rsid w:val="00C66286"/>
    <w:rsid w:val="00C66A4B"/>
    <w:rsid w:val="00C6776E"/>
    <w:rsid w:val="00C67B64"/>
    <w:rsid w:val="00C70068"/>
    <w:rsid w:val="00C70260"/>
    <w:rsid w:val="00C70B0E"/>
    <w:rsid w:val="00C7116F"/>
    <w:rsid w:val="00C71216"/>
    <w:rsid w:val="00C71792"/>
    <w:rsid w:val="00C734F9"/>
    <w:rsid w:val="00C739F1"/>
    <w:rsid w:val="00C73E1E"/>
    <w:rsid w:val="00C73E80"/>
    <w:rsid w:val="00C743C1"/>
    <w:rsid w:val="00C743F4"/>
    <w:rsid w:val="00C745C7"/>
    <w:rsid w:val="00C755BD"/>
    <w:rsid w:val="00C75759"/>
    <w:rsid w:val="00C75971"/>
    <w:rsid w:val="00C75A32"/>
    <w:rsid w:val="00C7601A"/>
    <w:rsid w:val="00C7763D"/>
    <w:rsid w:val="00C77C83"/>
    <w:rsid w:val="00C800C8"/>
    <w:rsid w:val="00C8075A"/>
    <w:rsid w:val="00C8170A"/>
    <w:rsid w:val="00C81B35"/>
    <w:rsid w:val="00C81E99"/>
    <w:rsid w:val="00C822DA"/>
    <w:rsid w:val="00C827AB"/>
    <w:rsid w:val="00C83BA2"/>
    <w:rsid w:val="00C83D38"/>
    <w:rsid w:val="00C84675"/>
    <w:rsid w:val="00C85184"/>
    <w:rsid w:val="00C85725"/>
    <w:rsid w:val="00C85ABB"/>
    <w:rsid w:val="00C85C36"/>
    <w:rsid w:val="00C85EFC"/>
    <w:rsid w:val="00C8658A"/>
    <w:rsid w:val="00C867EB"/>
    <w:rsid w:val="00C87094"/>
    <w:rsid w:val="00C904E7"/>
    <w:rsid w:val="00C90E6C"/>
    <w:rsid w:val="00C90F8C"/>
    <w:rsid w:val="00C9112E"/>
    <w:rsid w:val="00C91870"/>
    <w:rsid w:val="00C91FB0"/>
    <w:rsid w:val="00C92F26"/>
    <w:rsid w:val="00C93302"/>
    <w:rsid w:val="00C9367B"/>
    <w:rsid w:val="00C93F0F"/>
    <w:rsid w:val="00C94345"/>
    <w:rsid w:val="00C94EEE"/>
    <w:rsid w:val="00C94F09"/>
    <w:rsid w:val="00C95278"/>
    <w:rsid w:val="00C97114"/>
    <w:rsid w:val="00C976B8"/>
    <w:rsid w:val="00CA0988"/>
    <w:rsid w:val="00CA10DA"/>
    <w:rsid w:val="00CA1125"/>
    <w:rsid w:val="00CA11D5"/>
    <w:rsid w:val="00CA1C5E"/>
    <w:rsid w:val="00CA1CEA"/>
    <w:rsid w:val="00CA24F6"/>
    <w:rsid w:val="00CA29D5"/>
    <w:rsid w:val="00CA2AF0"/>
    <w:rsid w:val="00CA2EB0"/>
    <w:rsid w:val="00CA303F"/>
    <w:rsid w:val="00CA3482"/>
    <w:rsid w:val="00CA4529"/>
    <w:rsid w:val="00CA4A0F"/>
    <w:rsid w:val="00CA50C6"/>
    <w:rsid w:val="00CA5166"/>
    <w:rsid w:val="00CA55B6"/>
    <w:rsid w:val="00CA5E6B"/>
    <w:rsid w:val="00CA6783"/>
    <w:rsid w:val="00CA7515"/>
    <w:rsid w:val="00CA784A"/>
    <w:rsid w:val="00CA7971"/>
    <w:rsid w:val="00CB018E"/>
    <w:rsid w:val="00CB037F"/>
    <w:rsid w:val="00CB07BE"/>
    <w:rsid w:val="00CB0E13"/>
    <w:rsid w:val="00CB0F0D"/>
    <w:rsid w:val="00CB1010"/>
    <w:rsid w:val="00CB1343"/>
    <w:rsid w:val="00CB1512"/>
    <w:rsid w:val="00CB1584"/>
    <w:rsid w:val="00CB1B2E"/>
    <w:rsid w:val="00CB1B60"/>
    <w:rsid w:val="00CB24FC"/>
    <w:rsid w:val="00CB2CCA"/>
    <w:rsid w:val="00CB2CE9"/>
    <w:rsid w:val="00CB3717"/>
    <w:rsid w:val="00CB396B"/>
    <w:rsid w:val="00CB3E4C"/>
    <w:rsid w:val="00CB41D5"/>
    <w:rsid w:val="00CB4617"/>
    <w:rsid w:val="00CB46B3"/>
    <w:rsid w:val="00CB4C53"/>
    <w:rsid w:val="00CB4F06"/>
    <w:rsid w:val="00CB4FDF"/>
    <w:rsid w:val="00CB5EA0"/>
    <w:rsid w:val="00CB7103"/>
    <w:rsid w:val="00CB71D3"/>
    <w:rsid w:val="00CB752A"/>
    <w:rsid w:val="00CB75A1"/>
    <w:rsid w:val="00CB7628"/>
    <w:rsid w:val="00CB7C51"/>
    <w:rsid w:val="00CC06CA"/>
    <w:rsid w:val="00CC07BE"/>
    <w:rsid w:val="00CC0EA0"/>
    <w:rsid w:val="00CC17E3"/>
    <w:rsid w:val="00CC294D"/>
    <w:rsid w:val="00CC2AC3"/>
    <w:rsid w:val="00CC315C"/>
    <w:rsid w:val="00CC3645"/>
    <w:rsid w:val="00CC3BA3"/>
    <w:rsid w:val="00CC4219"/>
    <w:rsid w:val="00CC4492"/>
    <w:rsid w:val="00CC4B76"/>
    <w:rsid w:val="00CC5116"/>
    <w:rsid w:val="00CC670C"/>
    <w:rsid w:val="00CC6DAB"/>
    <w:rsid w:val="00CC6F75"/>
    <w:rsid w:val="00CC7458"/>
    <w:rsid w:val="00CC78F3"/>
    <w:rsid w:val="00CD0262"/>
    <w:rsid w:val="00CD08B3"/>
    <w:rsid w:val="00CD096F"/>
    <w:rsid w:val="00CD0AC5"/>
    <w:rsid w:val="00CD1038"/>
    <w:rsid w:val="00CD1058"/>
    <w:rsid w:val="00CD1A5D"/>
    <w:rsid w:val="00CD22B7"/>
    <w:rsid w:val="00CD2B49"/>
    <w:rsid w:val="00CD2D20"/>
    <w:rsid w:val="00CD334F"/>
    <w:rsid w:val="00CD3553"/>
    <w:rsid w:val="00CD44A4"/>
    <w:rsid w:val="00CD4641"/>
    <w:rsid w:val="00CD4B2B"/>
    <w:rsid w:val="00CD579B"/>
    <w:rsid w:val="00CD6664"/>
    <w:rsid w:val="00CD6E49"/>
    <w:rsid w:val="00CD6FD4"/>
    <w:rsid w:val="00CD779C"/>
    <w:rsid w:val="00CD7EB3"/>
    <w:rsid w:val="00CE0B62"/>
    <w:rsid w:val="00CE10C8"/>
    <w:rsid w:val="00CE15B4"/>
    <w:rsid w:val="00CE15FA"/>
    <w:rsid w:val="00CE175A"/>
    <w:rsid w:val="00CE1AEC"/>
    <w:rsid w:val="00CE3089"/>
    <w:rsid w:val="00CE38B6"/>
    <w:rsid w:val="00CE3CB4"/>
    <w:rsid w:val="00CE4871"/>
    <w:rsid w:val="00CE525B"/>
    <w:rsid w:val="00CE5E08"/>
    <w:rsid w:val="00CE62CA"/>
    <w:rsid w:val="00CE63F1"/>
    <w:rsid w:val="00CE6787"/>
    <w:rsid w:val="00CE6975"/>
    <w:rsid w:val="00CE7DB9"/>
    <w:rsid w:val="00CF0877"/>
    <w:rsid w:val="00CF0D54"/>
    <w:rsid w:val="00CF1454"/>
    <w:rsid w:val="00CF34D0"/>
    <w:rsid w:val="00CF3ED7"/>
    <w:rsid w:val="00CF4333"/>
    <w:rsid w:val="00CF455D"/>
    <w:rsid w:val="00CF4881"/>
    <w:rsid w:val="00CF543C"/>
    <w:rsid w:val="00CF6CA1"/>
    <w:rsid w:val="00CF78B3"/>
    <w:rsid w:val="00CF7B59"/>
    <w:rsid w:val="00D001B6"/>
    <w:rsid w:val="00D002AB"/>
    <w:rsid w:val="00D00857"/>
    <w:rsid w:val="00D013F6"/>
    <w:rsid w:val="00D01466"/>
    <w:rsid w:val="00D016E4"/>
    <w:rsid w:val="00D01F47"/>
    <w:rsid w:val="00D020B7"/>
    <w:rsid w:val="00D0246A"/>
    <w:rsid w:val="00D02B42"/>
    <w:rsid w:val="00D03D55"/>
    <w:rsid w:val="00D048EC"/>
    <w:rsid w:val="00D04BE8"/>
    <w:rsid w:val="00D0503D"/>
    <w:rsid w:val="00D05E3F"/>
    <w:rsid w:val="00D06931"/>
    <w:rsid w:val="00D07099"/>
    <w:rsid w:val="00D07AE6"/>
    <w:rsid w:val="00D07E3C"/>
    <w:rsid w:val="00D1078E"/>
    <w:rsid w:val="00D107CC"/>
    <w:rsid w:val="00D10B26"/>
    <w:rsid w:val="00D11A36"/>
    <w:rsid w:val="00D127BA"/>
    <w:rsid w:val="00D138A9"/>
    <w:rsid w:val="00D14090"/>
    <w:rsid w:val="00D14C47"/>
    <w:rsid w:val="00D14F54"/>
    <w:rsid w:val="00D1505C"/>
    <w:rsid w:val="00D15823"/>
    <w:rsid w:val="00D1640C"/>
    <w:rsid w:val="00D167C0"/>
    <w:rsid w:val="00D173D8"/>
    <w:rsid w:val="00D1762C"/>
    <w:rsid w:val="00D179C6"/>
    <w:rsid w:val="00D17AD9"/>
    <w:rsid w:val="00D17C79"/>
    <w:rsid w:val="00D20555"/>
    <w:rsid w:val="00D20B7D"/>
    <w:rsid w:val="00D212A6"/>
    <w:rsid w:val="00D21CAD"/>
    <w:rsid w:val="00D224B6"/>
    <w:rsid w:val="00D22979"/>
    <w:rsid w:val="00D2318A"/>
    <w:rsid w:val="00D235C0"/>
    <w:rsid w:val="00D23757"/>
    <w:rsid w:val="00D23F09"/>
    <w:rsid w:val="00D24093"/>
    <w:rsid w:val="00D240D9"/>
    <w:rsid w:val="00D24345"/>
    <w:rsid w:val="00D24F48"/>
    <w:rsid w:val="00D254AF"/>
    <w:rsid w:val="00D25601"/>
    <w:rsid w:val="00D25DF7"/>
    <w:rsid w:val="00D261CC"/>
    <w:rsid w:val="00D26856"/>
    <w:rsid w:val="00D26D70"/>
    <w:rsid w:val="00D27277"/>
    <w:rsid w:val="00D2728A"/>
    <w:rsid w:val="00D27780"/>
    <w:rsid w:val="00D27D95"/>
    <w:rsid w:val="00D30029"/>
    <w:rsid w:val="00D31F19"/>
    <w:rsid w:val="00D34BB4"/>
    <w:rsid w:val="00D356B7"/>
    <w:rsid w:val="00D35B2E"/>
    <w:rsid w:val="00D35DAB"/>
    <w:rsid w:val="00D36045"/>
    <w:rsid w:val="00D367AB"/>
    <w:rsid w:val="00D371B8"/>
    <w:rsid w:val="00D374B8"/>
    <w:rsid w:val="00D376A2"/>
    <w:rsid w:val="00D4029F"/>
    <w:rsid w:val="00D40385"/>
    <w:rsid w:val="00D40681"/>
    <w:rsid w:val="00D41280"/>
    <w:rsid w:val="00D413AC"/>
    <w:rsid w:val="00D41575"/>
    <w:rsid w:val="00D41BD7"/>
    <w:rsid w:val="00D41DD6"/>
    <w:rsid w:val="00D42008"/>
    <w:rsid w:val="00D4227E"/>
    <w:rsid w:val="00D4264C"/>
    <w:rsid w:val="00D428BD"/>
    <w:rsid w:val="00D429C6"/>
    <w:rsid w:val="00D43DF9"/>
    <w:rsid w:val="00D44285"/>
    <w:rsid w:val="00D44C9A"/>
    <w:rsid w:val="00D44F20"/>
    <w:rsid w:val="00D452E2"/>
    <w:rsid w:val="00D45E73"/>
    <w:rsid w:val="00D4682B"/>
    <w:rsid w:val="00D46FEF"/>
    <w:rsid w:val="00D47126"/>
    <w:rsid w:val="00D47844"/>
    <w:rsid w:val="00D47CAB"/>
    <w:rsid w:val="00D50063"/>
    <w:rsid w:val="00D50317"/>
    <w:rsid w:val="00D50D09"/>
    <w:rsid w:val="00D50EDB"/>
    <w:rsid w:val="00D520A6"/>
    <w:rsid w:val="00D5260C"/>
    <w:rsid w:val="00D5278D"/>
    <w:rsid w:val="00D52FD7"/>
    <w:rsid w:val="00D5394D"/>
    <w:rsid w:val="00D53A79"/>
    <w:rsid w:val="00D53A94"/>
    <w:rsid w:val="00D54215"/>
    <w:rsid w:val="00D547AA"/>
    <w:rsid w:val="00D54D12"/>
    <w:rsid w:val="00D5546D"/>
    <w:rsid w:val="00D55B70"/>
    <w:rsid w:val="00D55EFB"/>
    <w:rsid w:val="00D55F13"/>
    <w:rsid w:val="00D563AC"/>
    <w:rsid w:val="00D56554"/>
    <w:rsid w:val="00D56B5B"/>
    <w:rsid w:val="00D57A96"/>
    <w:rsid w:val="00D57D48"/>
    <w:rsid w:val="00D57E5E"/>
    <w:rsid w:val="00D606B3"/>
    <w:rsid w:val="00D60802"/>
    <w:rsid w:val="00D6167F"/>
    <w:rsid w:val="00D617A0"/>
    <w:rsid w:val="00D61AB3"/>
    <w:rsid w:val="00D61DD3"/>
    <w:rsid w:val="00D61FAE"/>
    <w:rsid w:val="00D621EB"/>
    <w:rsid w:val="00D63114"/>
    <w:rsid w:val="00D639B1"/>
    <w:rsid w:val="00D642D9"/>
    <w:rsid w:val="00D64566"/>
    <w:rsid w:val="00D64A9A"/>
    <w:rsid w:val="00D65008"/>
    <w:rsid w:val="00D6537E"/>
    <w:rsid w:val="00D65F84"/>
    <w:rsid w:val="00D6603F"/>
    <w:rsid w:val="00D662A0"/>
    <w:rsid w:val="00D67E1A"/>
    <w:rsid w:val="00D67ECD"/>
    <w:rsid w:val="00D67F38"/>
    <w:rsid w:val="00D70F8F"/>
    <w:rsid w:val="00D714A8"/>
    <w:rsid w:val="00D71E2E"/>
    <w:rsid w:val="00D71EC4"/>
    <w:rsid w:val="00D72D7B"/>
    <w:rsid w:val="00D74255"/>
    <w:rsid w:val="00D74535"/>
    <w:rsid w:val="00D749D7"/>
    <w:rsid w:val="00D75720"/>
    <w:rsid w:val="00D75E35"/>
    <w:rsid w:val="00D76451"/>
    <w:rsid w:val="00D76DFB"/>
    <w:rsid w:val="00D7725F"/>
    <w:rsid w:val="00D772CE"/>
    <w:rsid w:val="00D77EEA"/>
    <w:rsid w:val="00D808AD"/>
    <w:rsid w:val="00D812A1"/>
    <w:rsid w:val="00D81F06"/>
    <w:rsid w:val="00D821B4"/>
    <w:rsid w:val="00D8221C"/>
    <w:rsid w:val="00D82627"/>
    <w:rsid w:val="00D844E4"/>
    <w:rsid w:val="00D85482"/>
    <w:rsid w:val="00D85A30"/>
    <w:rsid w:val="00D85BC5"/>
    <w:rsid w:val="00D86FFB"/>
    <w:rsid w:val="00D873D2"/>
    <w:rsid w:val="00D87805"/>
    <w:rsid w:val="00D90204"/>
    <w:rsid w:val="00D90487"/>
    <w:rsid w:val="00D908E1"/>
    <w:rsid w:val="00D90ACD"/>
    <w:rsid w:val="00D916BE"/>
    <w:rsid w:val="00D91754"/>
    <w:rsid w:val="00D9209A"/>
    <w:rsid w:val="00D92264"/>
    <w:rsid w:val="00D935A6"/>
    <w:rsid w:val="00D93C4C"/>
    <w:rsid w:val="00D93C8E"/>
    <w:rsid w:val="00D93F8B"/>
    <w:rsid w:val="00D94555"/>
    <w:rsid w:val="00D94AB0"/>
    <w:rsid w:val="00D94E6A"/>
    <w:rsid w:val="00D95012"/>
    <w:rsid w:val="00D9631D"/>
    <w:rsid w:val="00D966E2"/>
    <w:rsid w:val="00D96852"/>
    <w:rsid w:val="00D96FA1"/>
    <w:rsid w:val="00D9777E"/>
    <w:rsid w:val="00D97DBF"/>
    <w:rsid w:val="00D97DFC"/>
    <w:rsid w:val="00D97EAD"/>
    <w:rsid w:val="00DA0370"/>
    <w:rsid w:val="00DA0BDA"/>
    <w:rsid w:val="00DA0EA5"/>
    <w:rsid w:val="00DA117C"/>
    <w:rsid w:val="00DA14DD"/>
    <w:rsid w:val="00DA173A"/>
    <w:rsid w:val="00DA1936"/>
    <w:rsid w:val="00DA1FB3"/>
    <w:rsid w:val="00DA2540"/>
    <w:rsid w:val="00DA2B70"/>
    <w:rsid w:val="00DA2D0F"/>
    <w:rsid w:val="00DA2E73"/>
    <w:rsid w:val="00DA4938"/>
    <w:rsid w:val="00DA5823"/>
    <w:rsid w:val="00DA5A6F"/>
    <w:rsid w:val="00DA65C8"/>
    <w:rsid w:val="00DA6673"/>
    <w:rsid w:val="00DA6E11"/>
    <w:rsid w:val="00DA7169"/>
    <w:rsid w:val="00DA746B"/>
    <w:rsid w:val="00DB00A2"/>
    <w:rsid w:val="00DB0725"/>
    <w:rsid w:val="00DB0DC7"/>
    <w:rsid w:val="00DB1A69"/>
    <w:rsid w:val="00DB2171"/>
    <w:rsid w:val="00DB35EE"/>
    <w:rsid w:val="00DB3713"/>
    <w:rsid w:val="00DB3F6D"/>
    <w:rsid w:val="00DB462B"/>
    <w:rsid w:val="00DB4761"/>
    <w:rsid w:val="00DB556F"/>
    <w:rsid w:val="00DB5645"/>
    <w:rsid w:val="00DB5FBA"/>
    <w:rsid w:val="00DB60C6"/>
    <w:rsid w:val="00DB6AEC"/>
    <w:rsid w:val="00DB7515"/>
    <w:rsid w:val="00DB79D4"/>
    <w:rsid w:val="00DB7D21"/>
    <w:rsid w:val="00DB7DAF"/>
    <w:rsid w:val="00DC0299"/>
    <w:rsid w:val="00DC1102"/>
    <w:rsid w:val="00DC135C"/>
    <w:rsid w:val="00DC1F9C"/>
    <w:rsid w:val="00DC2394"/>
    <w:rsid w:val="00DC3A7E"/>
    <w:rsid w:val="00DC447E"/>
    <w:rsid w:val="00DC4FE4"/>
    <w:rsid w:val="00DC55A5"/>
    <w:rsid w:val="00DC5ACE"/>
    <w:rsid w:val="00DC5AEC"/>
    <w:rsid w:val="00DC5AEE"/>
    <w:rsid w:val="00DC5CEC"/>
    <w:rsid w:val="00DC5D87"/>
    <w:rsid w:val="00DC6094"/>
    <w:rsid w:val="00DC712C"/>
    <w:rsid w:val="00DD0352"/>
    <w:rsid w:val="00DD04F3"/>
    <w:rsid w:val="00DD06EC"/>
    <w:rsid w:val="00DD0A92"/>
    <w:rsid w:val="00DD0DD3"/>
    <w:rsid w:val="00DD1300"/>
    <w:rsid w:val="00DD1ACC"/>
    <w:rsid w:val="00DD2416"/>
    <w:rsid w:val="00DD266F"/>
    <w:rsid w:val="00DD427C"/>
    <w:rsid w:val="00DD465A"/>
    <w:rsid w:val="00DD4A57"/>
    <w:rsid w:val="00DD57D6"/>
    <w:rsid w:val="00DD5C46"/>
    <w:rsid w:val="00DD6A0F"/>
    <w:rsid w:val="00DD6FB8"/>
    <w:rsid w:val="00DD7822"/>
    <w:rsid w:val="00DE0448"/>
    <w:rsid w:val="00DE0879"/>
    <w:rsid w:val="00DE0C4D"/>
    <w:rsid w:val="00DE18F9"/>
    <w:rsid w:val="00DE1ED1"/>
    <w:rsid w:val="00DE22C1"/>
    <w:rsid w:val="00DE2782"/>
    <w:rsid w:val="00DE284E"/>
    <w:rsid w:val="00DE2A92"/>
    <w:rsid w:val="00DE33A0"/>
    <w:rsid w:val="00DE413C"/>
    <w:rsid w:val="00DE4194"/>
    <w:rsid w:val="00DE44E4"/>
    <w:rsid w:val="00DE4727"/>
    <w:rsid w:val="00DE4EE1"/>
    <w:rsid w:val="00DE51EC"/>
    <w:rsid w:val="00DE5B8B"/>
    <w:rsid w:val="00DE5E3D"/>
    <w:rsid w:val="00DE6353"/>
    <w:rsid w:val="00DE6CAD"/>
    <w:rsid w:val="00DE6CEC"/>
    <w:rsid w:val="00DE726A"/>
    <w:rsid w:val="00DE7951"/>
    <w:rsid w:val="00DF09CE"/>
    <w:rsid w:val="00DF0F41"/>
    <w:rsid w:val="00DF114A"/>
    <w:rsid w:val="00DF1252"/>
    <w:rsid w:val="00DF13E0"/>
    <w:rsid w:val="00DF1756"/>
    <w:rsid w:val="00DF259C"/>
    <w:rsid w:val="00DF25A1"/>
    <w:rsid w:val="00DF2E98"/>
    <w:rsid w:val="00DF3895"/>
    <w:rsid w:val="00DF3F6D"/>
    <w:rsid w:val="00DF42F6"/>
    <w:rsid w:val="00DF43C9"/>
    <w:rsid w:val="00DF5000"/>
    <w:rsid w:val="00DF6F40"/>
    <w:rsid w:val="00DF733C"/>
    <w:rsid w:val="00DF7C9E"/>
    <w:rsid w:val="00E0002C"/>
    <w:rsid w:val="00E0048C"/>
    <w:rsid w:val="00E00726"/>
    <w:rsid w:val="00E01107"/>
    <w:rsid w:val="00E015A3"/>
    <w:rsid w:val="00E03156"/>
    <w:rsid w:val="00E0392C"/>
    <w:rsid w:val="00E055A6"/>
    <w:rsid w:val="00E05C77"/>
    <w:rsid w:val="00E06B5F"/>
    <w:rsid w:val="00E07CBB"/>
    <w:rsid w:val="00E07DA8"/>
    <w:rsid w:val="00E07F19"/>
    <w:rsid w:val="00E101CF"/>
    <w:rsid w:val="00E10418"/>
    <w:rsid w:val="00E11276"/>
    <w:rsid w:val="00E11EC8"/>
    <w:rsid w:val="00E13046"/>
    <w:rsid w:val="00E13073"/>
    <w:rsid w:val="00E13310"/>
    <w:rsid w:val="00E1349A"/>
    <w:rsid w:val="00E13681"/>
    <w:rsid w:val="00E13E72"/>
    <w:rsid w:val="00E14247"/>
    <w:rsid w:val="00E145CE"/>
    <w:rsid w:val="00E14E23"/>
    <w:rsid w:val="00E150FA"/>
    <w:rsid w:val="00E15248"/>
    <w:rsid w:val="00E1527A"/>
    <w:rsid w:val="00E157B8"/>
    <w:rsid w:val="00E157E1"/>
    <w:rsid w:val="00E15837"/>
    <w:rsid w:val="00E15A56"/>
    <w:rsid w:val="00E15C4D"/>
    <w:rsid w:val="00E15CEE"/>
    <w:rsid w:val="00E16211"/>
    <w:rsid w:val="00E170F7"/>
    <w:rsid w:val="00E1718F"/>
    <w:rsid w:val="00E17211"/>
    <w:rsid w:val="00E17D94"/>
    <w:rsid w:val="00E17E8F"/>
    <w:rsid w:val="00E20132"/>
    <w:rsid w:val="00E203F0"/>
    <w:rsid w:val="00E20A95"/>
    <w:rsid w:val="00E20D29"/>
    <w:rsid w:val="00E20F01"/>
    <w:rsid w:val="00E21887"/>
    <w:rsid w:val="00E21ADE"/>
    <w:rsid w:val="00E21DE6"/>
    <w:rsid w:val="00E235D1"/>
    <w:rsid w:val="00E2365B"/>
    <w:rsid w:val="00E23F0C"/>
    <w:rsid w:val="00E241C0"/>
    <w:rsid w:val="00E24622"/>
    <w:rsid w:val="00E24A29"/>
    <w:rsid w:val="00E25AFF"/>
    <w:rsid w:val="00E26BDD"/>
    <w:rsid w:val="00E2794B"/>
    <w:rsid w:val="00E2799A"/>
    <w:rsid w:val="00E30B2D"/>
    <w:rsid w:val="00E30D36"/>
    <w:rsid w:val="00E31049"/>
    <w:rsid w:val="00E317B3"/>
    <w:rsid w:val="00E31D83"/>
    <w:rsid w:val="00E32024"/>
    <w:rsid w:val="00E322EB"/>
    <w:rsid w:val="00E32C9B"/>
    <w:rsid w:val="00E32CAB"/>
    <w:rsid w:val="00E32EC7"/>
    <w:rsid w:val="00E330D0"/>
    <w:rsid w:val="00E337FE"/>
    <w:rsid w:val="00E33A63"/>
    <w:rsid w:val="00E3408F"/>
    <w:rsid w:val="00E3598E"/>
    <w:rsid w:val="00E35A56"/>
    <w:rsid w:val="00E35F4D"/>
    <w:rsid w:val="00E3612E"/>
    <w:rsid w:val="00E36315"/>
    <w:rsid w:val="00E36BC4"/>
    <w:rsid w:val="00E370EA"/>
    <w:rsid w:val="00E3752F"/>
    <w:rsid w:val="00E37962"/>
    <w:rsid w:val="00E37ADA"/>
    <w:rsid w:val="00E40159"/>
    <w:rsid w:val="00E41164"/>
    <w:rsid w:val="00E41576"/>
    <w:rsid w:val="00E420B5"/>
    <w:rsid w:val="00E424DC"/>
    <w:rsid w:val="00E424EE"/>
    <w:rsid w:val="00E4279B"/>
    <w:rsid w:val="00E4280F"/>
    <w:rsid w:val="00E42F90"/>
    <w:rsid w:val="00E42FEC"/>
    <w:rsid w:val="00E43046"/>
    <w:rsid w:val="00E432E1"/>
    <w:rsid w:val="00E444C0"/>
    <w:rsid w:val="00E44805"/>
    <w:rsid w:val="00E44CF4"/>
    <w:rsid w:val="00E45195"/>
    <w:rsid w:val="00E454CB"/>
    <w:rsid w:val="00E45691"/>
    <w:rsid w:val="00E458F8"/>
    <w:rsid w:val="00E46206"/>
    <w:rsid w:val="00E465C7"/>
    <w:rsid w:val="00E46747"/>
    <w:rsid w:val="00E46C0C"/>
    <w:rsid w:val="00E474F0"/>
    <w:rsid w:val="00E475DA"/>
    <w:rsid w:val="00E477A1"/>
    <w:rsid w:val="00E47E2F"/>
    <w:rsid w:val="00E515E1"/>
    <w:rsid w:val="00E51B02"/>
    <w:rsid w:val="00E51EFB"/>
    <w:rsid w:val="00E528C0"/>
    <w:rsid w:val="00E5320B"/>
    <w:rsid w:val="00E536B8"/>
    <w:rsid w:val="00E53A11"/>
    <w:rsid w:val="00E53BFD"/>
    <w:rsid w:val="00E54830"/>
    <w:rsid w:val="00E54B98"/>
    <w:rsid w:val="00E54DC3"/>
    <w:rsid w:val="00E54F4F"/>
    <w:rsid w:val="00E5618A"/>
    <w:rsid w:val="00E567CC"/>
    <w:rsid w:val="00E567D1"/>
    <w:rsid w:val="00E56CFA"/>
    <w:rsid w:val="00E57696"/>
    <w:rsid w:val="00E57C04"/>
    <w:rsid w:val="00E6037A"/>
    <w:rsid w:val="00E60680"/>
    <w:rsid w:val="00E61190"/>
    <w:rsid w:val="00E611A5"/>
    <w:rsid w:val="00E6128D"/>
    <w:rsid w:val="00E614BC"/>
    <w:rsid w:val="00E61EF9"/>
    <w:rsid w:val="00E61F89"/>
    <w:rsid w:val="00E622C6"/>
    <w:rsid w:val="00E62543"/>
    <w:rsid w:val="00E62A39"/>
    <w:rsid w:val="00E6401E"/>
    <w:rsid w:val="00E6426E"/>
    <w:rsid w:val="00E642DF"/>
    <w:rsid w:val="00E64638"/>
    <w:rsid w:val="00E6474F"/>
    <w:rsid w:val="00E64BAE"/>
    <w:rsid w:val="00E6561B"/>
    <w:rsid w:val="00E659C3"/>
    <w:rsid w:val="00E65CF9"/>
    <w:rsid w:val="00E66210"/>
    <w:rsid w:val="00E672E6"/>
    <w:rsid w:val="00E6730D"/>
    <w:rsid w:val="00E67A31"/>
    <w:rsid w:val="00E67CB9"/>
    <w:rsid w:val="00E67DC5"/>
    <w:rsid w:val="00E70287"/>
    <w:rsid w:val="00E70359"/>
    <w:rsid w:val="00E704D5"/>
    <w:rsid w:val="00E708EB"/>
    <w:rsid w:val="00E70E6F"/>
    <w:rsid w:val="00E71FCC"/>
    <w:rsid w:val="00E72507"/>
    <w:rsid w:val="00E725BC"/>
    <w:rsid w:val="00E72F10"/>
    <w:rsid w:val="00E73819"/>
    <w:rsid w:val="00E73B44"/>
    <w:rsid w:val="00E73D5F"/>
    <w:rsid w:val="00E73E61"/>
    <w:rsid w:val="00E74298"/>
    <w:rsid w:val="00E75031"/>
    <w:rsid w:val="00E751C8"/>
    <w:rsid w:val="00E755AE"/>
    <w:rsid w:val="00E759B1"/>
    <w:rsid w:val="00E75A9A"/>
    <w:rsid w:val="00E75D16"/>
    <w:rsid w:val="00E75E5B"/>
    <w:rsid w:val="00E7624F"/>
    <w:rsid w:val="00E7739E"/>
    <w:rsid w:val="00E774E2"/>
    <w:rsid w:val="00E77C46"/>
    <w:rsid w:val="00E80165"/>
    <w:rsid w:val="00E801D2"/>
    <w:rsid w:val="00E80D62"/>
    <w:rsid w:val="00E81295"/>
    <w:rsid w:val="00E817B1"/>
    <w:rsid w:val="00E81C80"/>
    <w:rsid w:val="00E824F2"/>
    <w:rsid w:val="00E828AA"/>
    <w:rsid w:val="00E82B25"/>
    <w:rsid w:val="00E830FA"/>
    <w:rsid w:val="00E83B81"/>
    <w:rsid w:val="00E84351"/>
    <w:rsid w:val="00E8524D"/>
    <w:rsid w:val="00E85B0C"/>
    <w:rsid w:val="00E86445"/>
    <w:rsid w:val="00E86931"/>
    <w:rsid w:val="00E86C37"/>
    <w:rsid w:val="00E86FCA"/>
    <w:rsid w:val="00E8773A"/>
    <w:rsid w:val="00E90800"/>
    <w:rsid w:val="00E90B2E"/>
    <w:rsid w:val="00E90EA7"/>
    <w:rsid w:val="00E912FA"/>
    <w:rsid w:val="00E9171A"/>
    <w:rsid w:val="00E91914"/>
    <w:rsid w:val="00E91CE7"/>
    <w:rsid w:val="00E923E5"/>
    <w:rsid w:val="00E92657"/>
    <w:rsid w:val="00E9294A"/>
    <w:rsid w:val="00E92C3E"/>
    <w:rsid w:val="00E92CB2"/>
    <w:rsid w:val="00E93503"/>
    <w:rsid w:val="00E94665"/>
    <w:rsid w:val="00E949B6"/>
    <w:rsid w:val="00E9541A"/>
    <w:rsid w:val="00E9543A"/>
    <w:rsid w:val="00E95E8F"/>
    <w:rsid w:val="00E96235"/>
    <w:rsid w:val="00E9691E"/>
    <w:rsid w:val="00E97AB2"/>
    <w:rsid w:val="00EA04C0"/>
    <w:rsid w:val="00EA0942"/>
    <w:rsid w:val="00EA1555"/>
    <w:rsid w:val="00EA19EB"/>
    <w:rsid w:val="00EA21A4"/>
    <w:rsid w:val="00EA2713"/>
    <w:rsid w:val="00EA2E5A"/>
    <w:rsid w:val="00EA3628"/>
    <w:rsid w:val="00EA3759"/>
    <w:rsid w:val="00EA4C52"/>
    <w:rsid w:val="00EA4F6C"/>
    <w:rsid w:val="00EA5ECA"/>
    <w:rsid w:val="00EA76FB"/>
    <w:rsid w:val="00EA7858"/>
    <w:rsid w:val="00EB029C"/>
    <w:rsid w:val="00EB0836"/>
    <w:rsid w:val="00EB0A9D"/>
    <w:rsid w:val="00EB0B23"/>
    <w:rsid w:val="00EB1606"/>
    <w:rsid w:val="00EB1D91"/>
    <w:rsid w:val="00EB1DCD"/>
    <w:rsid w:val="00EB224C"/>
    <w:rsid w:val="00EB2693"/>
    <w:rsid w:val="00EB2707"/>
    <w:rsid w:val="00EB299B"/>
    <w:rsid w:val="00EB2A8D"/>
    <w:rsid w:val="00EB2C73"/>
    <w:rsid w:val="00EB368E"/>
    <w:rsid w:val="00EB479E"/>
    <w:rsid w:val="00EB4CD7"/>
    <w:rsid w:val="00EB546B"/>
    <w:rsid w:val="00EB5981"/>
    <w:rsid w:val="00EB5E6E"/>
    <w:rsid w:val="00EB6727"/>
    <w:rsid w:val="00EB72C1"/>
    <w:rsid w:val="00EC0139"/>
    <w:rsid w:val="00EC0B19"/>
    <w:rsid w:val="00EC1686"/>
    <w:rsid w:val="00EC1812"/>
    <w:rsid w:val="00EC1F20"/>
    <w:rsid w:val="00EC227D"/>
    <w:rsid w:val="00EC26A5"/>
    <w:rsid w:val="00EC2FCC"/>
    <w:rsid w:val="00EC348D"/>
    <w:rsid w:val="00EC3CE3"/>
    <w:rsid w:val="00EC3D72"/>
    <w:rsid w:val="00EC40DD"/>
    <w:rsid w:val="00EC47DA"/>
    <w:rsid w:val="00EC4A61"/>
    <w:rsid w:val="00EC54D8"/>
    <w:rsid w:val="00EC5A8D"/>
    <w:rsid w:val="00EC5F82"/>
    <w:rsid w:val="00EC6241"/>
    <w:rsid w:val="00EC6395"/>
    <w:rsid w:val="00EC6B7E"/>
    <w:rsid w:val="00EC706C"/>
    <w:rsid w:val="00EC7113"/>
    <w:rsid w:val="00EC7855"/>
    <w:rsid w:val="00ED007F"/>
    <w:rsid w:val="00ED01DC"/>
    <w:rsid w:val="00ED08E1"/>
    <w:rsid w:val="00ED0E08"/>
    <w:rsid w:val="00ED1069"/>
    <w:rsid w:val="00ED2204"/>
    <w:rsid w:val="00ED2275"/>
    <w:rsid w:val="00ED2859"/>
    <w:rsid w:val="00ED29C4"/>
    <w:rsid w:val="00ED29C5"/>
    <w:rsid w:val="00ED2D77"/>
    <w:rsid w:val="00ED325D"/>
    <w:rsid w:val="00ED341F"/>
    <w:rsid w:val="00ED34BF"/>
    <w:rsid w:val="00ED363A"/>
    <w:rsid w:val="00ED3F4E"/>
    <w:rsid w:val="00ED4971"/>
    <w:rsid w:val="00ED49AA"/>
    <w:rsid w:val="00ED4EC0"/>
    <w:rsid w:val="00ED5474"/>
    <w:rsid w:val="00ED5C24"/>
    <w:rsid w:val="00ED6641"/>
    <w:rsid w:val="00ED67FA"/>
    <w:rsid w:val="00ED68B4"/>
    <w:rsid w:val="00ED7E4B"/>
    <w:rsid w:val="00EE04A7"/>
    <w:rsid w:val="00EE0572"/>
    <w:rsid w:val="00EE076B"/>
    <w:rsid w:val="00EE081A"/>
    <w:rsid w:val="00EE1101"/>
    <w:rsid w:val="00EE142C"/>
    <w:rsid w:val="00EE1580"/>
    <w:rsid w:val="00EE15E9"/>
    <w:rsid w:val="00EE1896"/>
    <w:rsid w:val="00EE1B4A"/>
    <w:rsid w:val="00EE1E55"/>
    <w:rsid w:val="00EE1FA3"/>
    <w:rsid w:val="00EE20BA"/>
    <w:rsid w:val="00EE30D2"/>
    <w:rsid w:val="00EE3DA7"/>
    <w:rsid w:val="00EE3E58"/>
    <w:rsid w:val="00EE3F36"/>
    <w:rsid w:val="00EE4003"/>
    <w:rsid w:val="00EE461E"/>
    <w:rsid w:val="00EE46E4"/>
    <w:rsid w:val="00EE479F"/>
    <w:rsid w:val="00EE4970"/>
    <w:rsid w:val="00EE4FC7"/>
    <w:rsid w:val="00EE56B7"/>
    <w:rsid w:val="00EE5F91"/>
    <w:rsid w:val="00EE6858"/>
    <w:rsid w:val="00EE6A4B"/>
    <w:rsid w:val="00EE6FD7"/>
    <w:rsid w:val="00EE7732"/>
    <w:rsid w:val="00EE7D1C"/>
    <w:rsid w:val="00EE7EAD"/>
    <w:rsid w:val="00EE7EFB"/>
    <w:rsid w:val="00EF0048"/>
    <w:rsid w:val="00EF0909"/>
    <w:rsid w:val="00EF0CA6"/>
    <w:rsid w:val="00EF1AAC"/>
    <w:rsid w:val="00EF253C"/>
    <w:rsid w:val="00EF2879"/>
    <w:rsid w:val="00EF28BD"/>
    <w:rsid w:val="00EF3208"/>
    <w:rsid w:val="00EF33D8"/>
    <w:rsid w:val="00EF353C"/>
    <w:rsid w:val="00EF3724"/>
    <w:rsid w:val="00EF3D13"/>
    <w:rsid w:val="00EF4240"/>
    <w:rsid w:val="00EF6971"/>
    <w:rsid w:val="00EF6DB2"/>
    <w:rsid w:val="00EF7DE3"/>
    <w:rsid w:val="00F00A02"/>
    <w:rsid w:val="00F00D49"/>
    <w:rsid w:val="00F0165C"/>
    <w:rsid w:val="00F01D4F"/>
    <w:rsid w:val="00F02F76"/>
    <w:rsid w:val="00F03266"/>
    <w:rsid w:val="00F03377"/>
    <w:rsid w:val="00F03C8B"/>
    <w:rsid w:val="00F042D6"/>
    <w:rsid w:val="00F046F2"/>
    <w:rsid w:val="00F051B9"/>
    <w:rsid w:val="00F05F0C"/>
    <w:rsid w:val="00F06030"/>
    <w:rsid w:val="00F06EC3"/>
    <w:rsid w:val="00F070AD"/>
    <w:rsid w:val="00F0727A"/>
    <w:rsid w:val="00F07918"/>
    <w:rsid w:val="00F101D9"/>
    <w:rsid w:val="00F10D04"/>
    <w:rsid w:val="00F1260F"/>
    <w:rsid w:val="00F12F9E"/>
    <w:rsid w:val="00F132C8"/>
    <w:rsid w:val="00F13889"/>
    <w:rsid w:val="00F13898"/>
    <w:rsid w:val="00F13931"/>
    <w:rsid w:val="00F13EFD"/>
    <w:rsid w:val="00F13F13"/>
    <w:rsid w:val="00F14EE9"/>
    <w:rsid w:val="00F15116"/>
    <w:rsid w:val="00F15165"/>
    <w:rsid w:val="00F158D9"/>
    <w:rsid w:val="00F1591A"/>
    <w:rsid w:val="00F15E59"/>
    <w:rsid w:val="00F1602B"/>
    <w:rsid w:val="00F16593"/>
    <w:rsid w:val="00F16D92"/>
    <w:rsid w:val="00F16DE5"/>
    <w:rsid w:val="00F17E29"/>
    <w:rsid w:val="00F20B06"/>
    <w:rsid w:val="00F20B35"/>
    <w:rsid w:val="00F21321"/>
    <w:rsid w:val="00F215D0"/>
    <w:rsid w:val="00F21658"/>
    <w:rsid w:val="00F21A86"/>
    <w:rsid w:val="00F21D2F"/>
    <w:rsid w:val="00F22258"/>
    <w:rsid w:val="00F22428"/>
    <w:rsid w:val="00F22ECE"/>
    <w:rsid w:val="00F230AF"/>
    <w:rsid w:val="00F24818"/>
    <w:rsid w:val="00F248E6"/>
    <w:rsid w:val="00F24CBB"/>
    <w:rsid w:val="00F251AC"/>
    <w:rsid w:val="00F25565"/>
    <w:rsid w:val="00F2594D"/>
    <w:rsid w:val="00F268B7"/>
    <w:rsid w:val="00F27492"/>
    <w:rsid w:val="00F276E7"/>
    <w:rsid w:val="00F27A1D"/>
    <w:rsid w:val="00F27C75"/>
    <w:rsid w:val="00F30686"/>
    <w:rsid w:val="00F30A2A"/>
    <w:rsid w:val="00F30C59"/>
    <w:rsid w:val="00F310DB"/>
    <w:rsid w:val="00F31E7E"/>
    <w:rsid w:val="00F323BC"/>
    <w:rsid w:val="00F32866"/>
    <w:rsid w:val="00F32A46"/>
    <w:rsid w:val="00F3317F"/>
    <w:rsid w:val="00F3400C"/>
    <w:rsid w:val="00F34D33"/>
    <w:rsid w:val="00F34E6B"/>
    <w:rsid w:val="00F35A0F"/>
    <w:rsid w:val="00F35D8C"/>
    <w:rsid w:val="00F36342"/>
    <w:rsid w:val="00F36DB6"/>
    <w:rsid w:val="00F37036"/>
    <w:rsid w:val="00F37499"/>
    <w:rsid w:val="00F37B68"/>
    <w:rsid w:val="00F37FF0"/>
    <w:rsid w:val="00F401EE"/>
    <w:rsid w:val="00F408E4"/>
    <w:rsid w:val="00F4098F"/>
    <w:rsid w:val="00F41389"/>
    <w:rsid w:val="00F41485"/>
    <w:rsid w:val="00F41A0F"/>
    <w:rsid w:val="00F425F6"/>
    <w:rsid w:val="00F431D7"/>
    <w:rsid w:val="00F445E8"/>
    <w:rsid w:val="00F44D8E"/>
    <w:rsid w:val="00F45A3F"/>
    <w:rsid w:val="00F45CC7"/>
    <w:rsid w:val="00F45D04"/>
    <w:rsid w:val="00F45F52"/>
    <w:rsid w:val="00F47A59"/>
    <w:rsid w:val="00F50483"/>
    <w:rsid w:val="00F50B6B"/>
    <w:rsid w:val="00F51292"/>
    <w:rsid w:val="00F521C2"/>
    <w:rsid w:val="00F52234"/>
    <w:rsid w:val="00F52F85"/>
    <w:rsid w:val="00F5374A"/>
    <w:rsid w:val="00F53BC9"/>
    <w:rsid w:val="00F5411F"/>
    <w:rsid w:val="00F54288"/>
    <w:rsid w:val="00F54A4D"/>
    <w:rsid w:val="00F54F11"/>
    <w:rsid w:val="00F54FF3"/>
    <w:rsid w:val="00F5580A"/>
    <w:rsid w:val="00F55B17"/>
    <w:rsid w:val="00F55BAC"/>
    <w:rsid w:val="00F5659F"/>
    <w:rsid w:val="00F567E8"/>
    <w:rsid w:val="00F5781E"/>
    <w:rsid w:val="00F61139"/>
    <w:rsid w:val="00F6331B"/>
    <w:rsid w:val="00F6358B"/>
    <w:rsid w:val="00F635A4"/>
    <w:rsid w:val="00F63BAB"/>
    <w:rsid w:val="00F6478B"/>
    <w:rsid w:val="00F64C33"/>
    <w:rsid w:val="00F64E98"/>
    <w:rsid w:val="00F6520F"/>
    <w:rsid w:val="00F65538"/>
    <w:rsid w:val="00F66C82"/>
    <w:rsid w:val="00F66E73"/>
    <w:rsid w:val="00F67712"/>
    <w:rsid w:val="00F67916"/>
    <w:rsid w:val="00F679B3"/>
    <w:rsid w:val="00F67A28"/>
    <w:rsid w:val="00F70326"/>
    <w:rsid w:val="00F705BF"/>
    <w:rsid w:val="00F7082E"/>
    <w:rsid w:val="00F70C66"/>
    <w:rsid w:val="00F71821"/>
    <w:rsid w:val="00F71A79"/>
    <w:rsid w:val="00F71B75"/>
    <w:rsid w:val="00F71BEF"/>
    <w:rsid w:val="00F721F0"/>
    <w:rsid w:val="00F72343"/>
    <w:rsid w:val="00F723DB"/>
    <w:rsid w:val="00F72ED8"/>
    <w:rsid w:val="00F7302E"/>
    <w:rsid w:val="00F738F1"/>
    <w:rsid w:val="00F73AD7"/>
    <w:rsid w:val="00F73DF5"/>
    <w:rsid w:val="00F74888"/>
    <w:rsid w:val="00F74BF5"/>
    <w:rsid w:val="00F75BB1"/>
    <w:rsid w:val="00F7655B"/>
    <w:rsid w:val="00F76ED2"/>
    <w:rsid w:val="00F7714C"/>
    <w:rsid w:val="00F775B7"/>
    <w:rsid w:val="00F7786A"/>
    <w:rsid w:val="00F800D3"/>
    <w:rsid w:val="00F803A9"/>
    <w:rsid w:val="00F81586"/>
    <w:rsid w:val="00F81591"/>
    <w:rsid w:val="00F8201B"/>
    <w:rsid w:val="00F82343"/>
    <w:rsid w:val="00F8282B"/>
    <w:rsid w:val="00F82A86"/>
    <w:rsid w:val="00F8314F"/>
    <w:rsid w:val="00F83A41"/>
    <w:rsid w:val="00F849D0"/>
    <w:rsid w:val="00F856CC"/>
    <w:rsid w:val="00F85835"/>
    <w:rsid w:val="00F85856"/>
    <w:rsid w:val="00F85867"/>
    <w:rsid w:val="00F85A8F"/>
    <w:rsid w:val="00F862FB"/>
    <w:rsid w:val="00F86431"/>
    <w:rsid w:val="00F8695D"/>
    <w:rsid w:val="00F871FE"/>
    <w:rsid w:val="00F878DE"/>
    <w:rsid w:val="00F9006C"/>
    <w:rsid w:val="00F904C6"/>
    <w:rsid w:val="00F90FD4"/>
    <w:rsid w:val="00F9123A"/>
    <w:rsid w:val="00F92A36"/>
    <w:rsid w:val="00F93383"/>
    <w:rsid w:val="00F93822"/>
    <w:rsid w:val="00F93E46"/>
    <w:rsid w:val="00F93EE0"/>
    <w:rsid w:val="00F950CA"/>
    <w:rsid w:val="00F958A2"/>
    <w:rsid w:val="00F96781"/>
    <w:rsid w:val="00F96A70"/>
    <w:rsid w:val="00F96D8E"/>
    <w:rsid w:val="00F97461"/>
    <w:rsid w:val="00F97DD6"/>
    <w:rsid w:val="00FA084D"/>
    <w:rsid w:val="00FA0BE6"/>
    <w:rsid w:val="00FA14A1"/>
    <w:rsid w:val="00FA1626"/>
    <w:rsid w:val="00FA18EA"/>
    <w:rsid w:val="00FA1B01"/>
    <w:rsid w:val="00FA27F8"/>
    <w:rsid w:val="00FA31B2"/>
    <w:rsid w:val="00FA31F9"/>
    <w:rsid w:val="00FA37F0"/>
    <w:rsid w:val="00FA43F5"/>
    <w:rsid w:val="00FA4874"/>
    <w:rsid w:val="00FA6DA7"/>
    <w:rsid w:val="00FB012E"/>
    <w:rsid w:val="00FB059A"/>
    <w:rsid w:val="00FB07D8"/>
    <w:rsid w:val="00FB0A79"/>
    <w:rsid w:val="00FB15F8"/>
    <w:rsid w:val="00FB1828"/>
    <w:rsid w:val="00FB1ABB"/>
    <w:rsid w:val="00FB2EA9"/>
    <w:rsid w:val="00FB344C"/>
    <w:rsid w:val="00FB38D8"/>
    <w:rsid w:val="00FB3C75"/>
    <w:rsid w:val="00FB4029"/>
    <w:rsid w:val="00FB512C"/>
    <w:rsid w:val="00FB5502"/>
    <w:rsid w:val="00FB591D"/>
    <w:rsid w:val="00FB680E"/>
    <w:rsid w:val="00FB6B19"/>
    <w:rsid w:val="00FB70E5"/>
    <w:rsid w:val="00FB745D"/>
    <w:rsid w:val="00FB7CFB"/>
    <w:rsid w:val="00FB7CFD"/>
    <w:rsid w:val="00FB7FA3"/>
    <w:rsid w:val="00FC0DC6"/>
    <w:rsid w:val="00FC1819"/>
    <w:rsid w:val="00FC1834"/>
    <w:rsid w:val="00FC21F1"/>
    <w:rsid w:val="00FC28CA"/>
    <w:rsid w:val="00FC2A66"/>
    <w:rsid w:val="00FC4747"/>
    <w:rsid w:val="00FC5123"/>
    <w:rsid w:val="00FC5437"/>
    <w:rsid w:val="00FC5518"/>
    <w:rsid w:val="00FC57D7"/>
    <w:rsid w:val="00FC5ABF"/>
    <w:rsid w:val="00FC6315"/>
    <w:rsid w:val="00FC6770"/>
    <w:rsid w:val="00FD029F"/>
    <w:rsid w:val="00FD041A"/>
    <w:rsid w:val="00FD1515"/>
    <w:rsid w:val="00FD1D0C"/>
    <w:rsid w:val="00FD1F98"/>
    <w:rsid w:val="00FD22C4"/>
    <w:rsid w:val="00FD248A"/>
    <w:rsid w:val="00FD24A9"/>
    <w:rsid w:val="00FD28E5"/>
    <w:rsid w:val="00FD297C"/>
    <w:rsid w:val="00FD29BF"/>
    <w:rsid w:val="00FD3164"/>
    <w:rsid w:val="00FD3408"/>
    <w:rsid w:val="00FD43C1"/>
    <w:rsid w:val="00FD44B2"/>
    <w:rsid w:val="00FD4913"/>
    <w:rsid w:val="00FD4959"/>
    <w:rsid w:val="00FD4C3A"/>
    <w:rsid w:val="00FD55A8"/>
    <w:rsid w:val="00FD5EEE"/>
    <w:rsid w:val="00FD61B5"/>
    <w:rsid w:val="00FD746F"/>
    <w:rsid w:val="00FD794A"/>
    <w:rsid w:val="00FD7D6F"/>
    <w:rsid w:val="00FE014F"/>
    <w:rsid w:val="00FE02B9"/>
    <w:rsid w:val="00FE0323"/>
    <w:rsid w:val="00FE05AA"/>
    <w:rsid w:val="00FE0768"/>
    <w:rsid w:val="00FE0969"/>
    <w:rsid w:val="00FE14E4"/>
    <w:rsid w:val="00FE32B2"/>
    <w:rsid w:val="00FE3368"/>
    <w:rsid w:val="00FE35B6"/>
    <w:rsid w:val="00FE3C09"/>
    <w:rsid w:val="00FE3D03"/>
    <w:rsid w:val="00FE41EE"/>
    <w:rsid w:val="00FE4712"/>
    <w:rsid w:val="00FE65B8"/>
    <w:rsid w:val="00FE707F"/>
    <w:rsid w:val="00FE7269"/>
    <w:rsid w:val="00FE7708"/>
    <w:rsid w:val="00FE7CB0"/>
    <w:rsid w:val="00FF0732"/>
    <w:rsid w:val="00FF2290"/>
    <w:rsid w:val="00FF2963"/>
    <w:rsid w:val="00FF3140"/>
    <w:rsid w:val="00FF40A2"/>
    <w:rsid w:val="00FF4485"/>
    <w:rsid w:val="00FF5944"/>
    <w:rsid w:val="00FF600A"/>
    <w:rsid w:val="00FF609A"/>
    <w:rsid w:val="00FF6311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43"/>
    <w:rPr>
      <w:sz w:val="24"/>
      <w:szCs w:val="24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59446C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9446C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9446C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59446C"/>
    <w:pPr>
      <w:keepNext/>
      <w:jc w:val="right"/>
      <w:outlineLvl w:val="3"/>
    </w:pPr>
    <w:rPr>
      <w:rFonts w:ascii="Monotype Corsiva" w:hAnsi="Monotype Corsiva" w:cs="Tahoma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59446C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446C"/>
    <w:pPr>
      <w:keepNext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446C"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446C"/>
    <w:pPr>
      <w:keepNext/>
      <w:spacing w:line="360" w:lineRule="auto"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446C"/>
    <w:pPr>
      <w:keepNext/>
      <w:spacing w:line="360" w:lineRule="auto"/>
      <w:jc w:val="right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1B2F"/>
    <w:rPr>
      <w:sz w:val="28"/>
      <w:szCs w:val="28"/>
      <w:lang w:bidi="ar-EG"/>
    </w:rPr>
  </w:style>
  <w:style w:type="character" w:customStyle="1" w:styleId="Heading2Char">
    <w:name w:val="Heading 2 Char"/>
    <w:link w:val="Heading2"/>
    <w:rsid w:val="007A1B2F"/>
    <w:rPr>
      <w:b/>
      <w:bCs/>
      <w:sz w:val="36"/>
      <w:szCs w:val="36"/>
      <w:lang w:bidi="ar-EG"/>
    </w:rPr>
  </w:style>
  <w:style w:type="character" w:customStyle="1" w:styleId="Heading3Char">
    <w:name w:val="Heading 3 Char"/>
    <w:link w:val="Heading3"/>
    <w:rsid w:val="007A1B2F"/>
    <w:rPr>
      <w:b/>
      <w:bCs/>
      <w:sz w:val="36"/>
      <w:szCs w:val="36"/>
      <w:lang w:bidi="ar-EG"/>
    </w:rPr>
  </w:style>
  <w:style w:type="character" w:customStyle="1" w:styleId="Heading4Char">
    <w:name w:val="Heading 4 Char"/>
    <w:link w:val="Heading4"/>
    <w:rsid w:val="007A1B2F"/>
    <w:rPr>
      <w:rFonts w:ascii="Monotype Corsiva" w:hAnsi="Monotype Corsiva" w:cs="Tahoma"/>
      <w:b/>
      <w:bCs/>
      <w:sz w:val="40"/>
      <w:szCs w:val="40"/>
      <w:lang w:bidi="ar-EG"/>
    </w:rPr>
  </w:style>
  <w:style w:type="character" w:customStyle="1" w:styleId="Heading5Char">
    <w:name w:val="Heading 5 Char"/>
    <w:link w:val="Heading5"/>
    <w:rsid w:val="007A1B2F"/>
    <w:rPr>
      <w:b/>
      <w:bCs/>
      <w:sz w:val="28"/>
      <w:szCs w:val="28"/>
      <w:lang w:bidi="ar-EG"/>
    </w:rPr>
  </w:style>
  <w:style w:type="character" w:customStyle="1" w:styleId="Heading6Char">
    <w:name w:val="Heading 6 Char"/>
    <w:link w:val="Heading6"/>
    <w:rsid w:val="007A1B2F"/>
    <w:rPr>
      <w:sz w:val="28"/>
      <w:szCs w:val="28"/>
      <w:lang w:bidi="ar-EG"/>
    </w:rPr>
  </w:style>
  <w:style w:type="character" w:customStyle="1" w:styleId="Heading7Char">
    <w:name w:val="Heading 7 Char"/>
    <w:link w:val="Heading7"/>
    <w:uiPriority w:val="99"/>
    <w:rsid w:val="007A1B2F"/>
    <w:rPr>
      <w:sz w:val="36"/>
      <w:szCs w:val="36"/>
      <w:lang w:bidi="ar-EG"/>
    </w:rPr>
  </w:style>
  <w:style w:type="character" w:customStyle="1" w:styleId="Heading8Char">
    <w:name w:val="Heading 8 Char"/>
    <w:link w:val="Heading8"/>
    <w:uiPriority w:val="99"/>
    <w:rsid w:val="007A1B2F"/>
    <w:rPr>
      <w:b/>
      <w:bCs/>
      <w:sz w:val="40"/>
      <w:szCs w:val="40"/>
      <w:lang w:bidi="ar-EG"/>
    </w:rPr>
  </w:style>
  <w:style w:type="character" w:customStyle="1" w:styleId="Heading9Char">
    <w:name w:val="Heading 9 Char"/>
    <w:link w:val="Heading9"/>
    <w:uiPriority w:val="99"/>
    <w:rsid w:val="007A1B2F"/>
    <w:rPr>
      <w:b/>
      <w:bCs/>
      <w:sz w:val="28"/>
      <w:szCs w:val="28"/>
      <w:lang w:bidi="ar-EG"/>
    </w:rPr>
  </w:style>
  <w:style w:type="paragraph" w:styleId="BodyText">
    <w:name w:val="Body Text"/>
    <w:basedOn w:val="Normal"/>
    <w:link w:val="BodyTextChar"/>
    <w:uiPriority w:val="99"/>
    <w:rsid w:val="0059446C"/>
    <w:pPr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link w:val="BodyText"/>
    <w:uiPriority w:val="99"/>
    <w:rsid w:val="007A1B2F"/>
    <w:rPr>
      <w:b/>
      <w:bCs/>
      <w:sz w:val="36"/>
      <w:szCs w:val="36"/>
      <w:lang w:bidi="ar-EG"/>
    </w:rPr>
  </w:style>
  <w:style w:type="paragraph" w:styleId="BodyText2">
    <w:name w:val="Body Text 2"/>
    <w:basedOn w:val="Normal"/>
    <w:link w:val="BodyText2Char"/>
    <w:uiPriority w:val="99"/>
    <w:rsid w:val="0059446C"/>
    <w:pPr>
      <w:spacing w:line="360" w:lineRule="auto"/>
      <w:jc w:val="lowKashida"/>
    </w:pPr>
    <w:rPr>
      <w:sz w:val="28"/>
      <w:szCs w:val="28"/>
    </w:rPr>
  </w:style>
  <w:style w:type="character" w:customStyle="1" w:styleId="BodyText2Char">
    <w:name w:val="Body Text 2 Char"/>
    <w:link w:val="BodyText2"/>
    <w:uiPriority w:val="99"/>
    <w:rsid w:val="007A1B2F"/>
    <w:rPr>
      <w:sz w:val="28"/>
      <w:szCs w:val="28"/>
      <w:lang w:bidi="ar-EG"/>
    </w:rPr>
  </w:style>
  <w:style w:type="paragraph" w:styleId="Caption">
    <w:name w:val="caption"/>
    <w:basedOn w:val="Normal"/>
    <w:next w:val="Normal"/>
    <w:uiPriority w:val="99"/>
    <w:qFormat/>
    <w:rsid w:val="0059446C"/>
    <w:pPr>
      <w:spacing w:line="360" w:lineRule="auto"/>
    </w:pPr>
    <w:rPr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59446C"/>
    <w:rPr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rsid w:val="007A1B2F"/>
    <w:rPr>
      <w:b/>
      <w:bCs/>
      <w:sz w:val="28"/>
      <w:szCs w:val="28"/>
      <w:lang w:bidi="ar-EG"/>
    </w:rPr>
  </w:style>
  <w:style w:type="paragraph" w:styleId="Header">
    <w:name w:val="header"/>
    <w:basedOn w:val="Normal"/>
    <w:link w:val="HeaderChar"/>
    <w:uiPriority w:val="99"/>
    <w:rsid w:val="0059446C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link w:val="Header"/>
    <w:uiPriority w:val="99"/>
    <w:rsid w:val="007A1B2F"/>
    <w:rPr>
      <w:rFonts w:cs="Traditional Arabic"/>
      <w:noProof/>
      <w:lang w:bidi="ar-EG"/>
    </w:rPr>
  </w:style>
  <w:style w:type="character" w:styleId="Strong">
    <w:name w:val="Strong"/>
    <w:uiPriority w:val="22"/>
    <w:qFormat/>
    <w:rsid w:val="0059446C"/>
    <w:rPr>
      <w:b/>
      <w:bCs/>
    </w:rPr>
  </w:style>
  <w:style w:type="character" w:customStyle="1" w:styleId="indent">
    <w:name w:val="indent"/>
    <w:basedOn w:val="DefaultParagraphFont"/>
    <w:rsid w:val="0059446C"/>
  </w:style>
  <w:style w:type="table" w:styleId="TableGrid">
    <w:name w:val="Table Grid"/>
    <w:basedOn w:val="TableNormal"/>
    <w:uiPriority w:val="59"/>
    <w:rsid w:val="002724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s">
    <w:name w:val="references"/>
    <w:basedOn w:val="DefaultParagraphFont"/>
    <w:rsid w:val="00E41164"/>
  </w:style>
  <w:style w:type="character" w:customStyle="1" w:styleId="flag">
    <w:name w:val="flag"/>
    <w:basedOn w:val="DefaultParagraphFont"/>
    <w:rsid w:val="00E41164"/>
  </w:style>
  <w:style w:type="character" w:customStyle="1" w:styleId="authornames">
    <w:name w:val="authornames"/>
    <w:basedOn w:val="DefaultParagraphFont"/>
    <w:rsid w:val="00E41164"/>
  </w:style>
  <w:style w:type="character" w:styleId="Hyperlink">
    <w:name w:val="Hyperlink"/>
    <w:uiPriority w:val="99"/>
    <w:unhideWhenUsed/>
    <w:rsid w:val="00E41164"/>
    <w:rPr>
      <w:color w:val="0000FF"/>
      <w:u w:val="single"/>
    </w:rPr>
  </w:style>
  <w:style w:type="character" w:customStyle="1" w:styleId="spanplus">
    <w:name w:val="spanplus"/>
    <w:basedOn w:val="DefaultParagraphFont"/>
    <w:rsid w:val="00E41164"/>
  </w:style>
  <w:style w:type="paragraph" w:styleId="NormalWeb">
    <w:name w:val="Normal (Web)"/>
    <w:basedOn w:val="Normal"/>
    <w:uiPriority w:val="99"/>
    <w:unhideWhenUsed/>
    <w:rsid w:val="00E41164"/>
    <w:pPr>
      <w:spacing w:before="100" w:beforeAutospacing="1" w:after="100" w:afterAutospacing="1"/>
    </w:pPr>
  </w:style>
  <w:style w:type="paragraph" w:customStyle="1" w:styleId="para">
    <w:name w:val="para"/>
    <w:basedOn w:val="Normal"/>
    <w:uiPriority w:val="99"/>
    <w:rsid w:val="00E41164"/>
    <w:pPr>
      <w:spacing w:before="100" w:beforeAutospacing="1" w:after="100" w:afterAutospacing="1"/>
    </w:pPr>
  </w:style>
  <w:style w:type="character" w:customStyle="1" w:styleId="table">
    <w:name w:val="table"/>
    <w:basedOn w:val="DefaultParagraphFont"/>
    <w:rsid w:val="00E41164"/>
  </w:style>
  <w:style w:type="character" w:customStyle="1" w:styleId="figurelabel">
    <w:name w:val="figurelabel"/>
    <w:basedOn w:val="DefaultParagraphFont"/>
    <w:rsid w:val="00E41164"/>
  </w:style>
  <w:style w:type="character" w:customStyle="1" w:styleId="figurecaption">
    <w:name w:val="figurecaption"/>
    <w:basedOn w:val="DefaultParagraphFont"/>
    <w:rsid w:val="00E41164"/>
  </w:style>
  <w:style w:type="character" w:customStyle="1" w:styleId="lblsubtitle">
    <w:name w:val="lblsubtitle"/>
    <w:basedOn w:val="DefaultParagraphFont"/>
    <w:rsid w:val="00B076CF"/>
  </w:style>
  <w:style w:type="character" w:customStyle="1" w:styleId="pubmedlink">
    <w:name w:val="pubmedlink"/>
    <w:basedOn w:val="DefaultParagraphFont"/>
    <w:rsid w:val="00BC2269"/>
  </w:style>
  <w:style w:type="character" w:customStyle="1" w:styleId="crossrefdoi">
    <w:name w:val="crossrefdoi"/>
    <w:basedOn w:val="DefaultParagraphFont"/>
    <w:rsid w:val="00BC2269"/>
  </w:style>
  <w:style w:type="paragraph" w:styleId="Footer">
    <w:name w:val="footer"/>
    <w:basedOn w:val="Normal"/>
    <w:link w:val="FooterChar"/>
    <w:uiPriority w:val="99"/>
    <w:rsid w:val="00BE32D6"/>
    <w:pPr>
      <w:tabs>
        <w:tab w:val="center" w:pos="4153"/>
        <w:tab w:val="right" w:pos="8306"/>
      </w:tabs>
    </w:pPr>
    <w:rPr>
      <w:lang w:eastAsia="ar-SA" w:bidi="ar-SA"/>
    </w:rPr>
  </w:style>
  <w:style w:type="character" w:customStyle="1" w:styleId="FooterChar">
    <w:name w:val="Footer Char"/>
    <w:link w:val="Footer"/>
    <w:uiPriority w:val="99"/>
    <w:rsid w:val="00BE32D6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4E41C5"/>
    <w:rPr>
      <w:i/>
      <w:iCs/>
    </w:rPr>
  </w:style>
  <w:style w:type="character" w:customStyle="1" w:styleId="name">
    <w:name w:val="name"/>
    <w:basedOn w:val="DefaultParagraphFont"/>
    <w:rsid w:val="002440D1"/>
  </w:style>
  <w:style w:type="character" w:customStyle="1" w:styleId="collab">
    <w:name w:val="collab"/>
    <w:basedOn w:val="DefaultParagraphFont"/>
    <w:rsid w:val="002440D1"/>
  </w:style>
  <w:style w:type="character" w:styleId="HTMLCite">
    <w:name w:val="HTML Cite"/>
    <w:uiPriority w:val="99"/>
    <w:unhideWhenUsed/>
    <w:rsid w:val="002440D1"/>
    <w:rPr>
      <w:i/>
      <w:iCs/>
    </w:rPr>
  </w:style>
  <w:style w:type="character" w:customStyle="1" w:styleId="slug-pub-date">
    <w:name w:val="slug-pub-date"/>
    <w:basedOn w:val="DefaultParagraphFont"/>
    <w:rsid w:val="002440D1"/>
  </w:style>
  <w:style w:type="character" w:customStyle="1" w:styleId="slug-vol">
    <w:name w:val="slug-vol"/>
    <w:basedOn w:val="DefaultParagraphFont"/>
    <w:rsid w:val="002440D1"/>
  </w:style>
  <w:style w:type="character" w:customStyle="1" w:styleId="slug-issue">
    <w:name w:val="slug-issue"/>
    <w:basedOn w:val="DefaultParagraphFont"/>
    <w:rsid w:val="002440D1"/>
  </w:style>
  <w:style w:type="character" w:customStyle="1" w:styleId="slug-pages">
    <w:name w:val="slug-pages"/>
    <w:basedOn w:val="DefaultParagraphFont"/>
    <w:rsid w:val="002440D1"/>
  </w:style>
  <w:style w:type="character" w:customStyle="1" w:styleId="slug-doi-wrapper">
    <w:name w:val="slug-doi-wrapper"/>
    <w:basedOn w:val="DefaultParagraphFont"/>
    <w:rsid w:val="002440D1"/>
  </w:style>
  <w:style w:type="character" w:customStyle="1" w:styleId="slug-doi">
    <w:name w:val="slug-doi"/>
    <w:basedOn w:val="DefaultParagraphFont"/>
    <w:rsid w:val="002440D1"/>
  </w:style>
  <w:style w:type="character" w:customStyle="1" w:styleId="issue-title">
    <w:name w:val="issue-title"/>
    <w:basedOn w:val="DefaultParagraphFont"/>
    <w:rsid w:val="002440D1"/>
  </w:style>
  <w:style w:type="paragraph" w:customStyle="1" w:styleId="Default">
    <w:name w:val="Default"/>
    <w:uiPriority w:val="99"/>
    <w:rsid w:val="009179AE"/>
    <w:pPr>
      <w:autoSpaceDE w:val="0"/>
      <w:autoSpaceDN w:val="0"/>
      <w:adjustRightInd w:val="0"/>
    </w:pPr>
    <w:rPr>
      <w:rFonts w:ascii="Janson Text LT" w:hAnsi="Janson Text LT" w:cs="Janson Text LT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179AE"/>
    <w:rPr>
      <w:rFonts w:cs="Janson Text LT"/>
      <w:color w:val="000000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C23F5"/>
    <w:rPr>
      <w:rFonts w:cs="Janson Text LT"/>
      <w:color w:val="000000"/>
    </w:rPr>
  </w:style>
  <w:style w:type="paragraph" w:customStyle="1" w:styleId="Pa27">
    <w:name w:val="Pa27"/>
    <w:basedOn w:val="Default"/>
    <w:next w:val="Default"/>
    <w:uiPriority w:val="99"/>
    <w:rsid w:val="00B2315E"/>
    <w:pPr>
      <w:spacing w:line="241" w:lineRule="atLeast"/>
    </w:pPr>
    <w:rPr>
      <w:rFonts w:cs="Times New Roman"/>
      <w:color w:val="auto"/>
    </w:rPr>
  </w:style>
  <w:style w:type="character" w:customStyle="1" w:styleId="cit">
    <w:name w:val="cit"/>
    <w:basedOn w:val="DefaultParagraphFont"/>
    <w:rsid w:val="009D3E68"/>
  </w:style>
  <w:style w:type="paragraph" w:customStyle="1" w:styleId="Pa10">
    <w:name w:val="Pa10"/>
    <w:basedOn w:val="Default"/>
    <w:next w:val="Default"/>
    <w:uiPriority w:val="99"/>
    <w:rsid w:val="00865BA6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4139A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E567D1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B3F10"/>
    <w:pPr>
      <w:spacing w:line="181" w:lineRule="atLeast"/>
    </w:pPr>
    <w:rPr>
      <w:rFonts w:ascii="Times" w:hAnsi="Times" w:cs="Times"/>
      <w:color w:val="auto"/>
    </w:rPr>
  </w:style>
  <w:style w:type="character" w:customStyle="1" w:styleId="A7">
    <w:name w:val="A7"/>
    <w:uiPriority w:val="99"/>
    <w:rsid w:val="001B3F10"/>
    <w:rPr>
      <w:color w:val="000000"/>
      <w:sz w:val="18"/>
      <w:szCs w:val="18"/>
    </w:rPr>
  </w:style>
  <w:style w:type="character" w:customStyle="1" w:styleId="element-citation">
    <w:name w:val="element-citation"/>
    <w:basedOn w:val="DefaultParagraphFont"/>
    <w:rsid w:val="00414237"/>
  </w:style>
  <w:style w:type="character" w:customStyle="1" w:styleId="ref-journal">
    <w:name w:val="ref-journal"/>
    <w:basedOn w:val="DefaultParagraphFont"/>
    <w:rsid w:val="00414237"/>
  </w:style>
  <w:style w:type="character" w:customStyle="1" w:styleId="ref-vol">
    <w:name w:val="ref-vol"/>
    <w:basedOn w:val="DefaultParagraphFont"/>
    <w:rsid w:val="00D50D09"/>
  </w:style>
  <w:style w:type="character" w:customStyle="1" w:styleId="citation">
    <w:name w:val="citation"/>
    <w:basedOn w:val="DefaultParagraphFont"/>
    <w:rsid w:val="000A7A8B"/>
  </w:style>
  <w:style w:type="paragraph" w:customStyle="1" w:styleId="Pa11">
    <w:name w:val="Pa11"/>
    <w:basedOn w:val="Default"/>
    <w:next w:val="Default"/>
    <w:uiPriority w:val="99"/>
    <w:rsid w:val="000E5238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91747A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1710C"/>
    <w:pPr>
      <w:spacing w:line="201" w:lineRule="atLeast"/>
    </w:pPr>
    <w:rPr>
      <w:rFonts w:ascii="Rotis SansSerif Std Light" w:hAnsi="Rotis SansSerif Std Light" w:cs="Times New Roman"/>
      <w:color w:val="auto"/>
    </w:rPr>
  </w:style>
  <w:style w:type="paragraph" w:customStyle="1" w:styleId="Pa7">
    <w:name w:val="Pa7"/>
    <w:basedOn w:val="Normal"/>
    <w:next w:val="Normal"/>
    <w:uiPriority w:val="99"/>
    <w:rsid w:val="004752EA"/>
    <w:pPr>
      <w:autoSpaceDE w:val="0"/>
      <w:autoSpaceDN w:val="0"/>
      <w:adjustRightInd w:val="0"/>
      <w:spacing w:line="201" w:lineRule="atLeast"/>
    </w:pPr>
    <w:rPr>
      <w:rFonts w:ascii="Franklin Gothic Book" w:eastAsia="Times New Roman" w:hAnsi="Franklin Gothic Book" w:cs="Arial"/>
      <w:lang w:bidi="ar-SA"/>
    </w:rPr>
  </w:style>
  <w:style w:type="character" w:customStyle="1" w:styleId="algo-summary">
    <w:name w:val="algo-summary"/>
    <w:basedOn w:val="DefaultParagraphFont"/>
    <w:rsid w:val="004752EA"/>
  </w:style>
  <w:style w:type="paragraph" w:styleId="NoSpacing">
    <w:name w:val="No Spacing"/>
    <w:link w:val="NoSpacingChar"/>
    <w:qFormat/>
    <w:rsid w:val="008F3EDE"/>
    <w:pPr>
      <w:bidi/>
    </w:pPr>
    <w:rPr>
      <w:rFonts w:ascii="Calibri" w:hAnsi="Calibri" w:cs="Arial"/>
      <w:sz w:val="22"/>
      <w:szCs w:val="22"/>
      <w:lang w:eastAsia="en-US"/>
    </w:rPr>
  </w:style>
  <w:style w:type="character" w:customStyle="1" w:styleId="cit-source">
    <w:name w:val="cit-source"/>
    <w:basedOn w:val="DefaultParagraphFont"/>
    <w:rsid w:val="00145469"/>
  </w:style>
  <w:style w:type="character" w:customStyle="1" w:styleId="cit-pub-date">
    <w:name w:val="cit-pub-date"/>
    <w:basedOn w:val="DefaultParagraphFont"/>
    <w:rsid w:val="00145469"/>
  </w:style>
  <w:style w:type="character" w:customStyle="1" w:styleId="cit-vol">
    <w:name w:val="cit-vol"/>
    <w:basedOn w:val="DefaultParagraphFont"/>
    <w:rsid w:val="00145469"/>
  </w:style>
  <w:style w:type="character" w:customStyle="1" w:styleId="cit-fpage">
    <w:name w:val="cit-fpage"/>
    <w:basedOn w:val="DefaultParagraphFont"/>
    <w:rsid w:val="00145469"/>
  </w:style>
  <w:style w:type="character" w:customStyle="1" w:styleId="st">
    <w:name w:val="st"/>
    <w:basedOn w:val="DefaultParagraphFont"/>
    <w:rsid w:val="00223822"/>
  </w:style>
  <w:style w:type="character" w:styleId="CommentReference">
    <w:name w:val="annotation reference"/>
    <w:rsid w:val="00A765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5DD"/>
    <w:rPr>
      <w:sz w:val="20"/>
      <w:szCs w:val="20"/>
    </w:rPr>
  </w:style>
  <w:style w:type="character" w:customStyle="1" w:styleId="CommentTextChar">
    <w:name w:val="Comment Text Char"/>
    <w:link w:val="CommentText"/>
    <w:rsid w:val="00A765DD"/>
    <w:rPr>
      <w:lang w:bidi="ar-EG"/>
    </w:rPr>
  </w:style>
  <w:style w:type="paragraph" w:styleId="CommentSubject">
    <w:name w:val="annotation subject"/>
    <w:basedOn w:val="CommentText"/>
    <w:next w:val="CommentText"/>
    <w:link w:val="CommentSubjectChar"/>
    <w:rsid w:val="00A765DD"/>
    <w:rPr>
      <w:b/>
      <w:bCs/>
    </w:rPr>
  </w:style>
  <w:style w:type="character" w:customStyle="1" w:styleId="CommentSubjectChar">
    <w:name w:val="Comment Subject Char"/>
    <w:link w:val="CommentSubject"/>
    <w:rsid w:val="00A765DD"/>
    <w:rPr>
      <w:b/>
      <w:bCs/>
      <w:lang w:bidi="ar-EG"/>
    </w:rPr>
  </w:style>
  <w:style w:type="paragraph" w:styleId="BalloonText">
    <w:name w:val="Balloon Text"/>
    <w:basedOn w:val="Normal"/>
    <w:link w:val="BalloonTextChar"/>
    <w:rsid w:val="00A7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5DD"/>
    <w:rPr>
      <w:rFonts w:ascii="Tahoma" w:hAnsi="Tahoma" w:cs="Tahoma"/>
      <w:sz w:val="16"/>
      <w:szCs w:val="16"/>
      <w:lang w:bidi="ar-EG"/>
    </w:rPr>
  </w:style>
  <w:style w:type="character" w:customStyle="1" w:styleId="highlight">
    <w:name w:val="highlight"/>
    <w:rsid w:val="00451314"/>
  </w:style>
  <w:style w:type="character" w:customStyle="1" w:styleId="apple-converted-space">
    <w:name w:val="apple-converted-space"/>
    <w:rsid w:val="00451314"/>
  </w:style>
  <w:style w:type="paragraph" w:customStyle="1" w:styleId="desc">
    <w:name w:val="desc"/>
    <w:basedOn w:val="Normal"/>
    <w:rsid w:val="005A0320"/>
    <w:pPr>
      <w:spacing w:before="100" w:beforeAutospacing="1" w:after="100" w:afterAutospacing="1"/>
    </w:pPr>
    <w:rPr>
      <w:lang w:bidi="ar-SA"/>
    </w:rPr>
  </w:style>
  <w:style w:type="paragraph" w:customStyle="1" w:styleId="details">
    <w:name w:val="details"/>
    <w:basedOn w:val="Normal"/>
    <w:rsid w:val="005A0320"/>
    <w:pPr>
      <w:spacing w:before="100" w:beforeAutospacing="1" w:after="100" w:afterAutospacing="1"/>
    </w:pPr>
    <w:rPr>
      <w:lang w:bidi="ar-SA"/>
    </w:rPr>
  </w:style>
  <w:style w:type="character" w:customStyle="1" w:styleId="jrnl">
    <w:name w:val="jrnl"/>
    <w:rsid w:val="005A0320"/>
  </w:style>
  <w:style w:type="character" w:customStyle="1" w:styleId="NoSpacingChar">
    <w:name w:val="No Spacing Char"/>
    <w:basedOn w:val="DefaultParagraphFont"/>
    <w:link w:val="NoSpacing"/>
    <w:locked/>
    <w:rsid w:val="002B2928"/>
    <w:rPr>
      <w:rFonts w:ascii="Calibri" w:hAnsi="Calibri" w:cs="Arial"/>
      <w:sz w:val="22"/>
      <w:szCs w:val="22"/>
      <w:lang w:eastAsia="en-US"/>
    </w:rPr>
  </w:style>
  <w:style w:type="character" w:customStyle="1" w:styleId="msonormal0">
    <w:name w:val="msonormal0"/>
    <w:basedOn w:val="DefaultParagraphFont"/>
    <w:rsid w:val="002B2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2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amaria1@hot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footer" Target="footer7.xml"/><Relationship Id="rId10" Type="http://schemas.openxmlformats.org/officeDocument/2006/relationships/hyperlink" Target="http://www.dx.doi.org/10.7537/marscbj060416.05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D5E5-CBF4-44A3-BBC9-9E7931BE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5068</Words>
  <Characters>27451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نتاناهلا</vt:lpstr>
    </vt:vector>
  </TitlesOfParts>
  <Company>China</Company>
  <LinksUpToDate>false</LinksUpToDate>
  <CharactersWithSpaces>32455</CharactersWithSpaces>
  <SharedDoc>false</SharedDoc>
  <HLinks>
    <vt:vector size="12" baseType="variant">
      <vt:variant>
        <vt:i4>7733260</vt:i4>
      </vt:variant>
      <vt:variant>
        <vt:i4>0</vt:i4>
      </vt:variant>
      <vt:variant>
        <vt:i4>0</vt:i4>
      </vt:variant>
      <vt:variant>
        <vt:i4>5</vt:i4>
      </vt:variant>
      <vt:variant>
        <vt:lpwstr>mailto:alaamaria1@hotmail.com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نتاناهلا</dc:title>
  <dc:creator>dr.mohamed</dc:creator>
  <cp:lastModifiedBy>Administrator</cp:lastModifiedBy>
  <cp:revision>3</cp:revision>
  <dcterms:created xsi:type="dcterms:W3CDTF">2016-12-19T08:56:00Z</dcterms:created>
  <dcterms:modified xsi:type="dcterms:W3CDTF">2016-12-18T19:57:00Z</dcterms:modified>
</cp:coreProperties>
</file>