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8A" w:rsidRPr="00E35F4D" w:rsidRDefault="0084688A" w:rsidP="000E5513">
      <w:pPr>
        <w:pStyle w:val="Heading1"/>
        <w:keepNext w:val="0"/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Induction </w:t>
      </w:r>
      <w:r w:rsidR="00E54B98" w:rsidRPr="00E35F4D">
        <w:rPr>
          <w:b/>
          <w:bCs/>
          <w:sz w:val="20"/>
          <w:szCs w:val="20"/>
        </w:rPr>
        <w:t>C</w:t>
      </w:r>
      <w:r w:rsidRPr="00E35F4D">
        <w:rPr>
          <w:b/>
          <w:bCs/>
          <w:sz w:val="20"/>
          <w:szCs w:val="20"/>
        </w:rPr>
        <w:t xml:space="preserve">hemotherapy </w:t>
      </w:r>
      <w:r w:rsidR="000E5513">
        <w:rPr>
          <w:b/>
          <w:bCs/>
          <w:sz w:val="20"/>
          <w:szCs w:val="20"/>
        </w:rPr>
        <w:t>w</w:t>
      </w:r>
      <w:r w:rsidRPr="00E35F4D">
        <w:rPr>
          <w:b/>
          <w:bCs/>
          <w:sz w:val="20"/>
          <w:szCs w:val="20"/>
        </w:rPr>
        <w:t xml:space="preserve">ith </w:t>
      </w:r>
      <w:proofErr w:type="spellStart"/>
      <w:r w:rsidR="00E54B98" w:rsidRPr="00E35F4D">
        <w:rPr>
          <w:b/>
          <w:bCs/>
          <w:sz w:val="20"/>
          <w:szCs w:val="20"/>
        </w:rPr>
        <w:t>C</w:t>
      </w:r>
      <w:r w:rsidRPr="00E35F4D">
        <w:rPr>
          <w:b/>
          <w:bCs/>
          <w:sz w:val="20"/>
          <w:szCs w:val="20"/>
        </w:rPr>
        <w:t>apecitabine</w:t>
      </w:r>
      <w:proofErr w:type="spellEnd"/>
      <w:r w:rsidRPr="00E35F4D">
        <w:rPr>
          <w:b/>
          <w:bCs/>
          <w:sz w:val="20"/>
          <w:szCs w:val="20"/>
        </w:rPr>
        <w:t xml:space="preserve"> </w:t>
      </w:r>
      <w:r w:rsidR="000E5513">
        <w:rPr>
          <w:b/>
          <w:bCs/>
          <w:sz w:val="20"/>
          <w:szCs w:val="20"/>
        </w:rPr>
        <w:t>a</w:t>
      </w:r>
      <w:r w:rsidRPr="00E35F4D">
        <w:rPr>
          <w:b/>
          <w:bCs/>
          <w:sz w:val="20"/>
          <w:szCs w:val="20"/>
        </w:rPr>
        <w:t xml:space="preserve">nd </w:t>
      </w:r>
      <w:proofErr w:type="spellStart"/>
      <w:r w:rsidR="00E54B98" w:rsidRPr="00E35F4D">
        <w:rPr>
          <w:b/>
          <w:bCs/>
          <w:sz w:val="20"/>
          <w:szCs w:val="20"/>
        </w:rPr>
        <w:t>Oxaliplatin</w:t>
      </w:r>
      <w:proofErr w:type="spellEnd"/>
      <w:r w:rsidR="00E54B98" w:rsidRPr="00E35F4D">
        <w:rPr>
          <w:b/>
          <w:bCs/>
          <w:sz w:val="20"/>
          <w:szCs w:val="20"/>
        </w:rPr>
        <w:t xml:space="preserve"> </w:t>
      </w:r>
      <w:r w:rsidR="00AA62AC" w:rsidRPr="00E35F4D">
        <w:rPr>
          <w:b/>
          <w:bCs/>
          <w:sz w:val="20"/>
          <w:szCs w:val="20"/>
        </w:rPr>
        <w:t xml:space="preserve">(CAPOX) </w:t>
      </w:r>
      <w:r w:rsidR="00E54B98" w:rsidRPr="00E35F4D">
        <w:rPr>
          <w:b/>
          <w:bCs/>
          <w:sz w:val="20"/>
          <w:szCs w:val="20"/>
        </w:rPr>
        <w:t>F</w:t>
      </w:r>
      <w:r w:rsidRPr="00E35F4D">
        <w:rPr>
          <w:b/>
          <w:bCs/>
          <w:sz w:val="20"/>
          <w:szCs w:val="20"/>
        </w:rPr>
        <w:t xml:space="preserve">ollowed </w:t>
      </w:r>
      <w:r w:rsidR="000E5513">
        <w:rPr>
          <w:b/>
          <w:bCs/>
          <w:sz w:val="20"/>
          <w:szCs w:val="20"/>
        </w:rPr>
        <w:t>b</w:t>
      </w:r>
      <w:r w:rsidRPr="00E35F4D">
        <w:rPr>
          <w:b/>
          <w:bCs/>
          <w:sz w:val="20"/>
          <w:szCs w:val="20"/>
        </w:rPr>
        <w:t xml:space="preserve">y </w:t>
      </w:r>
      <w:r w:rsidR="00E54B98" w:rsidRPr="00E35F4D">
        <w:rPr>
          <w:b/>
          <w:bCs/>
          <w:sz w:val="20"/>
          <w:szCs w:val="20"/>
        </w:rPr>
        <w:t>C</w:t>
      </w:r>
      <w:r w:rsidR="00A065DC" w:rsidRPr="00E35F4D">
        <w:rPr>
          <w:b/>
          <w:bCs/>
          <w:sz w:val="20"/>
          <w:szCs w:val="20"/>
        </w:rPr>
        <w:t xml:space="preserve">oncomitant </w:t>
      </w:r>
      <w:r w:rsidR="00E54B98" w:rsidRPr="00E35F4D">
        <w:rPr>
          <w:b/>
          <w:bCs/>
          <w:sz w:val="20"/>
          <w:szCs w:val="20"/>
        </w:rPr>
        <w:t>C</w:t>
      </w:r>
      <w:r w:rsidRPr="00E35F4D">
        <w:rPr>
          <w:b/>
          <w:bCs/>
          <w:sz w:val="20"/>
          <w:szCs w:val="20"/>
        </w:rPr>
        <w:t xml:space="preserve">hemoradiotherapy </w:t>
      </w:r>
      <w:r w:rsidR="000E5513">
        <w:rPr>
          <w:b/>
          <w:bCs/>
          <w:sz w:val="20"/>
          <w:szCs w:val="20"/>
        </w:rPr>
        <w:t>b</w:t>
      </w:r>
      <w:r w:rsidRPr="00E35F4D">
        <w:rPr>
          <w:b/>
          <w:bCs/>
          <w:sz w:val="20"/>
          <w:szCs w:val="20"/>
        </w:rPr>
        <w:t xml:space="preserve">efore </w:t>
      </w:r>
      <w:r w:rsidR="00E54B98" w:rsidRPr="00E35F4D">
        <w:rPr>
          <w:b/>
          <w:bCs/>
          <w:sz w:val="20"/>
          <w:szCs w:val="20"/>
        </w:rPr>
        <w:t>S</w:t>
      </w:r>
      <w:r w:rsidR="00660D1D" w:rsidRPr="00E35F4D">
        <w:rPr>
          <w:b/>
          <w:bCs/>
          <w:sz w:val="20"/>
          <w:szCs w:val="20"/>
        </w:rPr>
        <w:t xml:space="preserve">urgical </w:t>
      </w:r>
      <w:r w:rsidR="00E54B98" w:rsidRPr="00E35F4D">
        <w:rPr>
          <w:b/>
          <w:bCs/>
          <w:sz w:val="20"/>
          <w:szCs w:val="20"/>
        </w:rPr>
        <w:t>R</w:t>
      </w:r>
      <w:r w:rsidR="00660D1D" w:rsidRPr="00E35F4D">
        <w:rPr>
          <w:b/>
          <w:bCs/>
          <w:sz w:val="20"/>
          <w:szCs w:val="20"/>
        </w:rPr>
        <w:t xml:space="preserve">esection </w:t>
      </w:r>
      <w:r w:rsidR="000E5513">
        <w:rPr>
          <w:b/>
          <w:bCs/>
          <w:sz w:val="20"/>
          <w:szCs w:val="20"/>
        </w:rPr>
        <w:t>i</w:t>
      </w:r>
      <w:r w:rsidRPr="00E35F4D">
        <w:rPr>
          <w:b/>
          <w:bCs/>
          <w:sz w:val="20"/>
          <w:szCs w:val="20"/>
        </w:rPr>
        <w:t xml:space="preserve">n </w:t>
      </w:r>
      <w:r w:rsidR="00E54B98" w:rsidRPr="00E35F4D">
        <w:rPr>
          <w:b/>
          <w:bCs/>
          <w:sz w:val="20"/>
          <w:szCs w:val="20"/>
        </w:rPr>
        <w:t>P</w:t>
      </w:r>
      <w:r w:rsidRPr="00E35F4D">
        <w:rPr>
          <w:b/>
          <w:bCs/>
          <w:sz w:val="20"/>
          <w:szCs w:val="20"/>
        </w:rPr>
        <w:t xml:space="preserve">atients </w:t>
      </w:r>
      <w:r w:rsidR="000E5513">
        <w:rPr>
          <w:b/>
          <w:bCs/>
          <w:sz w:val="20"/>
          <w:szCs w:val="20"/>
        </w:rPr>
        <w:t>w</w:t>
      </w:r>
      <w:r w:rsidRPr="00E35F4D">
        <w:rPr>
          <w:b/>
          <w:bCs/>
          <w:sz w:val="20"/>
          <w:szCs w:val="20"/>
        </w:rPr>
        <w:t xml:space="preserve">ith </w:t>
      </w:r>
      <w:r w:rsidR="00E54B98" w:rsidRPr="00E35F4D">
        <w:rPr>
          <w:b/>
          <w:bCs/>
          <w:sz w:val="20"/>
          <w:szCs w:val="20"/>
        </w:rPr>
        <w:t>L</w:t>
      </w:r>
      <w:r w:rsidRPr="00E35F4D">
        <w:rPr>
          <w:b/>
          <w:bCs/>
          <w:sz w:val="20"/>
          <w:szCs w:val="20"/>
        </w:rPr>
        <w:t xml:space="preserve">ocally </w:t>
      </w:r>
      <w:r w:rsidR="00E54B98" w:rsidRPr="00E35F4D">
        <w:rPr>
          <w:b/>
          <w:bCs/>
          <w:sz w:val="20"/>
          <w:szCs w:val="20"/>
        </w:rPr>
        <w:t>A</w:t>
      </w:r>
      <w:r w:rsidRPr="00E35F4D">
        <w:rPr>
          <w:b/>
          <w:bCs/>
          <w:sz w:val="20"/>
          <w:szCs w:val="20"/>
        </w:rPr>
        <w:t xml:space="preserve">dvanced </w:t>
      </w:r>
      <w:r w:rsidR="00E54B98" w:rsidRPr="00E35F4D">
        <w:rPr>
          <w:b/>
          <w:bCs/>
          <w:sz w:val="20"/>
          <w:szCs w:val="20"/>
        </w:rPr>
        <w:t>R</w:t>
      </w:r>
      <w:r w:rsidRPr="00E35F4D">
        <w:rPr>
          <w:b/>
          <w:bCs/>
          <w:sz w:val="20"/>
          <w:szCs w:val="20"/>
        </w:rPr>
        <w:t xml:space="preserve">ectal </w:t>
      </w:r>
      <w:r w:rsidR="00E54B98" w:rsidRPr="00E35F4D">
        <w:rPr>
          <w:b/>
          <w:bCs/>
          <w:sz w:val="20"/>
          <w:szCs w:val="20"/>
        </w:rPr>
        <w:t>C</w:t>
      </w:r>
      <w:r w:rsidRPr="00E35F4D">
        <w:rPr>
          <w:b/>
          <w:bCs/>
          <w:sz w:val="20"/>
          <w:szCs w:val="20"/>
        </w:rPr>
        <w:t>ancer</w:t>
      </w:r>
    </w:p>
    <w:p w:rsidR="002E172D" w:rsidRPr="00E35F4D" w:rsidRDefault="002E172D" w:rsidP="002B2928">
      <w:pPr>
        <w:snapToGrid w:val="0"/>
        <w:jc w:val="center"/>
        <w:rPr>
          <w:b/>
          <w:bCs/>
          <w:sz w:val="20"/>
          <w:szCs w:val="20"/>
        </w:rPr>
      </w:pPr>
    </w:p>
    <w:p w:rsidR="002E172D" w:rsidRPr="00E35F4D" w:rsidRDefault="002E172D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  <w:proofErr w:type="gramStart"/>
      <w:r w:rsidRPr="00E35F4D">
        <w:rPr>
          <w:sz w:val="20"/>
          <w:szCs w:val="20"/>
        </w:rPr>
        <w:t>Mohamed El-</w:t>
      </w:r>
      <w:proofErr w:type="spellStart"/>
      <w:r w:rsidRPr="00E35F4D">
        <w:rPr>
          <w:sz w:val="20"/>
          <w:szCs w:val="20"/>
        </w:rPr>
        <w:t>Shebiney</w:t>
      </w:r>
      <w:proofErr w:type="spellEnd"/>
      <w:r w:rsidR="00A02928" w:rsidRPr="00E35F4D">
        <w:rPr>
          <w:sz w:val="20"/>
          <w:szCs w:val="20"/>
        </w:rPr>
        <w:t xml:space="preserve"> M.D.</w:t>
      </w:r>
      <w:r w:rsidRPr="00E35F4D">
        <w:rPr>
          <w:sz w:val="20"/>
          <w:szCs w:val="20"/>
        </w:rPr>
        <w:t xml:space="preserve"> and </w:t>
      </w:r>
      <w:proofErr w:type="spellStart"/>
      <w:r w:rsidRPr="00E35F4D">
        <w:rPr>
          <w:sz w:val="20"/>
          <w:szCs w:val="20"/>
        </w:rPr>
        <w:t>Alaa</w:t>
      </w:r>
      <w:proofErr w:type="spellEnd"/>
      <w:r w:rsidRPr="00E35F4D">
        <w:rPr>
          <w:sz w:val="20"/>
          <w:szCs w:val="20"/>
        </w:rPr>
        <w:t xml:space="preserve"> Maria</w:t>
      </w:r>
      <w:r w:rsidR="00A02928" w:rsidRPr="00E35F4D">
        <w:rPr>
          <w:sz w:val="20"/>
          <w:szCs w:val="20"/>
        </w:rPr>
        <w:t xml:space="preserve"> M.D.</w:t>
      </w:r>
      <w:proofErr w:type="gramEnd"/>
    </w:p>
    <w:p w:rsidR="002B2928" w:rsidRPr="00E35F4D" w:rsidRDefault="002B2928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2E172D" w:rsidRPr="00E35F4D" w:rsidRDefault="002E172D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proofErr w:type="gramStart"/>
      <w:r w:rsidRPr="00E35F4D">
        <w:rPr>
          <w:sz w:val="20"/>
          <w:szCs w:val="20"/>
        </w:rPr>
        <w:t>Clinical Oncology Department, Faculty of Medicine, Tanta University Hospital, Egypt.</w:t>
      </w:r>
      <w:proofErr w:type="gramEnd"/>
    </w:p>
    <w:p w:rsidR="002E172D" w:rsidRPr="009A6E7C" w:rsidRDefault="00D64414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hyperlink r:id="rId9" w:history="1">
        <w:r w:rsidR="00BA7F57" w:rsidRPr="009A6E7C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alaamaria1@hotmail.com</w:t>
        </w:r>
      </w:hyperlink>
    </w:p>
    <w:p w:rsidR="00BA7F57" w:rsidRPr="00E35F4D" w:rsidRDefault="00BA7F57" w:rsidP="002B2928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</w:p>
    <w:p w:rsidR="008215CD" w:rsidRPr="008215CD" w:rsidRDefault="002E172D" w:rsidP="0050654B">
      <w:p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SA"/>
        </w:rPr>
      </w:pPr>
      <w:r w:rsidRPr="008215CD">
        <w:rPr>
          <w:b/>
          <w:bCs/>
          <w:sz w:val="20"/>
          <w:szCs w:val="20"/>
        </w:rPr>
        <w:t>Abstract</w:t>
      </w:r>
      <w:r w:rsidR="00D6537E" w:rsidRPr="008215CD">
        <w:rPr>
          <w:b/>
          <w:bCs/>
          <w:sz w:val="20"/>
          <w:szCs w:val="20"/>
        </w:rPr>
        <w:t>:</w:t>
      </w:r>
      <w:r w:rsidRPr="008215CD">
        <w:rPr>
          <w:b/>
          <w:bCs/>
          <w:sz w:val="20"/>
          <w:szCs w:val="20"/>
        </w:rPr>
        <w:t xml:space="preserve"> </w:t>
      </w:r>
      <w:r w:rsidR="00E96ABD">
        <w:rPr>
          <w:b/>
          <w:bCs/>
          <w:sz w:val="20"/>
          <w:szCs w:val="20"/>
        </w:rPr>
        <w:t>Aim</w:t>
      </w:r>
      <w:r w:rsidRPr="008215CD">
        <w:rPr>
          <w:b/>
          <w:bCs/>
          <w:sz w:val="20"/>
          <w:szCs w:val="20"/>
        </w:rPr>
        <w:t>:</w:t>
      </w:r>
      <w:r w:rsidR="005F7E5F" w:rsidRPr="008215CD">
        <w:rPr>
          <w:b/>
          <w:bCs/>
          <w:sz w:val="20"/>
          <w:szCs w:val="20"/>
          <w:lang w:bidi="ar-SA"/>
        </w:rPr>
        <w:t xml:space="preserve"> </w:t>
      </w:r>
      <w:r w:rsidR="000E5513" w:rsidRPr="008215CD">
        <w:rPr>
          <w:sz w:val="20"/>
          <w:szCs w:val="20"/>
          <w:lang w:bidi="ar-SA"/>
        </w:rPr>
        <w:t xml:space="preserve">The </w:t>
      </w:r>
      <w:r w:rsidR="00E96ABD">
        <w:rPr>
          <w:sz w:val="20"/>
          <w:szCs w:val="20"/>
          <w:lang w:bidi="ar-SA"/>
        </w:rPr>
        <w:t xml:space="preserve">aim was </w:t>
      </w:r>
      <w:r w:rsidR="000E5513" w:rsidRPr="008215CD">
        <w:rPr>
          <w:sz w:val="20"/>
          <w:szCs w:val="20"/>
          <w:lang w:bidi="ar-SA"/>
        </w:rPr>
        <w:t xml:space="preserve">to analyze the </w:t>
      </w:r>
      <w:r w:rsidR="003D6812" w:rsidRPr="008215CD">
        <w:rPr>
          <w:sz w:val="20"/>
          <w:szCs w:val="20"/>
          <w:lang w:bidi="ar-SA"/>
        </w:rPr>
        <w:t>safety</w:t>
      </w:r>
      <w:r w:rsidR="003D6812" w:rsidRPr="008215CD">
        <w:rPr>
          <w:sz w:val="20"/>
          <w:szCs w:val="20"/>
        </w:rPr>
        <w:t xml:space="preserve"> </w:t>
      </w:r>
      <w:r w:rsidR="003D6812" w:rsidRPr="008215CD">
        <w:rPr>
          <w:sz w:val="20"/>
          <w:szCs w:val="20"/>
          <w:lang w:bidi="ar-SA"/>
        </w:rPr>
        <w:t xml:space="preserve">and </w:t>
      </w:r>
      <w:r w:rsidR="000E5513" w:rsidRPr="008215CD">
        <w:rPr>
          <w:sz w:val="20"/>
          <w:szCs w:val="20"/>
          <w:lang w:bidi="ar-SA"/>
        </w:rPr>
        <w:t xml:space="preserve">efficacy </w:t>
      </w:r>
      <w:r w:rsidR="000E5513" w:rsidRPr="008215CD">
        <w:rPr>
          <w:sz w:val="20"/>
          <w:szCs w:val="20"/>
        </w:rPr>
        <w:t xml:space="preserve">of </w:t>
      </w:r>
      <w:r w:rsidR="000E5513" w:rsidRPr="008215CD">
        <w:rPr>
          <w:sz w:val="20"/>
          <w:szCs w:val="20"/>
          <w:lang w:bidi="ar-SA"/>
        </w:rPr>
        <w:t xml:space="preserve">induction chemotherapy (CT) </w:t>
      </w:r>
      <w:r w:rsidR="00E96ABD">
        <w:rPr>
          <w:sz w:val="20"/>
          <w:szCs w:val="20"/>
          <w:lang w:bidi="ar-SA"/>
        </w:rPr>
        <w:t xml:space="preserve">with </w:t>
      </w:r>
      <w:proofErr w:type="spellStart"/>
      <w:r w:rsidR="000E5513" w:rsidRPr="008215CD">
        <w:rPr>
          <w:sz w:val="20"/>
          <w:szCs w:val="20"/>
          <w:lang w:bidi="ar-SA"/>
        </w:rPr>
        <w:t>capecitabine</w:t>
      </w:r>
      <w:proofErr w:type="spellEnd"/>
      <w:r w:rsidR="000E5513" w:rsidRPr="008215CD">
        <w:rPr>
          <w:sz w:val="20"/>
          <w:szCs w:val="20"/>
        </w:rPr>
        <w:t xml:space="preserve"> plus </w:t>
      </w:r>
      <w:proofErr w:type="spellStart"/>
      <w:r w:rsidR="000E5513" w:rsidRPr="008215CD">
        <w:rPr>
          <w:sz w:val="20"/>
          <w:szCs w:val="20"/>
        </w:rPr>
        <w:t>oxaliplatin</w:t>
      </w:r>
      <w:proofErr w:type="spellEnd"/>
      <w:r w:rsidR="000E5513" w:rsidRPr="008215CD">
        <w:rPr>
          <w:sz w:val="20"/>
          <w:szCs w:val="20"/>
        </w:rPr>
        <w:t xml:space="preserve"> (CAPOX)</w:t>
      </w:r>
      <w:r w:rsidR="000E5513" w:rsidRPr="008215CD">
        <w:rPr>
          <w:sz w:val="20"/>
          <w:szCs w:val="20"/>
          <w:lang w:bidi="ar-SA"/>
        </w:rPr>
        <w:t xml:space="preserve"> followed by concomitant chemoradiotherapy (CRT) before surgical resection in locally advanced rectal cancer (LARC) patients. </w:t>
      </w:r>
      <w:r w:rsidR="000E5513" w:rsidRPr="008215CD">
        <w:rPr>
          <w:b/>
          <w:bCs/>
          <w:sz w:val="20"/>
          <w:szCs w:val="20"/>
        </w:rPr>
        <w:t>Patients and Methods:</w:t>
      </w:r>
      <w:r w:rsidR="000E5513" w:rsidRPr="008215CD">
        <w:rPr>
          <w:sz w:val="20"/>
          <w:szCs w:val="20"/>
        </w:rPr>
        <w:t xml:space="preserve"> Thirty-one </w:t>
      </w:r>
      <w:r w:rsidR="000E5513" w:rsidRPr="008215CD">
        <w:rPr>
          <w:sz w:val="20"/>
          <w:szCs w:val="20"/>
          <w:lang w:bidi="ar-SA"/>
        </w:rPr>
        <w:t xml:space="preserve">patients with LARC received induction CAPOX followed by </w:t>
      </w:r>
      <w:r w:rsidR="000E5513" w:rsidRPr="008215CD">
        <w:rPr>
          <w:sz w:val="20"/>
          <w:szCs w:val="20"/>
        </w:rPr>
        <w:t>concomitant</w:t>
      </w:r>
      <w:r w:rsidR="000E5513" w:rsidRPr="008215CD">
        <w:rPr>
          <w:sz w:val="20"/>
          <w:szCs w:val="20"/>
          <w:lang w:bidi="ar-SA"/>
        </w:rPr>
        <w:t xml:space="preserve"> RT plus </w:t>
      </w:r>
      <w:proofErr w:type="spellStart"/>
      <w:r w:rsidR="000E5513" w:rsidRPr="008215CD">
        <w:rPr>
          <w:sz w:val="20"/>
          <w:szCs w:val="20"/>
          <w:lang w:bidi="ar-SA"/>
        </w:rPr>
        <w:t>capecitabine</w:t>
      </w:r>
      <w:proofErr w:type="spellEnd"/>
      <w:r w:rsidR="000E5513" w:rsidRPr="008215CD">
        <w:rPr>
          <w:sz w:val="20"/>
          <w:szCs w:val="20"/>
          <w:lang w:bidi="ar-SA"/>
        </w:rPr>
        <w:t xml:space="preserve"> and surgery, then </w:t>
      </w:r>
      <w:r w:rsidR="000E5513" w:rsidRPr="008215CD">
        <w:rPr>
          <w:sz w:val="20"/>
          <w:szCs w:val="20"/>
        </w:rPr>
        <w:t xml:space="preserve">the patients received an additional 4 cycles of adjuvant </w:t>
      </w:r>
      <w:proofErr w:type="spellStart"/>
      <w:r w:rsidR="000E5513" w:rsidRPr="008215CD">
        <w:rPr>
          <w:sz w:val="20"/>
          <w:szCs w:val="20"/>
        </w:rPr>
        <w:t>capecitabine</w:t>
      </w:r>
      <w:proofErr w:type="spellEnd"/>
      <w:r w:rsidR="000E5513" w:rsidRPr="008215CD">
        <w:rPr>
          <w:sz w:val="20"/>
          <w:szCs w:val="20"/>
          <w:lang w:bidi="ar-SA"/>
        </w:rPr>
        <w:t xml:space="preserve">. The primary end point was an </w:t>
      </w:r>
      <w:r w:rsidR="000E5513" w:rsidRPr="008215CD">
        <w:rPr>
          <w:sz w:val="20"/>
          <w:szCs w:val="20"/>
        </w:rPr>
        <w:t>assessment of pathological complete response (</w:t>
      </w:r>
      <w:proofErr w:type="spellStart"/>
      <w:r w:rsidR="000E5513" w:rsidRPr="008215CD">
        <w:rPr>
          <w:sz w:val="20"/>
          <w:szCs w:val="20"/>
        </w:rPr>
        <w:t>pCR</w:t>
      </w:r>
      <w:proofErr w:type="spellEnd"/>
      <w:r w:rsidR="000E5513" w:rsidRPr="008215CD">
        <w:rPr>
          <w:sz w:val="20"/>
          <w:szCs w:val="20"/>
        </w:rPr>
        <w:t>) and the feasibility of surgical resection with sphincter preservation.</w:t>
      </w:r>
      <w:r w:rsidR="008215CD">
        <w:rPr>
          <w:sz w:val="20"/>
          <w:szCs w:val="20"/>
        </w:rPr>
        <w:t xml:space="preserve"> </w:t>
      </w:r>
      <w:r w:rsidR="008215CD" w:rsidRPr="008215CD">
        <w:rPr>
          <w:b/>
          <w:bCs/>
          <w:sz w:val="20"/>
          <w:szCs w:val="20"/>
        </w:rPr>
        <w:t xml:space="preserve">Results: </w:t>
      </w:r>
      <w:r w:rsidR="008215CD" w:rsidRPr="008215CD">
        <w:rPr>
          <w:sz w:val="20"/>
          <w:szCs w:val="20"/>
          <w:lang w:bidi="ar-SA"/>
        </w:rPr>
        <w:t xml:space="preserve">All patients underwent surgery and sphincter preservation procedure represented in </w:t>
      </w:r>
      <w:r w:rsidR="008215CD" w:rsidRPr="008215CD">
        <w:rPr>
          <w:sz w:val="20"/>
          <w:szCs w:val="20"/>
        </w:rPr>
        <w:t>64.5%</w:t>
      </w:r>
      <w:r w:rsidR="008215CD" w:rsidRPr="008215CD">
        <w:rPr>
          <w:sz w:val="20"/>
          <w:szCs w:val="20"/>
          <w:lang w:bidi="ar-SA"/>
        </w:rPr>
        <w:t xml:space="preserve"> of patients. Complete resection (R0) was recorded in 93.5%, T </w:t>
      </w:r>
      <w:proofErr w:type="spellStart"/>
      <w:r w:rsidR="008215CD" w:rsidRPr="008215CD">
        <w:rPr>
          <w:sz w:val="20"/>
          <w:szCs w:val="20"/>
          <w:lang w:bidi="ar-SA"/>
        </w:rPr>
        <w:t>downstaging</w:t>
      </w:r>
      <w:proofErr w:type="spellEnd"/>
      <w:r w:rsidR="008215CD" w:rsidRPr="008215CD">
        <w:rPr>
          <w:sz w:val="20"/>
          <w:szCs w:val="20"/>
          <w:lang w:bidi="ar-SA"/>
        </w:rPr>
        <w:t xml:space="preserve"> in </w:t>
      </w:r>
      <w:r w:rsidR="008215CD" w:rsidRPr="008215CD">
        <w:rPr>
          <w:sz w:val="20"/>
          <w:szCs w:val="20"/>
        </w:rPr>
        <w:t>61.3</w:t>
      </w:r>
      <w:r w:rsidR="008215CD" w:rsidRPr="008215CD">
        <w:rPr>
          <w:sz w:val="20"/>
          <w:szCs w:val="20"/>
          <w:lang w:bidi="ar-SA"/>
        </w:rPr>
        <w:t xml:space="preserve">% and N </w:t>
      </w:r>
      <w:proofErr w:type="spellStart"/>
      <w:r w:rsidR="008215CD" w:rsidRPr="008215CD">
        <w:rPr>
          <w:sz w:val="20"/>
          <w:szCs w:val="20"/>
          <w:lang w:bidi="ar-SA"/>
        </w:rPr>
        <w:t>downstaging</w:t>
      </w:r>
      <w:proofErr w:type="spellEnd"/>
      <w:r w:rsidR="008215CD" w:rsidRPr="008215CD">
        <w:rPr>
          <w:sz w:val="20"/>
          <w:szCs w:val="20"/>
          <w:lang w:bidi="ar-SA"/>
        </w:rPr>
        <w:t xml:space="preserve"> in 51.6% of patients. Pathological CR was recorded in </w:t>
      </w:r>
      <w:r w:rsidR="008215CD" w:rsidRPr="008215CD">
        <w:rPr>
          <w:sz w:val="20"/>
          <w:szCs w:val="20"/>
        </w:rPr>
        <w:t>19.4</w:t>
      </w:r>
      <w:r w:rsidR="008215CD" w:rsidRPr="008215CD">
        <w:rPr>
          <w:sz w:val="20"/>
          <w:szCs w:val="20"/>
          <w:lang w:bidi="ar-SA"/>
        </w:rPr>
        <w:t>% of patients. The 2-year overall survival (OS) and disease free survival (DFS) rates were 83</w:t>
      </w:r>
      <w:r w:rsidR="008215CD" w:rsidRPr="008215CD">
        <w:rPr>
          <w:sz w:val="20"/>
          <w:szCs w:val="20"/>
        </w:rPr>
        <w:t>%</w:t>
      </w:r>
      <w:r w:rsidR="008215CD" w:rsidRPr="008215CD">
        <w:rPr>
          <w:sz w:val="20"/>
          <w:szCs w:val="20"/>
          <w:lang w:bidi="ar-SA"/>
        </w:rPr>
        <w:t xml:space="preserve"> and 67.4%, respectively. Diarrhea was the most common grade 3/4 toxicity seen during the induction (9.7%) and </w:t>
      </w:r>
      <w:r w:rsidR="008215CD" w:rsidRPr="008215CD">
        <w:rPr>
          <w:sz w:val="20"/>
          <w:szCs w:val="20"/>
        </w:rPr>
        <w:t>concomitant</w:t>
      </w:r>
      <w:r w:rsidR="008215CD" w:rsidRPr="008215CD">
        <w:rPr>
          <w:sz w:val="20"/>
          <w:szCs w:val="20"/>
          <w:lang w:bidi="ar-SA"/>
        </w:rPr>
        <w:t xml:space="preserve"> CRT (16.1%) phases. </w:t>
      </w:r>
      <w:r w:rsidR="008215CD" w:rsidRPr="008215CD">
        <w:rPr>
          <w:b/>
          <w:bCs/>
          <w:sz w:val="20"/>
          <w:szCs w:val="20"/>
        </w:rPr>
        <w:t>Conclusions:</w:t>
      </w:r>
      <w:r w:rsidR="008215CD" w:rsidRPr="008215CD">
        <w:rPr>
          <w:sz w:val="20"/>
          <w:szCs w:val="20"/>
        </w:rPr>
        <w:t xml:space="preserve"> </w:t>
      </w:r>
      <w:r w:rsidR="008215CD" w:rsidRPr="008215CD">
        <w:rPr>
          <w:sz w:val="20"/>
          <w:szCs w:val="20"/>
          <w:lang w:bidi="ar-SA"/>
        </w:rPr>
        <w:t xml:space="preserve">Our results demonstrated that, induction CT with CAPOX followed by </w:t>
      </w:r>
      <w:r w:rsidR="008215CD" w:rsidRPr="008215CD">
        <w:rPr>
          <w:sz w:val="20"/>
          <w:szCs w:val="20"/>
        </w:rPr>
        <w:t>concomitant</w:t>
      </w:r>
      <w:r w:rsidR="008215CD" w:rsidRPr="008215CD">
        <w:rPr>
          <w:sz w:val="20"/>
          <w:szCs w:val="20"/>
          <w:lang w:bidi="ar-SA"/>
        </w:rPr>
        <w:t xml:space="preserve"> RT plus </w:t>
      </w:r>
      <w:proofErr w:type="spellStart"/>
      <w:r w:rsidR="008215CD" w:rsidRPr="008215CD">
        <w:rPr>
          <w:sz w:val="20"/>
          <w:szCs w:val="20"/>
          <w:lang w:bidi="ar-SA"/>
        </w:rPr>
        <w:t>capecitabine</w:t>
      </w:r>
      <w:proofErr w:type="spellEnd"/>
      <w:r w:rsidR="008215CD" w:rsidRPr="008215CD">
        <w:rPr>
          <w:sz w:val="20"/>
          <w:szCs w:val="20"/>
          <w:lang w:bidi="ar-SA"/>
        </w:rPr>
        <w:t xml:space="preserve"> is effective with tolerable side effects. </w:t>
      </w:r>
      <w:r w:rsidR="0050654B" w:rsidRPr="00287F1B">
        <w:rPr>
          <w:sz w:val="20"/>
          <w:szCs w:val="20"/>
          <w:lang w:bidi="ar-SA"/>
        </w:rPr>
        <w:t xml:space="preserve">Greater exposure to systemic treatment results in </w:t>
      </w:r>
      <w:r w:rsidR="0050654B">
        <w:rPr>
          <w:sz w:val="20"/>
          <w:szCs w:val="20"/>
          <w:lang w:bidi="ar-SA"/>
        </w:rPr>
        <w:t xml:space="preserve">high </w:t>
      </w:r>
      <w:r w:rsidR="0050654B" w:rsidRPr="00287F1B">
        <w:rPr>
          <w:sz w:val="20"/>
          <w:szCs w:val="20"/>
          <w:lang w:bidi="ar-SA"/>
        </w:rPr>
        <w:t xml:space="preserve">rates of tumor </w:t>
      </w:r>
      <w:proofErr w:type="spellStart"/>
      <w:r w:rsidR="0050654B" w:rsidRPr="00287F1B">
        <w:rPr>
          <w:sz w:val="20"/>
          <w:szCs w:val="20"/>
          <w:lang w:bidi="ar-SA"/>
        </w:rPr>
        <w:t>downstaging</w:t>
      </w:r>
      <w:proofErr w:type="spellEnd"/>
      <w:r w:rsidR="0050654B" w:rsidRPr="00287F1B">
        <w:rPr>
          <w:sz w:val="20"/>
          <w:szCs w:val="20"/>
          <w:lang w:bidi="ar-SA"/>
        </w:rPr>
        <w:t xml:space="preserve">, </w:t>
      </w:r>
      <w:proofErr w:type="spellStart"/>
      <w:r w:rsidR="0050654B" w:rsidRPr="00287F1B">
        <w:rPr>
          <w:sz w:val="20"/>
          <w:szCs w:val="20"/>
          <w:lang w:bidi="ar-SA"/>
        </w:rPr>
        <w:t>pCR</w:t>
      </w:r>
      <w:proofErr w:type="spellEnd"/>
      <w:r w:rsidR="0050654B" w:rsidRPr="00287F1B">
        <w:rPr>
          <w:sz w:val="20"/>
          <w:szCs w:val="20"/>
          <w:lang w:bidi="ar-SA"/>
        </w:rPr>
        <w:t>, R0 resection</w:t>
      </w:r>
      <w:r w:rsidR="0050654B">
        <w:rPr>
          <w:sz w:val="20"/>
          <w:szCs w:val="20"/>
          <w:lang w:bidi="ar-SA"/>
        </w:rPr>
        <w:t>,</w:t>
      </w:r>
      <w:r w:rsidR="0050654B" w:rsidRPr="00287F1B">
        <w:rPr>
          <w:sz w:val="20"/>
          <w:szCs w:val="20"/>
          <w:lang w:bidi="ar-SA"/>
        </w:rPr>
        <w:t xml:space="preserve"> and anal sphincter </w:t>
      </w:r>
      <w:r w:rsidR="0050654B">
        <w:rPr>
          <w:sz w:val="20"/>
          <w:szCs w:val="20"/>
          <w:lang w:bidi="ar-SA"/>
        </w:rPr>
        <w:t>sparing</w:t>
      </w:r>
      <w:r w:rsidR="0050654B" w:rsidRPr="00287F1B">
        <w:rPr>
          <w:sz w:val="20"/>
          <w:szCs w:val="20"/>
          <w:lang w:bidi="ar-SA"/>
        </w:rPr>
        <w:t xml:space="preserve"> in LARC patients.</w:t>
      </w:r>
    </w:p>
    <w:p w:rsidR="002B2928" w:rsidRPr="00E35F4D" w:rsidRDefault="00D6537E" w:rsidP="00FF22B1">
      <w:pPr>
        <w:pStyle w:val="NoSpacing"/>
        <w:bidi w:val="0"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E35F4D">
        <w:rPr>
          <w:rFonts w:ascii="Times New Roman" w:eastAsia="Times New Roman+FPEF" w:hAnsi="Times New Roman" w:cs="Times New Roman"/>
          <w:color w:val="000000"/>
          <w:sz w:val="20"/>
          <w:szCs w:val="20"/>
        </w:rPr>
        <w:t>[</w:t>
      </w:r>
      <w:r w:rsidRPr="00E35F4D">
        <w:rPr>
          <w:rFonts w:ascii="Times New Roman" w:hAnsi="Times New Roman" w:cs="Times New Roman"/>
          <w:sz w:val="20"/>
          <w:szCs w:val="20"/>
        </w:rPr>
        <w:t>Mohamed El-</w:t>
      </w:r>
      <w:proofErr w:type="spellStart"/>
      <w:r w:rsidRPr="00E35F4D">
        <w:rPr>
          <w:rFonts w:ascii="Times New Roman" w:hAnsi="Times New Roman" w:cs="Times New Roman"/>
          <w:sz w:val="20"/>
          <w:szCs w:val="20"/>
        </w:rPr>
        <w:t>Shebiney</w:t>
      </w:r>
      <w:proofErr w:type="spellEnd"/>
      <w:r w:rsidRPr="00E35F4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E35F4D">
        <w:rPr>
          <w:rFonts w:ascii="Times New Roman" w:hAnsi="Times New Roman" w:cs="Times New Roman"/>
          <w:sz w:val="20"/>
          <w:szCs w:val="20"/>
        </w:rPr>
        <w:t>Alaa</w:t>
      </w:r>
      <w:proofErr w:type="spellEnd"/>
      <w:r w:rsidRPr="00E35F4D">
        <w:rPr>
          <w:rFonts w:ascii="Times New Roman" w:hAnsi="Times New Roman" w:cs="Times New Roman"/>
          <w:sz w:val="20"/>
          <w:szCs w:val="20"/>
        </w:rPr>
        <w:t xml:space="preserve"> Maria</w:t>
      </w:r>
      <w:r w:rsidRPr="00E35F4D">
        <w:rPr>
          <w:rFonts w:ascii="Times New Roman" w:eastAsia="Times New Roman+FPEF" w:hAnsi="Times New Roman" w:cs="Times New Roman"/>
          <w:color w:val="000000"/>
          <w:sz w:val="20"/>
          <w:szCs w:val="20"/>
        </w:rPr>
        <w:t>.</w:t>
      </w:r>
      <w:proofErr w:type="gramEnd"/>
      <w:r w:rsidRPr="00E35F4D">
        <w:rPr>
          <w:rFonts w:ascii="Times New Roman" w:eastAsia="Times New Roman+FPEF" w:hAnsi="Times New Roman" w:cs="Times New Roman"/>
          <w:color w:val="000000"/>
          <w:sz w:val="20"/>
          <w:szCs w:val="20"/>
        </w:rPr>
        <w:t xml:space="preserve"> 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Induction Chemotherapy </w:t>
      </w:r>
      <w:r w:rsidR="008215CD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ith </w:t>
      </w:r>
      <w:proofErr w:type="spellStart"/>
      <w:r w:rsidRPr="00E35F4D">
        <w:rPr>
          <w:rFonts w:ascii="Times New Roman" w:hAnsi="Times New Roman" w:cs="Times New Roman"/>
          <w:b/>
          <w:bCs/>
          <w:sz w:val="20"/>
          <w:szCs w:val="20"/>
        </w:rPr>
        <w:t>Capecitabine</w:t>
      </w:r>
      <w:proofErr w:type="spellEnd"/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15CD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nd </w:t>
      </w:r>
      <w:proofErr w:type="spellStart"/>
      <w:r w:rsidRPr="00E35F4D">
        <w:rPr>
          <w:rFonts w:ascii="Times New Roman" w:hAnsi="Times New Roman" w:cs="Times New Roman"/>
          <w:b/>
          <w:bCs/>
          <w:sz w:val="20"/>
          <w:szCs w:val="20"/>
        </w:rPr>
        <w:t>Oxaliplatin</w:t>
      </w:r>
      <w:proofErr w:type="spellEnd"/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F94"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(CAPOX) 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Followed </w:t>
      </w:r>
      <w:r w:rsidR="008215CD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y Concomitant Chemoradiotherapy </w:t>
      </w:r>
      <w:r w:rsidR="008215CD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efore Surgical Resection </w:t>
      </w:r>
      <w:r w:rsidR="008215CD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 xml:space="preserve">n Patients </w:t>
      </w:r>
      <w:r w:rsidR="008215CD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E35F4D">
        <w:rPr>
          <w:rFonts w:ascii="Times New Roman" w:hAnsi="Times New Roman" w:cs="Times New Roman"/>
          <w:b/>
          <w:bCs/>
          <w:sz w:val="20"/>
          <w:szCs w:val="20"/>
        </w:rPr>
        <w:t>ith Locally Advanced Rectal Cancer</w:t>
      </w:r>
      <w:r w:rsidR="002B2928" w:rsidRPr="00E35F4D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2B2928" w:rsidRPr="00E35F4D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="002B2928" w:rsidRPr="00E35F4D">
        <w:rPr>
          <w:rFonts w:ascii="Times New Roman" w:hAnsi="Times New Roman" w:cs="Times New Roman"/>
          <w:sz w:val="20"/>
          <w:szCs w:val="20"/>
        </w:rPr>
        <w:t xml:space="preserve"> 201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>6</w:t>
      </w:r>
      <w:r w:rsidR="002B2928" w:rsidRPr="00E35F4D">
        <w:rPr>
          <w:rFonts w:ascii="Times New Roman" w:hAnsi="Times New Roman" w:cs="Times New Roman"/>
          <w:sz w:val="20"/>
          <w:szCs w:val="20"/>
        </w:rPr>
        <w:t>;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>6</w:t>
      </w:r>
      <w:r w:rsidR="002B2928" w:rsidRPr="00E35F4D">
        <w:rPr>
          <w:rFonts w:ascii="Times New Roman" w:hAnsi="Times New Roman" w:cs="Times New Roman"/>
          <w:sz w:val="20"/>
          <w:szCs w:val="20"/>
        </w:rPr>
        <w:t>(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>4</w:t>
      </w:r>
      <w:r w:rsidR="002B2928" w:rsidRPr="00E35F4D">
        <w:rPr>
          <w:rFonts w:ascii="Times New Roman" w:hAnsi="Times New Roman" w:cs="Times New Roman"/>
          <w:sz w:val="20"/>
          <w:szCs w:val="20"/>
        </w:rPr>
        <w:t>):</w:t>
      </w:r>
      <w:r w:rsidR="00C94345" w:rsidRPr="00E35F4D">
        <w:rPr>
          <w:rFonts w:ascii="Times New Roman" w:hAnsi="Times New Roman" w:cs="Times New Roman"/>
          <w:noProof/>
          <w:color w:val="000000"/>
          <w:sz w:val="20"/>
          <w:szCs w:val="20"/>
        </w:rPr>
        <w:t>32</w:t>
      </w:r>
      <w:r w:rsidR="002B2928" w:rsidRPr="00E35F4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FF22B1">
        <w:rPr>
          <w:rFonts w:ascii="Times New Roman" w:hAnsi="Times New Roman" w:cs="Times New Roman"/>
          <w:noProof/>
          <w:color w:val="000000"/>
          <w:sz w:val="20"/>
          <w:szCs w:val="20"/>
        </w:rPr>
        <w:t>39</w:t>
      </w:r>
      <w:r w:rsidR="002B2928" w:rsidRPr="00E35F4D">
        <w:rPr>
          <w:rFonts w:ascii="Times New Roman" w:hAnsi="Times New Roman" w:cs="Times New Roman"/>
          <w:sz w:val="20"/>
          <w:szCs w:val="20"/>
        </w:rPr>
        <w:t xml:space="preserve">]. </w:t>
      </w:r>
      <w:r w:rsidR="002B2928" w:rsidRPr="00E35F4D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="002B2928" w:rsidRPr="00E35F4D">
        <w:rPr>
          <w:rFonts w:ascii="Times New Roman" w:hAnsi="Times New Roman" w:cs="Times New Roman"/>
          <w:sz w:val="20"/>
          <w:szCs w:val="20"/>
        </w:rPr>
        <w:t xml:space="preserve">. </w:t>
      </w:r>
      <w:hyperlink r:id="rId10" w:history="1">
        <w:r w:rsidR="002B2928" w:rsidRPr="00E35F4D">
          <w:rPr>
            <w:rStyle w:val="Hyperlink"/>
            <w:rFonts w:ascii="Times New Roman" w:hAnsi="Times New Roman" w:cs="Times New Roman"/>
            <w:sz w:val="20"/>
            <w:szCs w:val="20"/>
          </w:rPr>
          <w:t>http://www.cancerbio.net</w:t>
        </w:r>
      </w:hyperlink>
      <w:r w:rsidR="002B2928" w:rsidRPr="00E35F4D">
        <w:rPr>
          <w:rFonts w:ascii="Times New Roman" w:hAnsi="Times New Roman" w:cs="Times New Roman"/>
          <w:sz w:val="20"/>
          <w:szCs w:val="20"/>
        </w:rPr>
        <w:t>.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B2928" w:rsidRPr="00E35F4D">
        <w:rPr>
          <w:rFonts w:ascii="Times New Roman" w:hAnsi="Times New Roman" w:cs="Times New Roman" w:hint="eastAsia"/>
          <w:sz w:val="20"/>
          <w:szCs w:val="20"/>
          <w:lang w:eastAsia="zh-CN"/>
        </w:rPr>
        <w:t>5</w:t>
      </w:r>
      <w:r w:rsidR="002B2928" w:rsidRPr="00E35F4D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gramStart"/>
      <w:r w:rsidR="002B2928" w:rsidRPr="00E35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="002B2928" w:rsidRPr="00E35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1" w:history="1">
        <w:r w:rsidR="002B2928" w:rsidRPr="00E35F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2B2928" w:rsidRPr="00E35F4D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cbj0604</w:t>
        </w:r>
        <w:r w:rsidR="002B2928" w:rsidRPr="00E35F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="002B2928" w:rsidRPr="00E35F4D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6.</w:t>
        </w:r>
        <w:r w:rsidR="002B2928" w:rsidRPr="00E35F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2B2928" w:rsidRPr="00E35F4D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5</w:t>
        </w:r>
      </w:hyperlink>
      <w:r w:rsidR="002B2928" w:rsidRPr="00E35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6537E" w:rsidRPr="00E35F4D" w:rsidRDefault="00D6537E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</w:p>
    <w:p w:rsidR="00061C00" w:rsidRPr="00061C00" w:rsidRDefault="000D088B" w:rsidP="002B2928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proofErr w:type="spellStart"/>
      <w:r w:rsidRPr="00061C00">
        <w:rPr>
          <w:b/>
          <w:bCs/>
          <w:sz w:val="20"/>
          <w:szCs w:val="20"/>
        </w:rPr>
        <w:t>KeyWords</w:t>
      </w:r>
      <w:proofErr w:type="spellEnd"/>
      <w:r w:rsidRPr="00061C00">
        <w:rPr>
          <w:b/>
          <w:bCs/>
          <w:sz w:val="20"/>
          <w:szCs w:val="20"/>
        </w:rPr>
        <w:t xml:space="preserve">: </w:t>
      </w:r>
      <w:r w:rsidR="00061C00" w:rsidRPr="00061C00">
        <w:rPr>
          <w:sz w:val="20"/>
          <w:szCs w:val="20"/>
        </w:rPr>
        <w:t xml:space="preserve">Rectal cancer, induction chemotherapy, </w:t>
      </w:r>
      <w:r w:rsidR="00061C00" w:rsidRPr="00061C00">
        <w:rPr>
          <w:sz w:val="20"/>
          <w:szCs w:val="20"/>
          <w:lang w:bidi="ar-SA"/>
        </w:rPr>
        <w:t>concomitant</w:t>
      </w:r>
      <w:r w:rsidR="00061C00" w:rsidRPr="00061C00">
        <w:rPr>
          <w:sz w:val="20"/>
          <w:szCs w:val="20"/>
        </w:rPr>
        <w:t xml:space="preserve"> chemoradiotherapy, sphincter preservation.</w:t>
      </w:r>
    </w:p>
    <w:p w:rsidR="002B2928" w:rsidRPr="00E35F4D" w:rsidRDefault="002B2928" w:rsidP="002B2928">
      <w:pPr>
        <w:snapToGrid w:val="0"/>
        <w:jc w:val="both"/>
        <w:rPr>
          <w:b/>
          <w:bCs/>
          <w:sz w:val="20"/>
          <w:szCs w:val="20"/>
        </w:rPr>
      </w:pPr>
    </w:p>
    <w:p w:rsidR="002B2928" w:rsidRPr="00E35F4D" w:rsidRDefault="002B2928" w:rsidP="002B2928">
      <w:pPr>
        <w:snapToGrid w:val="0"/>
        <w:jc w:val="both"/>
        <w:rPr>
          <w:b/>
          <w:bCs/>
          <w:sz w:val="20"/>
          <w:szCs w:val="20"/>
        </w:rPr>
        <w:sectPr w:rsidR="002B2928" w:rsidRPr="00E35F4D" w:rsidSect="00C94345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32"/>
          <w:cols w:space="708"/>
          <w:bidi/>
          <w:docGrid w:linePitch="360"/>
        </w:sectPr>
      </w:pPr>
    </w:p>
    <w:p w:rsidR="00DC5AEC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lastRenderedPageBreak/>
        <w:t xml:space="preserve">1. </w:t>
      </w:r>
      <w:r w:rsidR="00DC5AEC" w:rsidRPr="00E35F4D">
        <w:rPr>
          <w:b/>
          <w:bCs/>
          <w:sz w:val="20"/>
          <w:szCs w:val="20"/>
        </w:rPr>
        <w:t>Introduction</w:t>
      </w:r>
    </w:p>
    <w:p w:rsidR="00D669E7" w:rsidRPr="009140DE" w:rsidRDefault="00D669E7" w:rsidP="002A4C6B">
      <w:pPr>
        <w:autoSpaceDE w:val="0"/>
        <w:autoSpaceDN w:val="0"/>
        <w:adjustRightInd w:val="0"/>
        <w:snapToGrid w:val="0"/>
        <w:ind w:firstLine="360"/>
        <w:jc w:val="both"/>
        <w:rPr>
          <w:b/>
          <w:bCs/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 xml:space="preserve">Generally, LARC treatment includes RT, CT, CRT, surgery, and targeted therapy. Multimodality treatment resulting in decreased incidence of local recurrence (LR) to be &lt;10% but the incidence of distant failure still high (30%–35%). So, the main purpose of addition of induction CT is to obtain better distant disease control rather than to improve LR rate </w:t>
      </w:r>
      <w:r w:rsidRPr="009140DE">
        <w:rPr>
          <w:b/>
          <w:bCs/>
          <w:sz w:val="20"/>
          <w:szCs w:val="20"/>
          <w:lang w:bidi="ar-SA"/>
        </w:rPr>
        <w:t>[1, 2].</w:t>
      </w:r>
    </w:p>
    <w:p w:rsidR="00D669E7" w:rsidRPr="009140DE" w:rsidRDefault="00D669E7" w:rsidP="00E96ABD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 xml:space="preserve">The neoadjuvant treatment with RT or CRT </w:t>
      </w:r>
      <w:r w:rsidR="00E96ABD">
        <w:rPr>
          <w:sz w:val="20"/>
          <w:szCs w:val="20"/>
          <w:lang w:bidi="ar-SA"/>
        </w:rPr>
        <w:t>for</w:t>
      </w:r>
      <w:r w:rsidR="00E96ABD" w:rsidRPr="009140DE">
        <w:rPr>
          <w:sz w:val="20"/>
          <w:szCs w:val="20"/>
          <w:lang w:bidi="ar-SA"/>
        </w:rPr>
        <w:t xml:space="preserve"> rectal cancer </w:t>
      </w:r>
      <w:r w:rsidR="00E96ABD">
        <w:rPr>
          <w:sz w:val="20"/>
          <w:szCs w:val="20"/>
          <w:lang w:bidi="ar-SA"/>
        </w:rPr>
        <w:t>patients is</w:t>
      </w:r>
      <w:r w:rsidRPr="009140DE">
        <w:rPr>
          <w:sz w:val="20"/>
          <w:szCs w:val="20"/>
          <w:lang w:bidi="ar-SA"/>
        </w:rPr>
        <w:t xml:space="preserve"> </w:t>
      </w:r>
      <w:r w:rsidR="00E96ABD">
        <w:rPr>
          <w:sz w:val="20"/>
          <w:szCs w:val="20"/>
          <w:lang w:bidi="ar-SA"/>
        </w:rPr>
        <w:t>more effective than</w:t>
      </w:r>
      <w:r w:rsidRPr="009140DE">
        <w:rPr>
          <w:sz w:val="20"/>
          <w:szCs w:val="20"/>
          <w:lang w:bidi="ar-SA"/>
        </w:rPr>
        <w:t xml:space="preserve"> adjuvant treatment </w:t>
      </w:r>
      <w:r w:rsidRPr="009140DE">
        <w:rPr>
          <w:b/>
          <w:bCs/>
          <w:sz w:val="20"/>
          <w:szCs w:val="20"/>
          <w:lang w:bidi="ar-SA"/>
        </w:rPr>
        <w:t>[3, 4].</w:t>
      </w:r>
      <w:r w:rsidRPr="009140DE">
        <w:rPr>
          <w:sz w:val="20"/>
          <w:szCs w:val="20"/>
          <w:lang w:bidi="ar-SA"/>
        </w:rPr>
        <w:t xml:space="preserve"> About 50% of patients did not administer the full adjuvant CT dose as planned most commonly due to its side effects or patient refusal </w:t>
      </w:r>
      <w:r w:rsidRPr="009140DE">
        <w:rPr>
          <w:b/>
          <w:bCs/>
          <w:sz w:val="20"/>
          <w:szCs w:val="20"/>
          <w:lang w:bidi="ar-SA"/>
        </w:rPr>
        <w:t>[5-7].</w:t>
      </w:r>
    </w:p>
    <w:p w:rsidR="00D669E7" w:rsidRPr="009140DE" w:rsidRDefault="00B705CD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>The advantages of induction CT f</w:t>
      </w:r>
      <w:r w:rsidR="00D669E7" w:rsidRPr="009140DE">
        <w:rPr>
          <w:sz w:val="20"/>
          <w:szCs w:val="20"/>
          <w:lang w:bidi="ar-SA"/>
        </w:rPr>
        <w:t>or rectal cancer includ</w:t>
      </w:r>
      <w:r w:rsidRPr="009140DE">
        <w:rPr>
          <w:sz w:val="20"/>
          <w:szCs w:val="20"/>
          <w:lang w:bidi="ar-SA"/>
        </w:rPr>
        <w:t>e</w:t>
      </w:r>
      <w:r w:rsidR="00D669E7" w:rsidRPr="009140DE">
        <w:rPr>
          <w:sz w:val="20"/>
          <w:szCs w:val="20"/>
          <w:lang w:bidi="ar-SA"/>
        </w:rPr>
        <w:t xml:space="preserve"> </w:t>
      </w:r>
      <w:r w:rsidRPr="009140DE">
        <w:rPr>
          <w:sz w:val="20"/>
          <w:szCs w:val="20"/>
          <w:lang w:bidi="ar-SA"/>
        </w:rPr>
        <w:t>better</w:t>
      </w:r>
      <w:r w:rsidR="00D669E7" w:rsidRPr="009140DE">
        <w:rPr>
          <w:sz w:val="20"/>
          <w:szCs w:val="20"/>
          <w:lang w:bidi="ar-SA"/>
        </w:rPr>
        <w:t xml:space="preserve"> treatment compliance, delivering full CT doses with tumor </w:t>
      </w:r>
      <w:proofErr w:type="spellStart"/>
      <w:r w:rsidR="00D669E7" w:rsidRPr="009140DE">
        <w:rPr>
          <w:sz w:val="20"/>
          <w:szCs w:val="20"/>
          <w:lang w:bidi="ar-SA"/>
        </w:rPr>
        <w:t>downstaging</w:t>
      </w:r>
      <w:proofErr w:type="spellEnd"/>
      <w:r w:rsidR="00D669E7" w:rsidRPr="009140DE">
        <w:rPr>
          <w:sz w:val="20"/>
          <w:szCs w:val="20"/>
          <w:lang w:bidi="ar-SA"/>
        </w:rPr>
        <w:t xml:space="preserve"> that potentiate the effect of the local treatment. The shrinkage of the tumor </w:t>
      </w:r>
      <w:r w:rsidRPr="009140DE">
        <w:rPr>
          <w:sz w:val="20"/>
          <w:szCs w:val="20"/>
          <w:lang w:bidi="ar-SA"/>
        </w:rPr>
        <w:t>improves</w:t>
      </w:r>
      <w:r w:rsidR="00D669E7" w:rsidRPr="009140DE">
        <w:rPr>
          <w:sz w:val="20"/>
          <w:szCs w:val="20"/>
          <w:lang w:bidi="ar-SA"/>
        </w:rPr>
        <w:t xml:space="preserve"> its vascularity, oxygenation</w:t>
      </w:r>
      <w:r w:rsidR="0007506E">
        <w:rPr>
          <w:sz w:val="20"/>
          <w:szCs w:val="20"/>
          <w:lang w:bidi="ar-SA"/>
        </w:rPr>
        <w:t>,</w:t>
      </w:r>
      <w:r w:rsidR="00D669E7" w:rsidRPr="009140DE">
        <w:rPr>
          <w:sz w:val="20"/>
          <w:szCs w:val="20"/>
          <w:lang w:bidi="ar-SA"/>
        </w:rPr>
        <w:t xml:space="preserve"> and may increase cytotoxic agent's concentration </w:t>
      </w:r>
      <w:proofErr w:type="spellStart"/>
      <w:r w:rsidR="00D669E7" w:rsidRPr="009140DE">
        <w:rPr>
          <w:sz w:val="20"/>
          <w:szCs w:val="20"/>
          <w:lang w:bidi="ar-SA"/>
        </w:rPr>
        <w:t>intratumo</w:t>
      </w:r>
      <w:r w:rsidRPr="009140DE">
        <w:rPr>
          <w:sz w:val="20"/>
          <w:szCs w:val="20"/>
          <w:lang w:bidi="ar-SA"/>
        </w:rPr>
        <w:t>ral</w:t>
      </w:r>
      <w:r w:rsidR="00D669E7" w:rsidRPr="009140DE">
        <w:rPr>
          <w:sz w:val="20"/>
          <w:szCs w:val="20"/>
          <w:lang w:bidi="ar-SA"/>
        </w:rPr>
        <w:t>ly</w:t>
      </w:r>
      <w:proofErr w:type="spellEnd"/>
      <w:r w:rsidR="00D669E7" w:rsidRPr="009140DE">
        <w:rPr>
          <w:sz w:val="20"/>
          <w:szCs w:val="20"/>
          <w:lang w:bidi="ar-SA"/>
        </w:rPr>
        <w:t xml:space="preserve"> </w:t>
      </w:r>
      <w:r w:rsidR="00D669E7" w:rsidRPr="009140DE">
        <w:rPr>
          <w:b/>
          <w:bCs/>
          <w:sz w:val="20"/>
          <w:szCs w:val="20"/>
          <w:lang w:bidi="ar-SA"/>
        </w:rPr>
        <w:t>[8, 9].</w:t>
      </w:r>
    </w:p>
    <w:p w:rsidR="00B705CD" w:rsidRPr="009140DE" w:rsidRDefault="00B705CD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 xml:space="preserve">Also, induction CT aid in early eradication of distant </w:t>
      </w:r>
      <w:proofErr w:type="spellStart"/>
      <w:r w:rsidRPr="009140DE">
        <w:rPr>
          <w:sz w:val="20"/>
          <w:szCs w:val="20"/>
          <w:lang w:bidi="ar-SA"/>
        </w:rPr>
        <w:t>micrometastases</w:t>
      </w:r>
      <w:proofErr w:type="spellEnd"/>
      <w:r w:rsidRPr="009140DE">
        <w:rPr>
          <w:sz w:val="20"/>
          <w:szCs w:val="20"/>
          <w:lang w:bidi="ar-SA"/>
        </w:rPr>
        <w:t xml:space="preserve">. On the other hand, it may cause a </w:t>
      </w:r>
      <w:proofErr w:type="spellStart"/>
      <w:r w:rsidRPr="009140DE">
        <w:rPr>
          <w:sz w:val="20"/>
          <w:szCs w:val="20"/>
          <w:lang w:bidi="ar-SA"/>
        </w:rPr>
        <w:t>delayment</w:t>
      </w:r>
      <w:proofErr w:type="spellEnd"/>
      <w:r w:rsidRPr="009140DE">
        <w:rPr>
          <w:sz w:val="20"/>
          <w:szCs w:val="20"/>
          <w:lang w:bidi="ar-SA"/>
        </w:rPr>
        <w:t xml:space="preserve"> of surgical interference, may reduce CRT compliance, and</w:t>
      </w:r>
      <w:r w:rsidR="00FF030F" w:rsidRPr="009140DE">
        <w:rPr>
          <w:sz w:val="20"/>
          <w:szCs w:val="20"/>
          <w:lang w:bidi="ar-SA"/>
        </w:rPr>
        <w:t xml:space="preserve"> may</w:t>
      </w:r>
      <w:r w:rsidRPr="009140DE">
        <w:rPr>
          <w:sz w:val="20"/>
          <w:szCs w:val="20"/>
          <w:lang w:bidi="ar-SA"/>
        </w:rPr>
        <w:t xml:space="preserve"> induc</w:t>
      </w:r>
      <w:r w:rsidR="00FF030F" w:rsidRPr="009140DE">
        <w:rPr>
          <w:sz w:val="20"/>
          <w:szCs w:val="20"/>
          <w:lang w:bidi="ar-SA"/>
        </w:rPr>
        <w:t>e an</w:t>
      </w:r>
      <w:r w:rsidRPr="009140DE">
        <w:rPr>
          <w:sz w:val="20"/>
          <w:szCs w:val="20"/>
          <w:lang w:bidi="ar-SA"/>
        </w:rPr>
        <w:t xml:space="preserve"> accelerated repopulation </w:t>
      </w:r>
      <w:r w:rsidRPr="009140DE">
        <w:rPr>
          <w:b/>
          <w:bCs/>
          <w:sz w:val="20"/>
          <w:szCs w:val="20"/>
          <w:lang w:bidi="ar-SA"/>
        </w:rPr>
        <w:t>[10]</w:t>
      </w:r>
      <w:r w:rsidRPr="009140DE">
        <w:rPr>
          <w:sz w:val="20"/>
          <w:szCs w:val="20"/>
          <w:lang w:bidi="ar-SA"/>
        </w:rPr>
        <w:t>.</w:t>
      </w:r>
    </w:p>
    <w:p w:rsidR="00B705CD" w:rsidRPr="009140DE" w:rsidRDefault="00B705CD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</w:p>
    <w:p w:rsidR="00FF030F" w:rsidRPr="009140DE" w:rsidRDefault="00FF030F" w:rsidP="00BE4769">
      <w:pPr>
        <w:autoSpaceDE w:val="0"/>
        <w:autoSpaceDN w:val="0"/>
        <w:adjustRightInd w:val="0"/>
        <w:snapToGrid w:val="0"/>
        <w:ind w:firstLine="360"/>
        <w:jc w:val="both"/>
        <w:rPr>
          <w:b/>
          <w:bCs/>
          <w:sz w:val="20"/>
          <w:szCs w:val="20"/>
          <w:lang w:bidi="ar-SA"/>
        </w:rPr>
      </w:pPr>
      <w:proofErr w:type="spellStart"/>
      <w:r w:rsidRPr="009140DE">
        <w:rPr>
          <w:sz w:val="20"/>
          <w:szCs w:val="20"/>
          <w:lang w:bidi="ar-SA"/>
        </w:rPr>
        <w:lastRenderedPageBreak/>
        <w:t>Chau</w:t>
      </w:r>
      <w:proofErr w:type="spellEnd"/>
      <w:r w:rsidRPr="009140DE">
        <w:rPr>
          <w:sz w:val="20"/>
          <w:szCs w:val="20"/>
          <w:lang w:bidi="ar-SA"/>
        </w:rPr>
        <w:t xml:space="preserve"> et al.</w:t>
      </w:r>
      <w:r w:rsidR="00605D57" w:rsidRPr="00605D57">
        <w:rPr>
          <w:b/>
          <w:bCs/>
          <w:sz w:val="20"/>
          <w:szCs w:val="20"/>
          <w:lang w:bidi="ar-SA"/>
        </w:rPr>
        <w:t xml:space="preserve"> </w:t>
      </w:r>
      <w:r w:rsidR="00605D57" w:rsidRPr="009140DE">
        <w:rPr>
          <w:b/>
          <w:bCs/>
          <w:sz w:val="20"/>
          <w:szCs w:val="20"/>
          <w:lang w:bidi="ar-SA"/>
        </w:rPr>
        <w:t>[11]</w:t>
      </w:r>
      <w:r w:rsidRPr="009140DE">
        <w:rPr>
          <w:sz w:val="20"/>
          <w:szCs w:val="20"/>
          <w:lang w:bidi="ar-SA"/>
        </w:rPr>
        <w:t xml:space="preserve"> reported that, induction CAPOX before concomitant CRT (</w:t>
      </w:r>
      <w:proofErr w:type="spellStart"/>
      <w:r w:rsidRPr="009140DE">
        <w:rPr>
          <w:sz w:val="20"/>
          <w:szCs w:val="20"/>
          <w:lang w:bidi="ar-SA"/>
        </w:rPr>
        <w:t>capecitabine</w:t>
      </w:r>
      <w:proofErr w:type="spellEnd"/>
      <w:r w:rsidRPr="009140DE">
        <w:rPr>
          <w:sz w:val="20"/>
          <w:szCs w:val="20"/>
          <w:lang w:bidi="ar-SA"/>
        </w:rPr>
        <w:t xml:space="preserve">/RT) and total </w:t>
      </w:r>
      <w:proofErr w:type="spellStart"/>
      <w:r w:rsidRPr="009140DE">
        <w:rPr>
          <w:sz w:val="20"/>
          <w:szCs w:val="20"/>
          <w:lang w:bidi="ar-SA"/>
        </w:rPr>
        <w:t>mesorectal</w:t>
      </w:r>
      <w:proofErr w:type="spellEnd"/>
      <w:r w:rsidRPr="009140DE">
        <w:rPr>
          <w:sz w:val="20"/>
          <w:szCs w:val="20"/>
          <w:lang w:bidi="ar-SA"/>
        </w:rPr>
        <w:t xml:space="preserve"> excision (TME) in patients with </w:t>
      </w:r>
      <w:r w:rsidR="00E96ABD">
        <w:rPr>
          <w:sz w:val="20"/>
          <w:szCs w:val="20"/>
          <w:lang w:bidi="ar-SA"/>
        </w:rPr>
        <w:t>LARC</w:t>
      </w:r>
      <w:r w:rsidRPr="009140DE">
        <w:rPr>
          <w:sz w:val="20"/>
          <w:szCs w:val="20"/>
          <w:lang w:bidi="ar-SA"/>
        </w:rPr>
        <w:t xml:space="preserve"> results in rapid symptomatic response, significant tumor regression, 24% </w:t>
      </w:r>
      <w:proofErr w:type="spellStart"/>
      <w:r w:rsidRPr="009140DE">
        <w:rPr>
          <w:sz w:val="20"/>
          <w:szCs w:val="20"/>
          <w:lang w:bidi="ar-SA"/>
        </w:rPr>
        <w:t>pCR</w:t>
      </w:r>
      <w:proofErr w:type="spellEnd"/>
      <w:r w:rsidRPr="009140DE">
        <w:rPr>
          <w:sz w:val="20"/>
          <w:szCs w:val="20"/>
          <w:lang w:bidi="ar-SA"/>
        </w:rPr>
        <w:t xml:space="preserve"> rate and 99% R0</w:t>
      </w:r>
      <w:r w:rsidRPr="009140DE">
        <w:rPr>
          <w:b/>
          <w:bCs/>
          <w:sz w:val="20"/>
          <w:szCs w:val="20"/>
          <w:lang w:bidi="ar-SA"/>
        </w:rPr>
        <w:t>.</w:t>
      </w:r>
    </w:p>
    <w:p w:rsidR="00FF030F" w:rsidRPr="009140DE" w:rsidRDefault="00FF030F" w:rsidP="00D55BA2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>Ch</w:t>
      </w:r>
      <w:r w:rsidR="00D55BA2">
        <w:rPr>
          <w:sz w:val="20"/>
          <w:szCs w:val="20"/>
          <w:lang w:bidi="ar-SA"/>
        </w:rPr>
        <w:t>u</w:t>
      </w:r>
      <w:r w:rsidRPr="009140DE">
        <w:rPr>
          <w:sz w:val="20"/>
          <w:szCs w:val="20"/>
          <w:lang w:bidi="ar-SA"/>
        </w:rPr>
        <w:t xml:space="preserve">a et al. </w:t>
      </w:r>
      <w:r w:rsidR="00605D57" w:rsidRPr="009140DE">
        <w:rPr>
          <w:b/>
          <w:bCs/>
          <w:sz w:val="20"/>
          <w:szCs w:val="20"/>
          <w:lang w:bidi="ar-SA"/>
        </w:rPr>
        <w:t>[12]</w:t>
      </w:r>
      <w:r w:rsidR="00605D57">
        <w:rPr>
          <w:b/>
          <w:bCs/>
          <w:sz w:val="20"/>
          <w:szCs w:val="20"/>
          <w:lang w:bidi="ar-SA"/>
        </w:rPr>
        <w:t xml:space="preserve"> </w:t>
      </w:r>
      <w:r w:rsidRPr="009140DE">
        <w:rPr>
          <w:sz w:val="20"/>
          <w:szCs w:val="20"/>
          <w:lang w:bidi="ar-SA"/>
        </w:rPr>
        <w:t xml:space="preserve">assessed the use of induction CAPOX every 3 weeks for 4 cycles, followed by </w:t>
      </w:r>
      <w:proofErr w:type="spellStart"/>
      <w:r w:rsidRPr="009140DE">
        <w:rPr>
          <w:sz w:val="20"/>
          <w:szCs w:val="20"/>
          <w:lang w:bidi="ar-SA"/>
        </w:rPr>
        <w:t>capecitabine</w:t>
      </w:r>
      <w:proofErr w:type="spellEnd"/>
      <w:r w:rsidRPr="009140DE">
        <w:rPr>
          <w:sz w:val="20"/>
          <w:szCs w:val="20"/>
          <w:lang w:bidi="ar-SA"/>
        </w:rPr>
        <w:t xml:space="preserve"> concomitant with RT (54 </w:t>
      </w:r>
      <w:proofErr w:type="spellStart"/>
      <w:r w:rsidRPr="009140DE">
        <w:rPr>
          <w:sz w:val="20"/>
          <w:szCs w:val="20"/>
          <w:lang w:bidi="ar-SA"/>
        </w:rPr>
        <w:t>Gy</w:t>
      </w:r>
      <w:proofErr w:type="spellEnd"/>
      <w:r w:rsidRPr="009140DE">
        <w:rPr>
          <w:sz w:val="20"/>
          <w:szCs w:val="20"/>
          <w:lang w:bidi="ar-SA"/>
        </w:rPr>
        <w:t xml:space="preserve">/6 weeks), </w:t>
      </w:r>
      <w:r w:rsidR="003D6812" w:rsidRPr="009140DE">
        <w:rPr>
          <w:sz w:val="20"/>
          <w:szCs w:val="20"/>
          <w:lang w:bidi="ar-SA"/>
        </w:rPr>
        <w:t>and followed</w:t>
      </w:r>
      <w:r w:rsidRPr="009140DE">
        <w:rPr>
          <w:sz w:val="20"/>
          <w:szCs w:val="20"/>
          <w:lang w:bidi="ar-SA"/>
        </w:rPr>
        <w:t xml:space="preserve"> by </w:t>
      </w:r>
      <w:r w:rsidR="003D6812" w:rsidRPr="009140DE">
        <w:rPr>
          <w:sz w:val="20"/>
          <w:szCs w:val="20"/>
          <w:lang w:bidi="ar-SA"/>
        </w:rPr>
        <w:t>TME</w:t>
      </w:r>
      <w:r w:rsidRPr="009140DE">
        <w:rPr>
          <w:sz w:val="20"/>
          <w:szCs w:val="20"/>
          <w:lang w:bidi="ar-SA"/>
        </w:rPr>
        <w:t xml:space="preserve"> and adjuvant </w:t>
      </w:r>
      <w:proofErr w:type="spellStart"/>
      <w:r w:rsidRPr="009140DE">
        <w:rPr>
          <w:sz w:val="20"/>
          <w:szCs w:val="20"/>
          <w:lang w:bidi="ar-SA"/>
        </w:rPr>
        <w:t>capecitabine</w:t>
      </w:r>
      <w:proofErr w:type="spellEnd"/>
      <w:r w:rsidRPr="009140DE">
        <w:rPr>
          <w:sz w:val="20"/>
          <w:szCs w:val="20"/>
          <w:lang w:bidi="ar-SA"/>
        </w:rPr>
        <w:t xml:space="preserve"> for 12 weeks. After induction phase and concomitant phase the radiological response rates (RR) were 74% and 89%, respectively. The overall survival (OS) and progression free survival (PFS) rates at 3-years were 83% and 68%, respectively with 20% </w:t>
      </w:r>
      <w:proofErr w:type="spellStart"/>
      <w:r w:rsidRPr="009140DE">
        <w:rPr>
          <w:sz w:val="20"/>
          <w:szCs w:val="20"/>
          <w:lang w:bidi="ar-SA"/>
        </w:rPr>
        <w:t>pCR</w:t>
      </w:r>
      <w:proofErr w:type="spellEnd"/>
      <w:r w:rsidRPr="009140DE">
        <w:rPr>
          <w:sz w:val="20"/>
          <w:szCs w:val="20"/>
          <w:lang w:bidi="ar-SA"/>
        </w:rPr>
        <w:t xml:space="preserve"> rate</w:t>
      </w:r>
      <w:r w:rsidRPr="009140DE">
        <w:rPr>
          <w:b/>
          <w:bCs/>
          <w:sz w:val="20"/>
          <w:szCs w:val="20"/>
          <w:lang w:bidi="ar-SA"/>
        </w:rPr>
        <w:t>.</w:t>
      </w:r>
    </w:p>
    <w:p w:rsidR="00B30BB0" w:rsidRPr="009140DE" w:rsidRDefault="003D6812" w:rsidP="00856B00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9140DE">
        <w:rPr>
          <w:sz w:val="20"/>
          <w:szCs w:val="20"/>
          <w:lang w:bidi="ar-SA"/>
        </w:rPr>
        <w:t>Based</w:t>
      </w:r>
      <w:r w:rsidR="00EE6858" w:rsidRPr="009140DE">
        <w:rPr>
          <w:sz w:val="20"/>
          <w:szCs w:val="20"/>
          <w:lang w:bidi="ar-SA"/>
        </w:rPr>
        <w:t xml:space="preserve"> o</w:t>
      </w:r>
      <w:r w:rsidRPr="009140DE">
        <w:rPr>
          <w:sz w:val="20"/>
          <w:szCs w:val="20"/>
          <w:lang w:bidi="ar-SA"/>
        </w:rPr>
        <w:t>n</w:t>
      </w:r>
      <w:r w:rsidR="00EE6858" w:rsidRPr="009140DE">
        <w:rPr>
          <w:sz w:val="20"/>
          <w:szCs w:val="20"/>
          <w:lang w:bidi="ar-SA"/>
        </w:rPr>
        <w:t xml:space="preserve"> these encouraging results, </w:t>
      </w:r>
      <w:r w:rsidR="00856B00">
        <w:rPr>
          <w:sz w:val="20"/>
          <w:szCs w:val="20"/>
          <w:lang w:bidi="ar-SA"/>
        </w:rPr>
        <w:t>we aimed to evaluate</w:t>
      </w:r>
      <w:r w:rsidR="00261916" w:rsidRPr="009140DE">
        <w:rPr>
          <w:sz w:val="20"/>
          <w:szCs w:val="20"/>
          <w:lang w:bidi="ar-SA"/>
        </w:rPr>
        <w:t xml:space="preserve"> the </w:t>
      </w:r>
      <w:r w:rsidRPr="009140DE">
        <w:rPr>
          <w:sz w:val="20"/>
          <w:szCs w:val="20"/>
          <w:lang w:bidi="ar-SA"/>
        </w:rPr>
        <w:t xml:space="preserve">safety and </w:t>
      </w:r>
      <w:r w:rsidR="00261916" w:rsidRPr="009140DE">
        <w:rPr>
          <w:sz w:val="20"/>
          <w:szCs w:val="20"/>
          <w:lang w:bidi="ar-SA"/>
        </w:rPr>
        <w:t>efficacy of</w:t>
      </w:r>
      <w:r w:rsidR="00EE6858" w:rsidRPr="009140DE">
        <w:rPr>
          <w:sz w:val="20"/>
          <w:szCs w:val="20"/>
          <w:lang w:bidi="ar-SA"/>
        </w:rPr>
        <w:t xml:space="preserve"> </w:t>
      </w:r>
      <w:r w:rsidR="00261916" w:rsidRPr="009140DE">
        <w:rPr>
          <w:sz w:val="20"/>
          <w:szCs w:val="20"/>
          <w:lang w:bidi="ar-SA"/>
        </w:rPr>
        <w:t xml:space="preserve">CAPOX as induction </w:t>
      </w:r>
      <w:r w:rsidR="00170683" w:rsidRPr="009140DE">
        <w:rPr>
          <w:sz w:val="20"/>
          <w:szCs w:val="20"/>
          <w:lang w:bidi="ar-SA"/>
        </w:rPr>
        <w:t>CT</w:t>
      </w:r>
      <w:r w:rsidR="00261916" w:rsidRPr="009140DE">
        <w:rPr>
          <w:sz w:val="20"/>
          <w:szCs w:val="20"/>
          <w:lang w:bidi="ar-SA"/>
        </w:rPr>
        <w:t xml:space="preserve"> </w:t>
      </w:r>
      <w:r w:rsidR="00EE6858" w:rsidRPr="009140DE">
        <w:rPr>
          <w:sz w:val="20"/>
          <w:szCs w:val="20"/>
          <w:lang w:bidi="ar-SA"/>
        </w:rPr>
        <w:t>with preoperative</w:t>
      </w:r>
      <w:r w:rsidR="001C4264" w:rsidRPr="009140DE">
        <w:rPr>
          <w:sz w:val="20"/>
          <w:szCs w:val="20"/>
          <w:lang w:bidi="ar-SA"/>
        </w:rPr>
        <w:t xml:space="preserve"> concomitant</w:t>
      </w:r>
      <w:r w:rsidR="003A5E91" w:rsidRPr="009140DE">
        <w:rPr>
          <w:sz w:val="20"/>
          <w:szCs w:val="20"/>
          <w:lang w:bidi="ar-SA"/>
        </w:rPr>
        <w:t xml:space="preserve"> </w:t>
      </w:r>
      <w:smartTag w:uri="urn:schemas-microsoft-com:office:smarttags" w:element="stockticker">
        <w:r w:rsidR="00EE6858" w:rsidRPr="009140DE">
          <w:rPr>
            <w:sz w:val="20"/>
            <w:szCs w:val="20"/>
            <w:lang w:bidi="ar-SA"/>
          </w:rPr>
          <w:t>CRT</w:t>
        </w:r>
      </w:smartTag>
      <w:r w:rsidR="00EE6858" w:rsidRPr="009140DE">
        <w:rPr>
          <w:sz w:val="20"/>
          <w:szCs w:val="20"/>
          <w:lang w:bidi="ar-SA"/>
        </w:rPr>
        <w:t xml:space="preserve"> </w:t>
      </w:r>
      <w:r w:rsidR="003F371B" w:rsidRPr="009140DE">
        <w:rPr>
          <w:sz w:val="20"/>
          <w:szCs w:val="20"/>
        </w:rPr>
        <w:t xml:space="preserve">with </w:t>
      </w:r>
      <w:proofErr w:type="spellStart"/>
      <w:r w:rsidR="003F371B" w:rsidRPr="009140DE">
        <w:rPr>
          <w:sz w:val="20"/>
          <w:szCs w:val="20"/>
        </w:rPr>
        <w:t>capecitabine</w:t>
      </w:r>
      <w:proofErr w:type="spellEnd"/>
      <w:r w:rsidR="00BF53C3" w:rsidRPr="009140DE">
        <w:rPr>
          <w:sz w:val="20"/>
          <w:szCs w:val="20"/>
          <w:lang w:bidi="ar-SA"/>
        </w:rPr>
        <w:t xml:space="preserve"> </w:t>
      </w:r>
      <w:r w:rsidR="00EE6858" w:rsidRPr="009140DE">
        <w:rPr>
          <w:sz w:val="20"/>
          <w:szCs w:val="20"/>
          <w:lang w:bidi="ar-SA"/>
        </w:rPr>
        <w:t>followed by surgery and adjuvant CT</w:t>
      </w:r>
      <w:r w:rsidR="004B6786" w:rsidRPr="009140DE">
        <w:rPr>
          <w:sz w:val="20"/>
          <w:szCs w:val="20"/>
          <w:lang w:bidi="ar-SA"/>
        </w:rPr>
        <w:t xml:space="preserve"> in treating </w:t>
      </w:r>
      <w:r w:rsidR="00CE5100">
        <w:rPr>
          <w:sz w:val="20"/>
          <w:szCs w:val="20"/>
          <w:lang w:bidi="ar-SA"/>
        </w:rPr>
        <w:t>LARC</w:t>
      </w:r>
      <w:r w:rsidR="004B6786" w:rsidRPr="009140DE">
        <w:rPr>
          <w:sz w:val="20"/>
          <w:szCs w:val="20"/>
          <w:lang w:bidi="ar-SA"/>
        </w:rPr>
        <w:t xml:space="preserve"> patients</w:t>
      </w:r>
      <w:r w:rsidR="00EE6858" w:rsidRPr="009140DE">
        <w:rPr>
          <w:sz w:val="20"/>
          <w:szCs w:val="20"/>
          <w:lang w:bidi="ar-SA"/>
        </w:rPr>
        <w:t>.</w:t>
      </w:r>
    </w:p>
    <w:p w:rsidR="009B1AE2" w:rsidRPr="009140DE" w:rsidRDefault="009B1AE2" w:rsidP="002B2928">
      <w:pPr>
        <w:snapToGrid w:val="0"/>
        <w:jc w:val="both"/>
        <w:rPr>
          <w:b/>
          <w:bCs/>
          <w:sz w:val="20"/>
          <w:szCs w:val="20"/>
        </w:rPr>
      </w:pPr>
    </w:p>
    <w:p w:rsidR="00971498" w:rsidRPr="009140DE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9140DE">
        <w:rPr>
          <w:b/>
          <w:bCs/>
          <w:sz w:val="20"/>
          <w:szCs w:val="20"/>
        </w:rPr>
        <w:t xml:space="preserve">2. </w:t>
      </w:r>
      <w:r w:rsidR="00E515E1" w:rsidRPr="009140DE">
        <w:rPr>
          <w:b/>
          <w:bCs/>
          <w:sz w:val="20"/>
          <w:szCs w:val="20"/>
        </w:rPr>
        <w:t>Patients</w:t>
      </w:r>
      <w:r w:rsidR="00971498" w:rsidRPr="009140DE">
        <w:rPr>
          <w:b/>
          <w:bCs/>
          <w:sz w:val="20"/>
          <w:szCs w:val="20"/>
        </w:rPr>
        <w:t xml:space="preserve"> and </w:t>
      </w:r>
      <w:r w:rsidRPr="009140DE">
        <w:rPr>
          <w:b/>
          <w:bCs/>
          <w:sz w:val="20"/>
          <w:szCs w:val="20"/>
        </w:rPr>
        <w:t>M</w:t>
      </w:r>
      <w:r w:rsidR="00971498" w:rsidRPr="009140DE">
        <w:rPr>
          <w:b/>
          <w:bCs/>
          <w:sz w:val="20"/>
          <w:szCs w:val="20"/>
        </w:rPr>
        <w:t>ethods</w:t>
      </w:r>
    </w:p>
    <w:p w:rsidR="00971498" w:rsidRPr="00131F3A" w:rsidRDefault="00971498" w:rsidP="00856B00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9140DE">
        <w:rPr>
          <w:sz w:val="20"/>
          <w:szCs w:val="20"/>
        </w:rPr>
        <w:t>This is a</w:t>
      </w:r>
      <w:r w:rsidRPr="009140DE">
        <w:rPr>
          <w:rFonts w:eastAsia="Scala"/>
          <w:sz w:val="20"/>
          <w:szCs w:val="20"/>
        </w:rPr>
        <w:t xml:space="preserve"> </w:t>
      </w:r>
      <w:r w:rsidRPr="009140DE">
        <w:rPr>
          <w:sz w:val="20"/>
          <w:szCs w:val="20"/>
        </w:rPr>
        <w:t>prospective phase II si</w:t>
      </w:r>
      <w:r w:rsidR="00D4227E" w:rsidRPr="009140DE">
        <w:rPr>
          <w:sz w:val="20"/>
          <w:szCs w:val="20"/>
        </w:rPr>
        <w:t>n</w:t>
      </w:r>
      <w:r w:rsidRPr="009140DE">
        <w:rPr>
          <w:sz w:val="20"/>
          <w:szCs w:val="20"/>
        </w:rPr>
        <w:t>gle</w:t>
      </w:r>
      <w:r w:rsidRPr="00E35F4D">
        <w:rPr>
          <w:sz w:val="20"/>
          <w:szCs w:val="20"/>
        </w:rPr>
        <w:t xml:space="preserve"> arm study</w:t>
      </w:r>
      <w:r w:rsidR="001C4264" w:rsidRPr="00E35F4D">
        <w:rPr>
          <w:sz w:val="20"/>
          <w:szCs w:val="20"/>
        </w:rPr>
        <w:t xml:space="preserve"> </w:t>
      </w:r>
      <w:r w:rsidR="00D639B1" w:rsidRPr="00E35F4D">
        <w:rPr>
          <w:sz w:val="20"/>
          <w:szCs w:val="20"/>
        </w:rPr>
        <w:t xml:space="preserve">performed </w:t>
      </w:r>
      <w:r w:rsidRPr="00E35F4D">
        <w:rPr>
          <w:sz w:val="20"/>
          <w:szCs w:val="20"/>
          <w:lang w:bidi="ar-SA"/>
        </w:rPr>
        <w:t xml:space="preserve">at </w:t>
      </w:r>
      <w:r w:rsidRPr="00E35F4D">
        <w:rPr>
          <w:sz w:val="20"/>
          <w:szCs w:val="20"/>
        </w:rPr>
        <w:t xml:space="preserve">Clinical Oncology </w:t>
      </w:r>
      <w:r w:rsidRPr="00E35F4D">
        <w:rPr>
          <w:color w:val="000000"/>
          <w:sz w:val="20"/>
          <w:szCs w:val="20"/>
        </w:rPr>
        <w:t>Department</w:t>
      </w:r>
      <w:r w:rsidR="00D639B1" w:rsidRPr="00E35F4D">
        <w:rPr>
          <w:color w:val="000000"/>
          <w:sz w:val="20"/>
          <w:szCs w:val="20"/>
        </w:rPr>
        <w:t>,</w:t>
      </w:r>
      <w:r w:rsidRPr="00E35F4D">
        <w:rPr>
          <w:color w:val="000000"/>
          <w:sz w:val="20"/>
          <w:szCs w:val="20"/>
        </w:rPr>
        <w:t xml:space="preserve"> Tanta University hospital</w:t>
      </w:r>
      <w:r w:rsidR="00D639B1" w:rsidRPr="00E35F4D">
        <w:rPr>
          <w:color w:val="000000"/>
          <w:sz w:val="20"/>
          <w:szCs w:val="20"/>
        </w:rPr>
        <w:t xml:space="preserve">, </w:t>
      </w:r>
      <w:r w:rsidR="00123D50" w:rsidRPr="00E35F4D">
        <w:rPr>
          <w:color w:val="000000"/>
          <w:sz w:val="20"/>
          <w:szCs w:val="20"/>
        </w:rPr>
        <w:t>throughout the</w:t>
      </w:r>
      <w:r w:rsidRPr="00E35F4D">
        <w:rPr>
          <w:color w:val="000000"/>
          <w:sz w:val="20"/>
          <w:szCs w:val="20"/>
          <w:lang w:bidi="ar-SA"/>
        </w:rPr>
        <w:t xml:space="preserve"> period between </w:t>
      </w:r>
      <w:r w:rsidR="00D41DD6" w:rsidRPr="00E35F4D">
        <w:rPr>
          <w:color w:val="000000"/>
          <w:sz w:val="20"/>
          <w:szCs w:val="20"/>
          <w:lang w:bidi="ar-SA"/>
        </w:rPr>
        <w:t>June</w:t>
      </w:r>
      <w:r w:rsidR="00947DE8"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  <w:lang w:bidi="ar-SA"/>
        </w:rPr>
        <w:t>201</w:t>
      </w:r>
      <w:r w:rsidR="00C15778" w:rsidRPr="00E35F4D">
        <w:rPr>
          <w:color w:val="000000"/>
          <w:sz w:val="20"/>
          <w:szCs w:val="20"/>
          <w:lang w:bidi="ar-SA"/>
        </w:rPr>
        <w:t>3</w:t>
      </w:r>
      <w:r w:rsidRPr="00E35F4D">
        <w:rPr>
          <w:color w:val="000000"/>
          <w:sz w:val="20"/>
          <w:szCs w:val="20"/>
          <w:lang w:bidi="ar-SA"/>
        </w:rPr>
        <w:t xml:space="preserve"> and</w:t>
      </w:r>
      <w:r w:rsidRPr="00E35F4D">
        <w:rPr>
          <w:sz w:val="20"/>
          <w:szCs w:val="20"/>
          <w:lang w:bidi="ar-SA"/>
        </w:rPr>
        <w:t xml:space="preserve"> </w:t>
      </w:r>
      <w:r w:rsidR="00AA62AC" w:rsidRPr="00E35F4D">
        <w:rPr>
          <w:sz w:val="20"/>
          <w:szCs w:val="20"/>
          <w:lang w:bidi="ar-SA"/>
        </w:rPr>
        <w:t>December</w:t>
      </w:r>
      <w:r w:rsidR="00947DE8"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>201</w:t>
      </w:r>
      <w:r w:rsidR="00C15778" w:rsidRPr="00E35F4D">
        <w:rPr>
          <w:sz w:val="20"/>
          <w:szCs w:val="20"/>
          <w:lang w:bidi="ar-SA"/>
        </w:rPr>
        <w:t>5</w:t>
      </w:r>
      <w:r w:rsidR="00DE33A0" w:rsidRPr="00E35F4D">
        <w:rPr>
          <w:sz w:val="20"/>
          <w:szCs w:val="20"/>
          <w:lang w:bidi="ar-SA"/>
        </w:rPr>
        <w:t>. Thirty-one</w:t>
      </w:r>
      <w:r w:rsidR="00D639B1" w:rsidRPr="00E35F4D">
        <w:rPr>
          <w:sz w:val="20"/>
          <w:szCs w:val="20"/>
          <w:lang w:bidi="ar-SA"/>
        </w:rPr>
        <w:t xml:space="preserve"> patients with </w:t>
      </w:r>
      <w:r w:rsidR="00D639B1" w:rsidRPr="00131F3A">
        <w:rPr>
          <w:sz w:val="20"/>
          <w:szCs w:val="20"/>
          <w:lang w:bidi="ar-SA"/>
        </w:rPr>
        <w:t xml:space="preserve">locally advanced </w:t>
      </w:r>
      <w:r w:rsidR="00484122" w:rsidRPr="00131F3A">
        <w:rPr>
          <w:sz w:val="20"/>
          <w:szCs w:val="20"/>
          <w:lang w:bidi="ar-SA"/>
        </w:rPr>
        <w:t xml:space="preserve">rectal </w:t>
      </w:r>
      <w:r w:rsidR="00D639B1" w:rsidRPr="00131F3A">
        <w:rPr>
          <w:sz w:val="20"/>
          <w:szCs w:val="20"/>
          <w:lang w:bidi="ar-SA"/>
        </w:rPr>
        <w:t>adenocarcinoma were enrolled</w:t>
      </w:r>
      <w:r w:rsidR="00F521C2" w:rsidRPr="00131F3A">
        <w:rPr>
          <w:sz w:val="20"/>
          <w:szCs w:val="20"/>
          <w:lang w:bidi="ar-SA"/>
        </w:rPr>
        <w:t xml:space="preserve"> with a</w:t>
      </w:r>
      <w:r w:rsidRPr="00131F3A">
        <w:rPr>
          <w:sz w:val="20"/>
          <w:szCs w:val="20"/>
          <w:lang w:bidi="ar-SA"/>
        </w:rPr>
        <w:t xml:space="preserve"> minimum follow</w:t>
      </w:r>
      <w:r w:rsidR="00DE33A0" w:rsidRPr="00131F3A">
        <w:rPr>
          <w:sz w:val="20"/>
          <w:szCs w:val="20"/>
          <w:lang w:bidi="ar-SA"/>
        </w:rPr>
        <w:t>-</w:t>
      </w:r>
      <w:r w:rsidRPr="00131F3A">
        <w:rPr>
          <w:sz w:val="20"/>
          <w:szCs w:val="20"/>
          <w:lang w:bidi="ar-SA"/>
        </w:rPr>
        <w:t xml:space="preserve">up period of 6 </w:t>
      </w:r>
      <w:r w:rsidRPr="00131F3A">
        <w:rPr>
          <w:sz w:val="20"/>
          <w:szCs w:val="20"/>
          <w:lang w:bidi="ar-SA"/>
        </w:rPr>
        <w:lastRenderedPageBreak/>
        <w:t>months.</w:t>
      </w:r>
      <w:r w:rsidR="00131F3A" w:rsidRPr="00131F3A">
        <w:rPr>
          <w:sz w:val="20"/>
          <w:szCs w:val="20"/>
          <w:lang w:bidi="ar-SA"/>
        </w:rPr>
        <w:t xml:space="preserve"> A</w:t>
      </w:r>
      <w:r w:rsidR="00856B00">
        <w:rPr>
          <w:sz w:val="20"/>
          <w:szCs w:val="20"/>
          <w:lang w:bidi="ar-SA"/>
        </w:rPr>
        <w:t>n</w:t>
      </w:r>
      <w:r w:rsidR="00131F3A" w:rsidRPr="00131F3A">
        <w:rPr>
          <w:sz w:val="20"/>
          <w:szCs w:val="20"/>
          <w:lang w:bidi="ar-SA"/>
        </w:rPr>
        <w:t xml:space="preserve"> informed consent was obtained from all patients.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131F3A" w:rsidRDefault="00CC06CA" w:rsidP="002B2928">
      <w:pPr>
        <w:snapToGrid w:val="0"/>
        <w:jc w:val="both"/>
        <w:rPr>
          <w:b/>
          <w:bCs/>
          <w:sz w:val="20"/>
          <w:szCs w:val="20"/>
        </w:rPr>
      </w:pPr>
      <w:r w:rsidRPr="00131F3A">
        <w:rPr>
          <w:b/>
          <w:bCs/>
          <w:sz w:val="20"/>
          <w:szCs w:val="20"/>
        </w:rPr>
        <w:t>E</w:t>
      </w:r>
      <w:r w:rsidR="00971498" w:rsidRPr="00131F3A">
        <w:rPr>
          <w:b/>
          <w:bCs/>
          <w:sz w:val="20"/>
          <w:szCs w:val="20"/>
        </w:rPr>
        <w:t>ligibility criteria</w:t>
      </w:r>
    </w:p>
    <w:p w:rsidR="00971498" w:rsidRPr="00131F3A" w:rsidRDefault="00AD0897" w:rsidP="0007506E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131F3A">
        <w:rPr>
          <w:sz w:val="20"/>
          <w:szCs w:val="20"/>
          <w:lang w:bidi="ar-SA"/>
        </w:rPr>
        <w:t xml:space="preserve">Eligibility criteria included </w:t>
      </w:r>
      <w:r w:rsidR="00022D85" w:rsidRPr="00131F3A">
        <w:rPr>
          <w:sz w:val="20"/>
          <w:szCs w:val="20"/>
          <w:lang w:bidi="ar-SA"/>
        </w:rPr>
        <w:t xml:space="preserve">(a) </w:t>
      </w:r>
      <w:r w:rsidRPr="00131F3A">
        <w:rPr>
          <w:sz w:val="20"/>
          <w:szCs w:val="20"/>
          <w:lang w:bidi="ar-SA"/>
        </w:rPr>
        <w:t>age 18 to 7</w:t>
      </w:r>
      <w:r w:rsidR="00263D17" w:rsidRPr="00131F3A">
        <w:rPr>
          <w:sz w:val="20"/>
          <w:szCs w:val="20"/>
          <w:lang w:bidi="ar-SA"/>
        </w:rPr>
        <w:t>0</w:t>
      </w:r>
      <w:r w:rsidRPr="00131F3A">
        <w:rPr>
          <w:sz w:val="20"/>
          <w:szCs w:val="20"/>
          <w:lang w:bidi="ar-SA"/>
        </w:rPr>
        <w:t xml:space="preserve"> years</w:t>
      </w:r>
      <w:r w:rsidR="00022D85" w:rsidRPr="00131F3A">
        <w:rPr>
          <w:sz w:val="20"/>
          <w:szCs w:val="20"/>
          <w:lang w:bidi="ar-SA"/>
        </w:rPr>
        <w:t>;</w:t>
      </w:r>
      <w:r w:rsidRPr="00131F3A">
        <w:rPr>
          <w:sz w:val="20"/>
          <w:szCs w:val="20"/>
          <w:lang w:bidi="ar-SA"/>
        </w:rPr>
        <w:t xml:space="preserve"> </w:t>
      </w:r>
      <w:r w:rsidR="00022D85" w:rsidRPr="00131F3A">
        <w:rPr>
          <w:sz w:val="20"/>
          <w:szCs w:val="20"/>
          <w:lang w:bidi="ar-SA"/>
        </w:rPr>
        <w:t xml:space="preserve">(b) </w:t>
      </w:r>
      <w:proofErr w:type="spellStart"/>
      <w:r w:rsidRPr="00131F3A">
        <w:rPr>
          <w:sz w:val="20"/>
          <w:szCs w:val="20"/>
          <w:lang w:bidi="ar-SA"/>
        </w:rPr>
        <w:t>histopathologically</w:t>
      </w:r>
      <w:proofErr w:type="spellEnd"/>
      <w:r w:rsidRPr="00131F3A">
        <w:rPr>
          <w:sz w:val="20"/>
          <w:szCs w:val="20"/>
          <w:lang w:bidi="ar-SA"/>
        </w:rPr>
        <w:t xml:space="preserve"> confirmed rectal adenocarcinoma</w:t>
      </w:r>
      <w:r w:rsidR="00EB0B23" w:rsidRPr="00131F3A">
        <w:rPr>
          <w:sz w:val="20"/>
          <w:szCs w:val="20"/>
          <w:lang w:bidi="ar-SA"/>
        </w:rPr>
        <w:t>;</w:t>
      </w:r>
      <w:r w:rsidR="00022D85" w:rsidRPr="00131F3A">
        <w:rPr>
          <w:sz w:val="20"/>
          <w:szCs w:val="20"/>
          <w:lang w:bidi="ar-SA"/>
        </w:rPr>
        <w:t xml:space="preserve"> </w:t>
      </w:r>
      <w:r w:rsidR="00EB0B23" w:rsidRPr="00131F3A">
        <w:rPr>
          <w:sz w:val="20"/>
          <w:szCs w:val="20"/>
          <w:lang w:bidi="ar-SA"/>
        </w:rPr>
        <w:t>(c)</w:t>
      </w:r>
      <w:r w:rsidR="00635104" w:rsidRPr="00131F3A">
        <w:rPr>
          <w:sz w:val="20"/>
          <w:szCs w:val="20"/>
          <w:lang w:bidi="ar-SA"/>
        </w:rPr>
        <w:t xml:space="preserve"> T3</w:t>
      </w:r>
      <w:r w:rsidR="00131F3A" w:rsidRPr="00131F3A">
        <w:rPr>
          <w:sz w:val="20"/>
          <w:szCs w:val="20"/>
          <w:lang w:bidi="ar-SA"/>
        </w:rPr>
        <w:t>-</w:t>
      </w:r>
      <w:r w:rsidR="00635104" w:rsidRPr="00131F3A">
        <w:rPr>
          <w:sz w:val="20"/>
          <w:szCs w:val="20"/>
          <w:lang w:bidi="ar-SA"/>
        </w:rPr>
        <w:t xml:space="preserve">4 N0 or any T </w:t>
      </w:r>
      <w:proofErr w:type="spellStart"/>
      <w:r w:rsidR="00635104" w:rsidRPr="00131F3A">
        <w:rPr>
          <w:sz w:val="20"/>
          <w:szCs w:val="20"/>
          <w:lang w:bidi="ar-SA"/>
        </w:rPr>
        <w:t>N+ve</w:t>
      </w:r>
      <w:proofErr w:type="spellEnd"/>
      <w:r w:rsidR="00DD06EC" w:rsidRPr="00131F3A">
        <w:rPr>
          <w:sz w:val="20"/>
          <w:szCs w:val="20"/>
          <w:lang w:bidi="ar-SA"/>
        </w:rPr>
        <w:t>;</w:t>
      </w:r>
      <w:r w:rsidR="00971498" w:rsidRPr="00131F3A">
        <w:rPr>
          <w:sz w:val="20"/>
          <w:szCs w:val="20"/>
          <w:lang w:bidi="ar-SA"/>
        </w:rPr>
        <w:t xml:space="preserve"> (d) Eastern Cooperative Oncology Group </w:t>
      </w:r>
      <w:r w:rsidR="00D24F48" w:rsidRPr="00131F3A">
        <w:rPr>
          <w:sz w:val="20"/>
          <w:szCs w:val="20"/>
          <w:lang w:bidi="ar-SA"/>
        </w:rPr>
        <w:t xml:space="preserve">(ECOG) </w:t>
      </w:r>
      <w:r w:rsidR="00971498" w:rsidRPr="00131F3A">
        <w:rPr>
          <w:sz w:val="20"/>
          <w:szCs w:val="20"/>
          <w:lang w:bidi="ar-SA"/>
        </w:rPr>
        <w:t>p</w:t>
      </w:r>
      <w:r w:rsidR="008833D2" w:rsidRPr="00131F3A">
        <w:rPr>
          <w:sz w:val="20"/>
          <w:szCs w:val="20"/>
          <w:lang w:bidi="ar-SA"/>
        </w:rPr>
        <w:t xml:space="preserve">erformance status </w:t>
      </w:r>
      <w:r w:rsidR="00606B22" w:rsidRPr="00131F3A">
        <w:rPr>
          <w:sz w:val="20"/>
          <w:szCs w:val="20"/>
          <w:lang w:bidi="ar-SA"/>
        </w:rPr>
        <w:t>≤</w:t>
      </w:r>
      <w:r w:rsidR="008833D2" w:rsidRPr="00131F3A">
        <w:rPr>
          <w:sz w:val="20"/>
          <w:szCs w:val="20"/>
          <w:lang w:bidi="ar-SA"/>
        </w:rPr>
        <w:t>2</w:t>
      </w:r>
      <w:r w:rsidR="00971498" w:rsidRPr="00131F3A">
        <w:rPr>
          <w:sz w:val="20"/>
          <w:szCs w:val="20"/>
          <w:lang w:bidi="ar-SA"/>
        </w:rPr>
        <w:t>; (e) adequate bone marrow reserve</w:t>
      </w:r>
      <w:r w:rsidR="005F33DF">
        <w:rPr>
          <w:sz w:val="20"/>
          <w:szCs w:val="20"/>
          <w:lang w:bidi="ar-SA"/>
        </w:rPr>
        <w:t>, liver, and renal functions</w:t>
      </w:r>
      <w:r w:rsidR="00971498" w:rsidRPr="00131F3A">
        <w:rPr>
          <w:sz w:val="20"/>
          <w:szCs w:val="20"/>
          <w:lang w:bidi="ar-SA"/>
        </w:rPr>
        <w:t>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131F3A" w:rsidRDefault="00971498" w:rsidP="002B2928">
      <w:pPr>
        <w:snapToGrid w:val="0"/>
        <w:jc w:val="both"/>
        <w:rPr>
          <w:b/>
          <w:bCs/>
          <w:sz w:val="20"/>
          <w:szCs w:val="20"/>
        </w:rPr>
      </w:pPr>
      <w:r w:rsidRPr="00131F3A">
        <w:rPr>
          <w:b/>
          <w:bCs/>
          <w:sz w:val="20"/>
          <w:szCs w:val="20"/>
        </w:rPr>
        <w:t>Exclusion criteria</w:t>
      </w:r>
    </w:p>
    <w:p w:rsidR="00971498" w:rsidRPr="00E35F4D" w:rsidRDefault="00971498" w:rsidP="002A4C6B">
      <w:pPr>
        <w:autoSpaceDE w:val="0"/>
        <w:autoSpaceDN w:val="0"/>
        <w:adjustRightInd w:val="0"/>
        <w:snapToGrid w:val="0"/>
        <w:ind w:firstLine="360"/>
        <w:jc w:val="both"/>
        <w:rPr>
          <w:color w:val="000000"/>
          <w:sz w:val="20"/>
          <w:szCs w:val="20"/>
        </w:rPr>
      </w:pPr>
      <w:r w:rsidRPr="00131F3A">
        <w:rPr>
          <w:sz w:val="20"/>
          <w:szCs w:val="20"/>
          <w:lang w:bidi="ar-SA"/>
        </w:rPr>
        <w:t xml:space="preserve">The exclusion criteria included: (a) tumor type other than adenocarcinoma; (b) pregnant or lactating women; (c) </w:t>
      </w:r>
      <w:r w:rsidR="00C37BC4" w:rsidRPr="00131F3A">
        <w:rPr>
          <w:sz w:val="20"/>
          <w:szCs w:val="20"/>
          <w:lang w:bidi="ar-SA"/>
        </w:rPr>
        <w:t>metastatic disease</w:t>
      </w:r>
      <w:r w:rsidRPr="00131F3A">
        <w:rPr>
          <w:sz w:val="20"/>
          <w:szCs w:val="20"/>
          <w:lang w:bidi="ar-SA"/>
        </w:rPr>
        <w:t xml:space="preserve">; (d) </w:t>
      </w:r>
      <w:r w:rsidR="00C37BC4" w:rsidRPr="00131F3A">
        <w:rPr>
          <w:sz w:val="20"/>
          <w:szCs w:val="20"/>
          <w:lang w:bidi="ar-SA"/>
        </w:rPr>
        <w:t>previous</w:t>
      </w:r>
      <w:r w:rsidR="00115F51" w:rsidRPr="00131F3A">
        <w:rPr>
          <w:sz w:val="20"/>
          <w:szCs w:val="20"/>
          <w:lang w:bidi="ar-SA"/>
        </w:rPr>
        <w:t xml:space="preserve"> </w:t>
      </w:r>
      <w:r w:rsidR="00C37BC4" w:rsidRPr="00131F3A">
        <w:rPr>
          <w:sz w:val="20"/>
          <w:szCs w:val="20"/>
          <w:lang w:bidi="ar-SA"/>
        </w:rPr>
        <w:t>CT</w:t>
      </w:r>
      <w:r w:rsidR="00F66E73" w:rsidRPr="00131F3A">
        <w:rPr>
          <w:sz w:val="20"/>
          <w:szCs w:val="20"/>
          <w:lang w:bidi="ar-SA"/>
        </w:rPr>
        <w:t xml:space="preserve"> or </w:t>
      </w:r>
      <w:r w:rsidRPr="00131F3A">
        <w:rPr>
          <w:sz w:val="20"/>
          <w:szCs w:val="20"/>
          <w:lang w:bidi="ar-SA"/>
        </w:rPr>
        <w:t>pelvic irradiation; (</w:t>
      </w:r>
      <w:r w:rsidR="00F66E73" w:rsidRPr="00131F3A">
        <w:rPr>
          <w:sz w:val="20"/>
          <w:szCs w:val="20"/>
          <w:lang w:bidi="ar-SA"/>
        </w:rPr>
        <w:t>e</w:t>
      </w:r>
      <w:r w:rsidRPr="00131F3A">
        <w:rPr>
          <w:sz w:val="20"/>
          <w:szCs w:val="20"/>
          <w:lang w:bidi="ar-SA"/>
        </w:rPr>
        <w:t xml:space="preserve">) active </w:t>
      </w:r>
      <w:r w:rsidR="00131F3A" w:rsidRPr="00131F3A">
        <w:rPr>
          <w:sz w:val="20"/>
          <w:szCs w:val="20"/>
          <w:lang w:bidi="ar-SA"/>
        </w:rPr>
        <w:t xml:space="preserve">gastrointestinal </w:t>
      </w:r>
      <w:r w:rsidRPr="00131F3A">
        <w:rPr>
          <w:sz w:val="20"/>
          <w:szCs w:val="20"/>
          <w:lang w:bidi="ar-SA"/>
        </w:rPr>
        <w:t xml:space="preserve">ulcers or history of </w:t>
      </w:r>
      <w:r w:rsidR="00123D50" w:rsidRPr="00131F3A">
        <w:rPr>
          <w:sz w:val="20"/>
          <w:szCs w:val="20"/>
          <w:lang w:bidi="ar-SA"/>
        </w:rPr>
        <w:t>gastric bleeding</w:t>
      </w:r>
      <w:r w:rsidRPr="00131F3A">
        <w:rPr>
          <w:sz w:val="20"/>
          <w:szCs w:val="20"/>
          <w:lang w:bidi="ar-SA"/>
        </w:rPr>
        <w:t>;</w:t>
      </w:r>
      <w:r w:rsidR="00730BA1" w:rsidRPr="00131F3A">
        <w:rPr>
          <w:sz w:val="20"/>
          <w:szCs w:val="20"/>
          <w:lang w:bidi="ar-SA"/>
        </w:rPr>
        <w:t xml:space="preserve"> </w:t>
      </w:r>
      <w:r w:rsidRPr="00131F3A">
        <w:rPr>
          <w:sz w:val="20"/>
          <w:szCs w:val="20"/>
          <w:lang w:bidi="ar-SA"/>
        </w:rPr>
        <w:t>(</w:t>
      </w:r>
      <w:r w:rsidR="00F66E73" w:rsidRPr="00131F3A">
        <w:rPr>
          <w:sz w:val="20"/>
          <w:szCs w:val="20"/>
          <w:lang w:bidi="ar-SA"/>
        </w:rPr>
        <w:t>f</w:t>
      </w:r>
      <w:r w:rsidRPr="00131F3A">
        <w:rPr>
          <w:sz w:val="20"/>
          <w:szCs w:val="20"/>
          <w:lang w:bidi="ar-SA"/>
        </w:rPr>
        <w:t xml:space="preserve">) ischemic </w:t>
      </w:r>
      <w:r w:rsidR="000B2CB1" w:rsidRPr="00131F3A">
        <w:rPr>
          <w:sz w:val="20"/>
          <w:szCs w:val="20"/>
          <w:lang w:bidi="ar-SA"/>
        </w:rPr>
        <w:t xml:space="preserve">heart </w:t>
      </w:r>
      <w:r w:rsidRPr="00131F3A">
        <w:rPr>
          <w:sz w:val="20"/>
          <w:szCs w:val="20"/>
          <w:lang w:bidi="ar-SA"/>
        </w:rPr>
        <w:t>disease</w:t>
      </w:r>
      <w:r w:rsidRPr="00E35F4D">
        <w:rPr>
          <w:color w:val="000000"/>
          <w:sz w:val="20"/>
          <w:szCs w:val="20"/>
          <w:lang w:bidi="ar-SA"/>
        </w:rPr>
        <w:t xml:space="preserve">, cerebrovascular disease or </w:t>
      </w:r>
      <w:r w:rsidR="00E05C77" w:rsidRPr="00E35F4D">
        <w:rPr>
          <w:color w:val="000000"/>
          <w:sz w:val="20"/>
          <w:szCs w:val="20"/>
        </w:rPr>
        <w:t>other comorbid conditions</w:t>
      </w:r>
      <w:r w:rsidRPr="00E35F4D">
        <w:rPr>
          <w:color w:val="000000"/>
          <w:sz w:val="20"/>
          <w:szCs w:val="20"/>
        </w:rPr>
        <w:t>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E35F4D" w:rsidRDefault="00971498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Pretreatment evaluation</w:t>
      </w:r>
    </w:p>
    <w:p w:rsidR="00131F3A" w:rsidRPr="004171D0" w:rsidRDefault="00971498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4171D0">
        <w:rPr>
          <w:sz w:val="20"/>
          <w:szCs w:val="20"/>
        </w:rPr>
        <w:t>Personal history</w:t>
      </w:r>
      <w:r w:rsidR="00E31049" w:rsidRPr="004171D0">
        <w:rPr>
          <w:sz w:val="20"/>
          <w:szCs w:val="20"/>
        </w:rPr>
        <w:t>,</w:t>
      </w:r>
      <w:r w:rsidRPr="004171D0">
        <w:rPr>
          <w:sz w:val="20"/>
          <w:szCs w:val="20"/>
        </w:rPr>
        <w:t xml:space="preserve"> clinical examination</w:t>
      </w:r>
      <w:r w:rsidR="00484122" w:rsidRPr="004171D0">
        <w:rPr>
          <w:sz w:val="20"/>
          <w:szCs w:val="20"/>
        </w:rPr>
        <w:t>,</w:t>
      </w:r>
      <w:r w:rsidR="006C4F16" w:rsidRPr="004171D0">
        <w:rPr>
          <w:sz w:val="20"/>
          <w:szCs w:val="20"/>
        </w:rPr>
        <w:t xml:space="preserve"> </w:t>
      </w:r>
      <w:r w:rsidRPr="004171D0">
        <w:rPr>
          <w:sz w:val="20"/>
          <w:szCs w:val="20"/>
        </w:rPr>
        <w:t xml:space="preserve">including local and general examination was done for all patients. </w:t>
      </w:r>
      <w:r w:rsidR="00131F3A" w:rsidRPr="004171D0">
        <w:rPr>
          <w:sz w:val="20"/>
          <w:szCs w:val="20"/>
          <w:lang w:bidi="ar-SA"/>
        </w:rPr>
        <w:t xml:space="preserve">The distance from the caudal edge of the tumor to the anal verge was estimated via </w:t>
      </w:r>
      <w:proofErr w:type="spellStart"/>
      <w:r w:rsidR="00131F3A" w:rsidRPr="004171D0">
        <w:rPr>
          <w:sz w:val="20"/>
          <w:szCs w:val="20"/>
          <w:lang w:bidi="ar-SA"/>
        </w:rPr>
        <w:t>sigmoidoproctoscopy</w:t>
      </w:r>
      <w:proofErr w:type="spellEnd"/>
      <w:r w:rsidR="00131F3A" w:rsidRPr="004171D0">
        <w:rPr>
          <w:sz w:val="20"/>
          <w:szCs w:val="20"/>
          <w:lang w:bidi="ar-SA"/>
        </w:rPr>
        <w:t xml:space="preserve">. The longest diameter of the tumor in any dimension was defined as the </w:t>
      </w:r>
      <w:proofErr w:type="spellStart"/>
      <w:r w:rsidR="00131F3A" w:rsidRPr="004171D0">
        <w:rPr>
          <w:sz w:val="20"/>
          <w:szCs w:val="20"/>
          <w:lang w:bidi="ar-SA"/>
        </w:rPr>
        <w:t>pretherapy</w:t>
      </w:r>
      <w:proofErr w:type="spellEnd"/>
      <w:r w:rsidR="00131F3A" w:rsidRPr="004171D0">
        <w:rPr>
          <w:sz w:val="20"/>
          <w:szCs w:val="20"/>
          <w:lang w:bidi="ar-SA"/>
        </w:rPr>
        <w:t xml:space="preserve"> tumor size. </w:t>
      </w:r>
      <w:r w:rsidR="007A2A2B" w:rsidRPr="004171D0">
        <w:rPr>
          <w:sz w:val="20"/>
          <w:szCs w:val="20"/>
          <w:lang w:bidi="ar-SA"/>
        </w:rPr>
        <w:t xml:space="preserve">Assessment of the tumor </w:t>
      </w:r>
      <w:proofErr w:type="spellStart"/>
      <w:r w:rsidR="007A2A2B" w:rsidRPr="004171D0">
        <w:rPr>
          <w:sz w:val="20"/>
          <w:szCs w:val="20"/>
          <w:lang w:bidi="ar-SA"/>
        </w:rPr>
        <w:t>r</w:t>
      </w:r>
      <w:r w:rsidR="00CD773F" w:rsidRPr="004171D0">
        <w:rPr>
          <w:sz w:val="20"/>
          <w:szCs w:val="20"/>
          <w:lang w:bidi="ar-SA"/>
        </w:rPr>
        <w:t>adiologica</w:t>
      </w:r>
      <w:r w:rsidR="007A2A2B" w:rsidRPr="004171D0">
        <w:rPr>
          <w:sz w:val="20"/>
          <w:szCs w:val="20"/>
          <w:lang w:bidi="ar-SA"/>
        </w:rPr>
        <w:t>l</w:t>
      </w:r>
      <w:r w:rsidR="00CD773F" w:rsidRPr="004171D0">
        <w:rPr>
          <w:sz w:val="20"/>
          <w:szCs w:val="20"/>
          <w:lang w:bidi="ar-SA"/>
        </w:rPr>
        <w:t>l</w:t>
      </w:r>
      <w:r w:rsidR="007A2A2B" w:rsidRPr="004171D0">
        <w:rPr>
          <w:sz w:val="20"/>
          <w:szCs w:val="20"/>
          <w:lang w:bidi="ar-SA"/>
        </w:rPr>
        <w:t>y</w:t>
      </w:r>
      <w:proofErr w:type="spellEnd"/>
      <w:r w:rsidR="00CD773F" w:rsidRPr="004171D0">
        <w:rPr>
          <w:sz w:val="20"/>
          <w:szCs w:val="20"/>
          <w:lang w:bidi="ar-SA"/>
        </w:rPr>
        <w:t xml:space="preserve"> </w:t>
      </w:r>
      <w:r w:rsidR="007A2A2B" w:rsidRPr="004171D0">
        <w:rPr>
          <w:sz w:val="20"/>
          <w:szCs w:val="20"/>
          <w:lang w:bidi="ar-SA"/>
        </w:rPr>
        <w:t>by</w:t>
      </w:r>
      <w:r w:rsidR="00CD773F" w:rsidRPr="004171D0">
        <w:rPr>
          <w:sz w:val="20"/>
          <w:szCs w:val="20"/>
          <w:lang w:bidi="ar-SA"/>
        </w:rPr>
        <w:t xml:space="preserve"> </w:t>
      </w:r>
      <w:proofErr w:type="spellStart"/>
      <w:r w:rsidR="00131F3A" w:rsidRPr="004171D0">
        <w:rPr>
          <w:sz w:val="20"/>
          <w:szCs w:val="20"/>
          <w:lang w:bidi="ar-SA"/>
        </w:rPr>
        <w:t>abdominopelvic</w:t>
      </w:r>
      <w:proofErr w:type="spellEnd"/>
      <w:r w:rsidR="00131F3A" w:rsidRPr="004171D0">
        <w:rPr>
          <w:sz w:val="20"/>
          <w:szCs w:val="20"/>
          <w:lang w:bidi="ar-SA"/>
        </w:rPr>
        <w:t xml:space="preserve"> </w:t>
      </w:r>
      <w:r w:rsidR="00131F3A" w:rsidRPr="004171D0">
        <w:rPr>
          <w:sz w:val="20"/>
          <w:szCs w:val="20"/>
        </w:rPr>
        <w:t>computed tomography (CT)</w:t>
      </w:r>
      <w:r w:rsidR="00131F3A" w:rsidRPr="004171D0">
        <w:rPr>
          <w:sz w:val="20"/>
          <w:szCs w:val="20"/>
          <w:lang w:bidi="ar-SA"/>
        </w:rPr>
        <w:t xml:space="preserve"> </w:t>
      </w:r>
      <w:r w:rsidR="00CD773F" w:rsidRPr="004171D0">
        <w:rPr>
          <w:sz w:val="20"/>
          <w:szCs w:val="20"/>
          <w:lang w:bidi="ar-SA"/>
        </w:rPr>
        <w:t xml:space="preserve">scan </w:t>
      </w:r>
      <w:r w:rsidR="00131F3A" w:rsidRPr="004171D0">
        <w:rPr>
          <w:sz w:val="20"/>
          <w:szCs w:val="20"/>
          <w:lang w:bidi="ar-SA"/>
        </w:rPr>
        <w:t xml:space="preserve">and/or </w:t>
      </w:r>
      <w:r w:rsidR="00131F3A" w:rsidRPr="004171D0">
        <w:rPr>
          <w:rStyle w:val="st"/>
          <w:sz w:val="20"/>
          <w:szCs w:val="20"/>
        </w:rPr>
        <w:t>magnetic resonance imaging (</w:t>
      </w:r>
      <w:r w:rsidR="00131F3A" w:rsidRPr="004171D0">
        <w:rPr>
          <w:rStyle w:val="Emphasis"/>
          <w:i w:val="0"/>
          <w:iCs w:val="0"/>
          <w:sz w:val="20"/>
          <w:szCs w:val="20"/>
        </w:rPr>
        <w:t>MRI</w:t>
      </w:r>
      <w:r w:rsidR="00131F3A" w:rsidRPr="004171D0">
        <w:rPr>
          <w:rStyle w:val="st"/>
          <w:sz w:val="20"/>
          <w:szCs w:val="20"/>
        </w:rPr>
        <w:t>)</w:t>
      </w:r>
      <w:r w:rsidR="00131F3A" w:rsidRPr="004171D0">
        <w:rPr>
          <w:sz w:val="20"/>
          <w:szCs w:val="20"/>
          <w:lang w:bidi="ar-SA"/>
        </w:rPr>
        <w:t>.</w:t>
      </w:r>
      <w:r w:rsidR="00131F3A" w:rsidRPr="004171D0">
        <w:rPr>
          <w:sz w:val="20"/>
          <w:szCs w:val="20"/>
        </w:rPr>
        <w:t xml:space="preserve"> All patients were subjected to chest X-ray or CT scan and a</w:t>
      </w:r>
      <w:r w:rsidR="00131F3A" w:rsidRPr="004171D0">
        <w:rPr>
          <w:sz w:val="20"/>
          <w:szCs w:val="20"/>
          <w:lang w:bidi="ar-SA"/>
        </w:rPr>
        <w:t>dditional studies were done if metastatic disease was suspected.</w:t>
      </w:r>
    </w:p>
    <w:p w:rsidR="00CD773F" w:rsidRPr="004171D0" w:rsidRDefault="00CD773F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4171D0">
        <w:rPr>
          <w:sz w:val="20"/>
          <w:szCs w:val="20"/>
          <w:lang w:bidi="ar-SA"/>
        </w:rPr>
        <w:t>The disease was staged according to the TNM staging system (7</w:t>
      </w:r>
      <w:r w:rsidRPr="004171D0">
        <w:rPr>
          <w:sz w:val="20"/>
          <w:szCs w:val="20"/>
          <w:vertAlign w:val="superscript"/>
          <w:lang w:bidi="ar-SA"/>
        </w:rPr>
        <w:t>th</w:t>
      </w:r>
      <w:r w:rsidRPr="004171D0">
        <w:rPr>
          <w:sz w:val="20"/>
          <w:szCs w:val="20"/>
          <w:lang w:bidi="ar-SA"/>
        </w:rPr>
        <w:t xml:space="preserve"> edition) </w:t>
      </w:r>
      <w:r w:rsidRPr="004171D0">
        <w:rPr>
          <w:b/>
          <w:bCs/>
          <w:sz w:val="20"/>
          <w:szCs w:val="20"/>
          <w:lang w:bidi="ar-SA"/>
        </w:rPr>
        <w:t>[13]</w:t>
      </w:r>
      <w:r w:rsidRPr="004171D0">
        <w:rPr>
          <w:sz w:val="20"/>
          <w:szCs w:val="20"/>
          <w:lang w:bidi="ar-SA"/>
        </w:rPr>
        <w:t xml:space="preserve"> and graded according to the World Health Organization (WHO) classification </w:t>
      </w:r>
      <w:r w:rsidRPr="004171D0">
        <w:rPr>
          <w:b/>
          <w:bCs/>
          <w:sz w:val="20"/>
          <w:szCs w:val="20"/>
          <w:lang w:bidi="ar-SA"/>
        </w:rPr>
        <w:t>[14].</w:t>
      </w:r>
    </w:p>
    <w:p w:rsidR="00971498" w:rsidRPr="00E35F4D" w:rsidRDefault="00971498" w:rsidP="00DA626C">
      <w:pPr>
        <w:snapToGrid w:val="0"/>
        <w:ind w:firstLine="360"/>
        <w:jc w:val="both"/>
        <w:rPr>
          <w:sz w:val="20"/>
          <w:szCs w:val="20"/>
        </w:rPr>
      </w:pPr>
      <w:r w:rsidRPr="004171D0">
        <w:rPr>
          <w:sz w:val="20"/>
          <w:szCs w:val="20"/>
        </w:rPr>
        <w:t>Complete blood count</w:t>
      </w:r>
      <w:r w:rsidR="00214648" w:rsidRPr="004171D0">
        <w:rPr>
          <w:sz w:val="20"/>
          <w:szCs w:val="20"/>
        </w:rPr>
        <w:t xml:space="preserve"> (CBC)</w:t>
      </w:r>
      <w:r w:rsidRPr="004171D0">
        <w:rPr>
          <w:sz w:val="20"/>
          <w:szCs w:val="20"/>
        </w:rPr>
        <w:t xml:space="preserve">, serum </w:t>
      </w:r>
      <w:r w:rsidR="00214648" w:rsidRPr="004171D0">
        <w:rPr>
          <w:sz w:val="20"/>
          <w:szCs w:val="20"/>
        </w:rPr>
        <w:t xml:space="preserve">blood </w:t>
      </w:r>
      <w:r w:rsidRPr="004171D0">
        <w:rPr>
          <w:sz w:val="20"/>
          <w:szCs w:val="20"/>
        </w:rPr>
        <w:t>chemistry including liver</w:t>
      </w:r>
      <w:r w:rsidRPr="00E35F4D">
        <w:rPr>
          <w:sz w:val="20"/>
          <w:szCs w:val="20"/>
        </w:rPr>
        <w:t xml:space="preserve"> and renal function tests, </w:t>
      </w:r>
      <w:r w:rsidR="007F3AC4" w:rsidRPr="00E35F4D">
        <w:rPr>
          <w:sz w:val="20"/>
          <w:szCs w:val="20"/>
        </w:rPr>
        <w:t xml:space="preserve">and </w:t>
      </w:r>
      <w:r w:rsidRPr="00E35F4D">
        <w:rPr>
          <w:sz w:val="20"/>
          <w:szCs w:val="20"/>
        </w:rPr>
        <w:t xml:space="preserve">tumor marker </w:t>
      </w:r>
      <w:r w:rsidR="007F3AC4" w:rsidRPr="00E35F4D">
        <w:rPr>
          <w:sz w:val="20"/>
          <w:szCs w:val="20"/>
        </w:rPr>
        <w:t>levels</w:t>
      </w:r>
      <w:r w:rsidR="007F3AC4" w:rsidRPr="00E35F4D">
        <w:rPr>
          <w:sz w:val="20"/>
          <w:szCs w:val="20"/>
          <w:lang w:bidi="ar-SA"/>
        </w:rPr>
        <w:t xml:space="preserve"> (</w:t>
      </w:r>
      <w:r w:rsidR="007F3AC4" w:rsidRPr="00E35F4D">
        <w:rPr>
          <w:sz w:val="20"/>
          <w:szCs w:val="20"/>
        </w:rPr>
        <w:t>CEA and CA19-9</w:t>
      </w:r>
      <w:r w:rsidR="007F3AC4" w:rsidRPr="00E35F4D">
        <w:rPr>
          <w:sz w:val="20"/>
          <w:szCs w:val="20"/>
          <w:lang w:bidi="ar-SA"/>
        </w:rPr>
        <w:t>)</w:t>
      </w:r>
      <w:r w:rsidR="007F3AC4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were done for all patients at initial presentation.</w:t>
      </w:r>
      <w:r w:rsidR="00346799"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Also</w:t>
      </w:r>
      <w:r w:rsidR="00484122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before the start of every cycle of </w:t>
      </w:r>
      <w:r w:rsidR="007F3AC4" w:rsidRPr="00E35F4D">
        <w:rPr>
          <w:sz w:val="20"/>
          <w:szCs w:val="20"/>
        </w:rPr>
        <w:t>preoperative CT</w:t>
      </w:r>
      <w:r w:rsidRPr="00E35F4D">
        <w:rPr>
          <w:sz w:val="20"/>
          <w:szCs w:val="20"/>
        </w:rPr>
        <w:t xml:space="preserve"> all patients were investigated for </w:t>
      </w:r>
      <w:r w:rsidR="00214648" w:rsidRPr="00E35F4D">
        <w:rPr>
          <w:sz w:val="20"/>
          <w:szCs w:val="20"/>
        </w:rPr>
        <w:t>CBC</w:t>
      </w:r>
      <w:r w:rsidRPr="00E35F4D">
        <w:rPr>
          <w:sz w:val="20"/>
          <w:szCs w:val="20"/>
        </w:rPr>
        <w:t xml:space="preserve">, </w:t>
      </w:r>
      <w:r w:rsidR="0087630B" w:rsidRPr="00E35F4D">
        <w:rPr>
          <w:sz w:val="20"/>
          <w:szCs w:val="20"/>
        </w:rPr>
        <w:t>liver</w:t>
      </w:r>
      <w:r w:rsidRPr="00E35F4D">
        <w:rPr>
          <w:sz w:val="20"/>
          <w:szCs w:val="20"/>
        </w:rPr>
        <w:t xml:space="preserve"> and renal function tests.</w:t>
      </w:r>
    </w:p>
    <w:p w:rsidR="00CE5100" w:rsidRPr="00605D57" w:rsidRDefault="00CE5100" w:rsidP="002B2928">
      <w:pPr>
        <w:pStyle w:val="NormalWeb"/>
        <w:snapToGrid w:val="0"/>
        <w:spacing w:before="0" w:beforeAutospacing="0" w:after="0" w:afterAutospacing="0"/>
        <w:jc w:val="both"/>
        <w:rPr>
          <w:b/>
          <w:bCs/>
          <w:sz w:val="8"/>
          <w:szCs w:val="8"/>
        </w:rPr>
      </w:pPr>
    </w:p>
    <w:p w:rsidR="00971498" w:rsidRPr="00E35F4D" w:rsidRDefault="00971498" w:rsidP="002B2928">
      <w:pPr>
        <w:pStyle w:val="NormalWeb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>Treatment protocol</w:t>
      </w:r>
    </w:p>
    <w:p w:rsidR="001A692C" w:rsidRPr="00E35F4D" w:rsidRDefault="001A692C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 xml:space="preserve">Induction </w:t>
      </w:r>
      <w:r w:rsidR="00921EE7" w:rsidRPr="00E35F4D">
        <w:rPr>
          <w:b/>
          <w:bCs/>
          <w:i/>
          <w:iCs/>
          <w:sz w:val="20"/>
          <w:szCs w:val="20"/>
        </w:rPr>
        <w:t>CT</w:t>
      </w:r>
    </w:p>
    <w:p w:rsidR="00AA0498" w:rsidRPr="00E35F4D" w:rsidRDefault="00DA626C" w:rsidP="00B64B01">
      <w:pPr>
        <w:snapToGrid w:val="0"/>
        <w:ind w:firstLine="360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Induction CT include 2</w:t>
      </w:r>
      <w:r w:rsidR="00AA0498" w:rsidRPr="00E35F4D">
        <w:rPr>
          <w:sz w:val="20"/>
          <w:szCs w:val="20"/>
        </w:rPr>
        <w:t xml:space="preserve"> cycles of CAPOX </w:t>
      </w:r>
      <w:r>
        <w:rPr>
          <w:sz w:val="20"/>
          <w:szCs w:val="20"/>
        </w:rPr>
        <w:t xml:space="preserve">regimen as oral </w:t>
      </w:r>
      <w:proofErr w:type="spellStart"/>
      <w:r>
        <w:rPr>
          <w:sz w:val="20"/>
          <w:szCs w:val="20"/>
        </w:rPr>
        <w:t>c</w:t>
      </w:r>
      <w:r w:rsidR="00AA0498" w:rsidRPr="00E35F4D">
        <w:rPr>
          <w:sz w:val="20"/>
          <w:szCs w:val="20"/>
        </w:rPr>
        <w:t>apecitabine</w:t>
      </w:r>
      <w:proofErr w:type="spellEnd"/>
      <w:r w:rsidR="00AA0498" w:rsidRPr="00E35F4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983241" w:rsidRPr="00E35F4D">
        <w:rPr>
          <w:sz w:val="20"/>
          <w:szCs w:val="20"/>
        </w:rPr>
        <w:t>1000</w:t>
      </w:r>
      <w:r w:rsidR="00AA0498" w:rsidRPr="00E35F4D">
        <w:rPr>
          <w:sz w:val="20"/>
          <w:szCs w:val="20"/>
        </w:rPr>
        <w:t xml:space="preserve"> mg/m</w:t>
      </w:r>
      <w:r w:rsidR="00AA0498" w:rsidRPr="00E35F4D">
        <w:rPr>
          <w:sz w:val="20"/>
          <w:szCs w:val="20"/>
          <w:vertAlign w:val="superscript"/>
        </w:rPr>
        <w:t>2</w:t>
      </w:r>
      <w:r w:rsidR="00983241" w:rsidRPr="00E35F4D">
        <w:rPr>
          <w:sz w:val="20"/>
          <w:szCs w:val="20"/>
        </w:rPr>
        <w:t xml:space="preserve"> twice daily</w:t>
      </w:r>
      <w:r>
        <w:rPr>
          <w:sz w:val="20"/>
          <w:szCs w:val="20"/>
        </w:rPr>
        <w:t>)</w:t>
      </w:r>
      <w:r w:rsidR="00AA0498" w:rsidRPr="00E35F4D">
        <w:rPr>
          <w:sz w:val="20"/>
          <w:szCs w:val="20"/>
        </w:rPr>
        <w:t xml:space="preserve"> for </w:t>
      </w:r>
      <w:r>
        <w:rPr>
          <w:sz w:val="20"/>
          <w:szCs w:val="20"/>
        </w:rPr>
        <w:t>14 days</w:t>
      </w:r>
      <w:r w:rsidR="00AA0498" w:rsidRPr="00E35F4D">
        <w:rPr>
          <w:sz w:val="20"/>
          <w:szCs w:val="20"/>
        </w:rPr>
        <w:t xml:space="preserve"> followed by </w:t>
      </w:r>
      <w:r>
        <w:rPr>
          <w:sz w:val="20"/>
          <w:szCs w:val="20"/>
        </w:rPr>
        <w:t>7 days off</w:t>
      </w:r>
      <w:r w:rsidR="00B64B01">
        <w:rPr>
          <w:sz w:val="20"/>
          <w:szCs w:val="20"/>
        </w:rPr>
        <w:t xml:space="preserve"> and </w:t>
      </w:r>
      <w:r w:rsidR="00B64B01" w:rsidRPr="00E35F4D">
        <w:rPr>
          <w:sz w:val="20"/>
          <w:szCs w:val="20"/>
        </w:rPr>
        <w:t>intravenous infusion</w:t>
      </w:r>
      <w:r w:rsidR="00B64B01">
        <w:rPr>
          <w:sz w:val="20"/>
          <w:szCs w:val="20"/>
        </w:rPr>
        <w:t xml:space="preserve"> of </w:t>
      </w:r>
      <w:proofErr w:type="spellStart"/>
      <w:r w:rsidR="00B64B01">
        <w:rPr>
          <w:sz w:val="20"/>
          <w:szCs w:val="20"/>
        </w:rPr>
        <w:t>o</w:t>
      </w:r>
      <w:r w:rsidR="00AA0498" w:rsidRPr="00E35F4D">
        <w:rPr>
          <w:sz w:val="20"/>
          <w:szCs w:val="20"/>
        </w:rPr>
        <w:t>xaliplatin</w:t>
      </w:r>
      <w:proofErr w:type="spellEnd"/>
      <w:r w:rsidR="00AA0498" w:rsidRPr="00E35F4D">
        <w:rPr>
          <w:sz w:val="20"/>
          <w:szCs w:val="20"/>
        </w:rPr>
        <w:t xml:space="preserve"> </w:t>
      </w:r>
      <w:r w:rsidR="00B64B01">
        <w:rPr>
          <w:sz w:val="20"/>
          <w:szCs w:val="20"/>
        </w:rPr>
        <w:t>(130 mg/m</w:t>
      </w:r>
      <w:r w:rsidR="00B64B01" w:rsidRPr="00B64B01">
        <w:rPr>
          <w:sz w:val="20"/>
          <w:szCs w:val="20"/>
          <w:vertAlign w:val="superscript"/>
        </w:rPr>
        <w:t>2</w:t>
      </w:r>
      <w:r w:rsidR="00B64B01">
        <w:rPr>
          <w:sz w:val="20"/>
          <w:szCs w:val="20"/>
        </w:rPr>
        <w:t xml:space="preserve">) </w:t>
      </w:r>
      <w:r w:rsidR="00AA0498" w:rsidRPr="00E35F4D">
        <w:rPr>
          <w:sz w:val="20"/>
          <w:szCs w:val="20"/>
        </w:rPr>
        <w:t>every 3 weeks</w:t>
      </w:r>
      <w:r w:rsidR="00921EE7" w:rsidRPr="00E35F4D">
        <w:rPr>
          <w:sz w:val="20"/>
          <w:szCs w:val="20"/>
        </w:rPr>
        <w:t>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310D01" w:rsidRPr="00E35F4D" w:rsidRDefault="00E1349A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C</w:t>
      </w:r>
      <w:r w:rsidR="0026711B" w:rsidRPr="00E35F4D">
        <w:rPr>
          <w:b/>
          <w:bCs/>
          <w:i/>
          <w:iCs/>
          <w:sz w:val="20"/>
          <w:szCs w:val="20"/>
        </w:rPr>
        <w:t>oncomitant</w:t>
      </w:r>
      <w:r w:rsidR="00310D01" w:rsidRPr="00E35F4D">
        <w:rPr>
          <w:b/>
          <w:bCs/>
          <w:i/>
          <w:iCs/>
          <w:sz w:val="20"/>
          <w:szCs w:val="20"/>
        </w:rPr>
        <w:t xml:space="preserve"> CRT</w:t>
      </w:r>
    </w:p>
    <w:p w:rsidR="00E4280F" w:rsidRPr="007A2A2B" w:rsidRDefault="00E4280F" w:rsidP="00A50F87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color w:val="000000"/>
          <w:sz w:val="20"/>
          <w:szCs w:val="20"/>
          <w:lang w:bidi="ar-SA"/>
        </w:rPr>
        <w:t xml:space="preserve">Patients began </w:t>
      </w:r>
      <w:r w:rsidR="00871255" w:rsidRPr="00E35F4D">
        <w:rPr>
          <w:sz w:val="20"/>
          <w:szCs w:val="20"/>
        </w:rPr>
        <w:t>concomitant</w:t>
      </w:r>
      <w:r w:rsidR="00871255"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  <w:lang w:bidi="ar-SA"/>
        </w:rPr>
        <w:t xml:space="preserve">CRT </w:t>
      </w:r>
      <w:r w:rsidR="00A2226C" w:rsidRPr="00E35F4D">
        <w:rPr>
          <w:color w:val="000000"/>
          <w:sz w:val="20"/>
          <w:szCs w:val="20"/>
          <w:lang w:bidi="ar-SA"/>
        </w:rPr>
        <w:t>three</w:t>
      </w:r>
      <w:r w:rsidRPr="00E35F4D">
        <w:rPr>
          <w:color w:val="000000"/>
          <w:sz w:val="20"/>
          <w:szCs w:val="20"/>
          <w:lang w:bidi="ar-SA"/>
        </w:rPr>
        <w:t xml:space="preserve"> weeks after the last induction </w:t>
      </w:r>
      <w:r w:rsidR="00921EE7" w:rsidRPr="00E35F4D">
        <w:rPr>
          <w:color w:val="000000"/>
          <w:sz w:val="20"/>
          <w:szCs w:val="20"/>
          <w:lang w:bidi="ar-SA"/>
        </w:rPr>
        <w:t xml:space="preserve">CT </w:t>
      </w:r>
      <w:r w:rsidRPr="00E35F4D">
        <w:rPr>
          <w:color w:val="000000"/>
          <w:sz w:val="20"/>
          <w:szCs w:val="20"/>
          <w:lang w:bidi="ar-SA"/>
        </w:rPr>
        <w:t>cycle.</w:t>
      </w:r>
      <w:r w:rsidRPr="00E35F4D">
        <w:rPr>
          <w:color w:val="000000"/>
          <w:sz w:val="20"/>
          <w:szCs w:val="20"/>
        </w:rPr>
        <w:t xml:space="preserve"> </w:t>
      </w:r>
      <w:r w:rsidR="009C5D4E" w:rsidRPr="00E35F4D">
        <w:rPr>
          <w:color w:val="000000"/>
          <w:sz w:val="20"/>
          <w:szCs w:val="20"/>
        </w:rPr>
        <w:t xml:space="preserve">Oral </w:t>
      </w:r>
      <w:proofErr w:type="spellStart"/>
      <w:r w:rsidR="00921EE7" w:rsidRPr="00E35F4D">
        <w:rPr>
          <w:color w:val="000000"/>
          <w:sz w:val="20"/>
          <w:szCs w:val="20"/>
        </w:rPr>
        <w:t>c</w:t>
      </w:r>
      <w:r w:rsidRPr="00E35F4D">
        <w:rPr>
          <w:color w:val="000000"/>
          <w:sz w:val="20"/>
          <w:szCs w:val="20"/>
        </w:rPr>
        <w:t>apecitabine</w:t>
      </w:r>
      <w:proofErr w:type="spellEnd"/>
      <w:r w:rsidRPr="00E35F4D">
        <w:rPr>
          <w:color w:val="000000"/>
          <w:sz w:val="20"/>
          <w:szCs w:val="20"/>
        </w:rPr>
        <w:t xml:space="preserve"> </w:t>
      </w:r>
      <w:r w:rsidR="00695BF2">
        <w:rPr>
          <w:color w:val="000000"/>
          <w:sz w:val="20"/>
          <w:szCs w:val="20"/>
        </w:rPr>
        <w:t>(</w:t>
      </w:r>
      <w:r w:rsidRPr="00E35F4D">
        <w:rPr>
          <w:color w:val="000000"/>
          <w:sz w:val="20"/>
          <w:szCs w:val="20"/>
        </w:rPr>
        <w:t>825 mg/m</w:t>
      </w:r>
      <w:r w:rsidRPr="00E35F4D">
        <w:rPr>
          <w:color w:val="000000"/>
          <w:sz w:val="20"/>
          <w:szCs w:val="20"/>
          <w:vertAlign w:val="superscript"/>
        </w:rPr>
        <w:t>2</w:t>
      </w:r>
      <w:r w:rsidRPr="00E35F4D">
        <w:rPr>
          <w:color w:val="000000"/>
          <w:sz w:val="20"/>
          <w:szCs w:val="20"/>
        </w:rPr>
        <w:t xml:space="preserve"> twice daily</w:t>
      </w:r>
      <w:r w:rsidR="00695BF2">
        <w:rPr>
          <w:color w:val="000000"/>
          <w:sz w:val="20"/>
          <w:szCs w:val="20"/>
        </w:rPr>
        <w:t>)</w:t>
      </w:r>
      <w:r w:rsidRPr="00E35F4D">
        <w:rPr>
          <w:color w:val="000000"/>
          <w:sz w:val="20"/>
          <w:szCs w:val="20"/>
        </w:rPr>
        <w:t xml:space="preserve"> </w:t>
      </w:r>
      <w:r w:rsidR="00695BF2">
        <w:rPr>
          <w:color w:val="000000"/>
          <w:sz w:val="20"/>
          <w:szCs w:val="20"/>
        </w:rPr>
        <w:t xml:space="preserve">was received </w:t>
      </w:r>
      <w:r w:rsidR="00695BF2" w:rsidRPr="00E35F4D">
        <w:rPr>
          <w:color w:val="000000"/>
          <w:sz w:val="20"/>
          <w:szCs w:val="20"/>
        </w:rPr>
        <w:t>during</w:t>
      </w:r>
      <w:r w:rsidRPr="00E35F4D">
        <w:rPr>
          <w:color w:val="000000"/>
          <w:sz w:val="20"/>
          <w:szCs w:val="20"/>
        </w:rPr>
        <w:t xml:space="preserve"> the RT </w:t>
      </w:r>
      <w:r w:rsidR="00695BF2">
        <w:rPr>
          <w:color w:val="000000"/>
          <w:sz w:val="20"/>
          <w:szCs w:val="20"/>
        </w:rPr>
        <w:t>days</w:t>
      </w:r>
      <w:r w:rsidRPr="00E35F4D">
        <w:rPr>
          <w:color w:val="000000"/>
          <w:sz w:val="20"/>
          <w:szCs w:val="20"/>
        </w:rPr>
        <w:t>. The first</w:t>
      </w:r>
      <w:r w:rsidR="00A50F87">
        <w:rPr>
          <w:color w:val="000000"/>
          <w:sz w:val="20"/>
          <w:szCs w:val="20"/>
        </w:rPr>
        <w:t xml:space="preserve"> </w:t>
      </w:r>
      <w:proofErr w:type="spellStart"/>
      <w:r w:rsidR="00A50F87" w:rsidRPr="00E35F4D">
        <w:rPr>
          <w:color w:val="000000"/>
          <w:sz w:val="20"/>
          <w:szCs w:val="20"/>
        </w:rPr>
        <w:t>capecitabine</w:t>
      </w:r>
      <w:proofErr w:type="spellEnd"/>
      <w:r w:rsidRPr="00E35F4D">
        <w:rPr>
          <w:color w:val="000000"/>
          <w:sz w:val="20"/>
          <w:szCs w:val="20"/>
        </w:rPr>
        <w:t xml:space="preserve"> dose </w:t>
      </w:r>
      <w:r w:rsidR="00A50F87">
        <w:rPr>
          <w:color w:val="000000"/>
          <w:sz w:val="20"/>
          <w:szCs w:val="20"/>
        </w:rPr>
        <w:t xml:space="preserve">received </w:t>
      </w:r>
      <w:r w:rsidRPr="00E35F4D">
        <w:rPr>
          <w:color w:val="000000"/>
          <w:sz w:val="20"/>
          <w:szCs w:val="20"/>
        </w:rPr>
        <w:t xml:space="preserve">2 hours before RT </w:t>
      </w:r>
      <w:r w:rsidR="00A50F87">
        <w:rPr>
          <w:color w:val="000000"/>
          <w:sz w:val="20"/>
          <w:szCs w:val="20"/>
        </w:rPr>
        <w:t xml:space="preserve">and the </w:t>
      </w:r>
      <w:r w:rsidRPr="00E35F4D">
        <w:rPr>
          <w:color w:val="000000"/>
          <w:sz w:val="20"/>
          <w:szCs w:val="20"/>
        </w:rPr>
        <w:t xml:space="preserve">second </w:t>
      </w:r>
      <w:r w:rsidRPr="007A2A2B">
        <w:rPr>
          <w:sz w:val="20"/>
          <w:szCs w:val="20"/>
        </w:rPr>
        <w:t xml:space="preserve">dose </w:t>
      </w:r>
      <w:r w:rsidR="00A50F87">
        <w:rPr>
          <w:sz w:val="20"/>
          <w:szCs w:val="20"/>
        </w:rPr>
        <w:t>received after 12 hours</w:t>
      </w:r>
      <w:r w:rsidRPr="007A2A2B">
        <w:rPr>
          <w:sz w:val="20"/>
          <w:szCs w:val="20"/>
        </w:rPr>
        <w:t>.</w:t>
      </w:r>
    </w:p>
    <w:p w:rsidR="00CD773F" w:rsidRPr="007A2A2B" w:rsidRDefault="00CD773F" w:rsidP="0007506E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7A2A2B">
        <w:rPr>
          <w:sz w:val="20"/>
          <w:szCs w:val="20"/>
          <w:lang w:bidi="ar-SA"/>
        </w:rPr>
        <w:lastRenderedPageBreak/>
        <w:t xml:space="preserve">A CT slices at a distance of 0.5 cm in treatment position was obtained. </w:t>
      </w:r>
      <w:r w:rsidRPr="007A2A2B">
        <w:rPr>
          <w:sz w:val="20"/>
          <w:szCs w:val="20"/>
        </w:rPr>
        <w:t xml:space="preserve">Linear accelerator (6 MV) was used to deliver </w:t>
      </w:r>
      <w:r w:rsidRPr="007A2A2B">
        <w:rPr>
          <w:sz w:val="20"/>
          <w:szCs w:val="20"/>
          <w:lang w:bidi="ar-SA"/>
        </w:rPr>
        <w:t xml:space="preserve">three-dimensional conformal </w:t>
      </w:r>
      <w:r w:rsidRPr="007A2A2B">
        <w:rPr>
          <w:sz w:val="20"/>
          <w:szCs w:val="20"/>
        </w:rPr>
        <w:t>RT</w:t>
      </w:r>
      <w:r w:rsidRPr="007A2A2B">
        <w:rPr>
          <w:sz w:val="20"/>
          <w:szCs w:val="20"/>
          <w:lang w:bidi="ar-SA"/>
        </w:rPr>
        <w:t xml:space="preserve"> (3-DCRT)</w:t>
      </w:r>
      <w:r w:rsidRPr="007A2A2B">
        <w:rPr>
          <w:sz w:val="20"/>
          <w:szCs w:val="20"/>
        </w:rPr>
        <w:t xml:space="preserve"> </w:t>
      </w:r>
      <w:r w:rsidRPr="007A2A2B">
        <w:rPr>
          <w:sz w:val="20"/>
          <w:szCs w:val="20"/>
          <w:lang w:bidi="ar-SA"/>
        </w:rPr>
        <w:t>to the tumor and pelvic lymph</w:t>
      </w:r>
      <w:r w:rsidRPr="007A2A2B">
        <w:rPr>
          <w:b/>
          <w:bCs/>
          <w:sz w:val="20"/>
          <w:szCs w:val="20"/>
        </w:rPr>
        <w:t xml:space="preserve"> </w:t>
      </w:r>
      <w:r w:rsidRPr="007A2A2B">
        <w:rPr>
          <w:sz w:val="20"/>
          <w:szCs w:val="20"/>
          <w:lang w:bidi="ar-SA"/>
        </w:rPr>
        <w:t xml:space="preserve">nodes (LNs). All patients were treated with conventional fractionation to a total dose of </w:t>
      </w:r>
      <w:r w:rsidRPr="007A2A2B">
        <w:rPr>
          <w:sz w:val="20"/>
          <w:szCs w:val="20"/>
        </w:rPr>
        <w:t xml:space="preserve">45 </w:t>
      </w:r>
      <w:proofErr w:type="spellStart"/>
      <w:r w:rsidRPr="007A2A2B">
        <w:rPr>
          <w:sz w:val="20"/>
          <w:szCs w:val="20"/>
        </w:rPr>
        <w:t>Gy</w:t>
      </w:r>
      <w:proofErr w:type="spellEnd"/>
      <w:r w:rsidRPr="007A2A2B">
        <w:rPr>
          <w:sz w:val="20"/>
          <w:szCs w:val="20"/>
        </w:rPr>
        <w:t>/25 fractions/5 weeks.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A47AD1" w:rsidRPr="007A2A2B" w:rsidRDefault="00A47AD1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7A2A2B">
        <w:rPr>
          <w:b/>
          <w:bCs/>
          <w:i/>
          <w:iCs/>
          <w:sz w:val="20"/>
          <w:szCs w:val="20"/>
        </w:rPr>
        <w:t>Response assessment</w:t>
      </w:r>
    </w:p>
    <w:p w:rsidR="00A47AD1" w:rsidRPr="00E35F4D" w:rsidRDefault="00A47AD1" w:rsidP="0007506E">
      <w:pPr>
        <w:snapToGrid w:val="0"/>
        <w:ind w:firstLine="360"/>
        <w:jc w:val="both"/>
        <w:rPr>
          <w:color w:val="000000"/>
          <w:sz w:val="20"/>
          <w:szCs w:val="20"/>
        </w:rPr>
      </w:pPr>
      <w:r w:rsidRPr="007A2A2B">
        <w:rPr>
          <w:sz w:val="20"/>
          <w:szCs w:val="20"/>
        </w:rPr>
        <w:t xml:space="preserve">After the preoperative therapy, all patients were investigated by </w:t>
      </w:r>
      <w:proofErr w:type="spellStart"/>
      <w:r w:rsidRPr="007A2A2B">
        <w:rPr>
          <w:sz w:val="20"/>
          <w:szCs w:val="20"/>
          <w:lang w:bidi="ar-SA"/>
        </w:rPr>
        <w:t>abdominopelvic</w:t>
      </w:r>
      <w:proofErr w:type="spellEnd"/>
      <w:r w:rsidRPr="00E35F4D">
        <w:rPr>
          <w:sz w:val="20"/>
          <w:szCs w:val="20"/>
          <w:lang w:bidi="ar-SA"/>
        </w:rPr>
        <w:t xml:space="preserve"> CT and/or MRI</w:t>
      </w:r>
      <w:r w:rsidRPr="00E35F4D">
        <w:rPr>
          <w:sz w:val="20"/>
          <w:szCs w:val="20"/>
        </w:rPr>
        <w:t xml:space="preserve"> scan to assure response to the studied protocol.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E35F4D" w:rsidRDefault="00063FE4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Surgery</w:t>
      </w:r>
    </w:p>
    <w:p w:rsidR="00971498" w:rsidRPr="00E35F4D" w:rsidRDefault="0087630B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E35F4D">
        <w:rPr>
          <w:rFonts w:eastAsia="Scala"/>
          <w:sz w:val="20"/>
          <w:szCs w:val="20"/>
        </w:rPr>
        <w:t xml:space="preserve">Total </w:t>
      </w:r>
      <w:proofErr w:type="spellStart"/>
      <w:r w:rsidRPr="00E35F4D">
        <w:rPr>
          <w:rFonts w:eastAsia="Scala"/>
          <w:sz w:val="20"/>
          <w:szCs w:val="20"/>
        </w:rPr>
        <w:t>mesorectal</w:t>
      </w:r>
      <w:proofErr w:type="spellEnd"/>
      <w:r w:rsidRPr="00E35F4D">
        <w:rPr>
          <w:rFonts w:eastAsia="Scala"/>
          <w:sz w:val="20"/>
          <w:szCs w:val="20"/>
        </w:rPr>
        <w:t xml:space="preserve"> surgical excision technique </w:t>
      </w:r>
      <w:r w:rsidR="00971498" w:rsidRPr="00E35F4D">
        <w:rPr>
          <w:sz w:val="20"/>
          <w:szCs w:val="20"/>
        </w:rPr>
        <w:t>was</w:t>
      </w:r>
      <w:r w:rsidR="00971498" w:rsidRPr="00E35F4D">
        <w:rPr>
          <w:rFonts w:eastAsia="Scala"/>
          <w:sz w:val="20"/>
          <w:szCs w:val="20"/>
        </w:rPr>
        <w:t xml:space="preserve"> planned to undergo 6 weeks after completing </w:t>
      </w:r>
      <w:r w:rsidR="00971498" w:rsidRPr="00E35F4D">
        <w:rPr>
          <w:rStyle w:val="A1"/>
          <w:rFonts w:cs="Times New Roman"/>
          <w:color w:val="auto"/>
          <w:sz w:val="20"/>
          <w:szCs w:val="20"/>
        </w:rPr>
        <w:t>CRT</w:t>
      </w:r>
      <w:r w:rsidR="00F323BC" w:rsidRPr="00E35F4D">
        <w:rPr>
          <w:rStyle w:val="A1"/>
          <w:rFonts w:cs="Times New Roman"/>
          <w:color w:val="auto"/>
          <w:sz w:val="20"/>
          <w:szCs w:val="20"/>
        </w:rPr>
        <w:t xml:space="preserve"> for</w:t>
      </w:r>
      <w:r w:rsidR="00971498" w:rsidRPr="00E35F4D">
        <w:rPr>
          <w:rFonts w:eastAsia="Scala"/>
          <w:sz w:val="20"/>
          <w:szCs w:val="20"/>
        </w:rPr>
        <w:t xml:space="preserve"> all patients</w:t>
      </w:r>
      <w:r w:rsidR="00F323BC" w:rsidRPr="00E35F4D">
        <w:rPr>
          <w:rFonts w:eastAsia="Scala"/>
          <w:sz w:val="20"/>
          <w:szCs w:val="20"/>
        </w:rPr>
        <w:t>.</w:t>
      </w:r>
      <w:r w:rsidR="00971498" w:rsidRPr="00E35F4D">
        <w:rPr>
          <w:sz w:val="20"/>
          <w:szCs w:val="20"/>
        </w:rPr>
        <w:t xml:space="preserve"> </w:t>
      </w:r>
      <w:r w:rsidR="00F323BC" w:rsidRPr="00E35F4D">
        <w:rPr>
          <w:sz w:val="20"/>
          <w:szCs w:val="20"/>
        </w:rPr>
        <w:t>T</w:t>
      </w:r>
      <w:r w:rsidR="00971498" w:rsidRPr="00E35F4D">
        <w:rPr>
          <w:sz w:val="20"/>
          <w:szCs w:val="20"/>
        </w:rPr>
        <w:t xml:space="preserve">he </w:t>
      </w:r>
      <w:r w:rsidR="00F323BC" w:rsidRPr="00E35F4D">
        <w:rPr>
          <w:sz w:val="20"/>
          <w:szCs w:val="20"/>
        </w:rPr>
        <w:t xml:space="preserve">decision </w:t>
      </w:r>
      <w:r w:rsidR="00971498" w:rsidRPr="00E35F4D">
        <w:rPr>
          <w:sz w:val="20"/>
          <w:szCs w:val="20"/>
        </w:rPr>
        <w:t xml:space="preserve">of surgical resection </w:t>
      </w:r>
      <w:r w:rsidR="00653AF1" w:rsidRPr="00E35F4D">
        <w:rPr>
          <w:sz w:val="20"/>
          <w:szCs w:val="20"/>
          <w:lang w:bidi="ar-SA"/>
        </w:rPr>
        <w:t xml:space="preserve">whether </w:t>
      </w:r>
      <w:r w:rsidR="00772211" w:rsidRPr="00E35F4D">
        <w:rPr>
          <w:sz w:val="20"/>
          <w:szCs w:val="20"/>
          <w:lang w:bidi="ar-SA"/>
        </w:rPr>
        <w:t xml:space="preserve">low anterior resection (LAR) </w:t>
      </w:r>
      <w:r w:rsidR="00653AF1" w:rsidRPr="00E35F4D">
        <w:rPr>
          <w:sz w:val="20"/>
          <w:szCs w:val="20"/>
          <w:lang w:bidi="ar-SA"/>
        </w:rPr>
        <w:t xml:space="preserve">or </w:t>
      </w:r>
      <w:proofErr w:type="spellStart"/>
      <w:r w:rsidR="00772211" w:rsidRPr="00E35F4D">
        <w:rPr>
          <w:sz w:val="20"/>
          <w:szCs w:val="20"/>
          <w:lang w:bidi="ar-SA"/>
        </w:rPr>
        <w:t>abdominoperineal</w:t>
      </w:r>
      <w:proofErr w:type="spellEnd"/>
      <w:r w:rsidR="00772211" w:rsidRPr="00E35F4D">
        <w:rPr>
          <w:sz w:val="20"/>
          <w:szCs w:val="20"/>
          <w:lang w:bidi="ar-SA"/>
        </w:rPr>
        <w:t xml:space="preserve"> resection (APR) </w:t>
      </w:r>
      <w:r w:rsidR="008F1AA7" w:rsidRPr="00E35F4D">
        <w:rPr>
          <w:sz w:val="20"/>
          <w:szCs w:val="20"/>
        </w:rPr>
        <w:t xml:space="preserve">was </w:t>
      </w:r>
      <w:r w:rsidR="00F323BC" w:rsidRPr="00E35F4D">
        <w:rPr>
          <w:sz w:val="20"/>
          <w:szCs w:val="20"/>
        </w:rPr>
        <w:t xml:space="preserve">taken </w:t>
      </w:r>
      <w:r w:rsidR="00971498" w:rsidRPr="00E35F4D">
        <w:rPr>
          <w:sz w:val="20"/>
          <w:szCs w:val="20"/>
        </w:rPr>
        <w:t>according to tumor response</w:t>
      </w:r>
      <w:r w:rsidR="008F1AA7" w:rsidRPr="00E35F4D">
        <w:rPr>
          <w:sz w:val="20"/>
          <w:szCs w:val="20"/>
          <w:lang w:bidi="ar-SA"/>
        </w:rPr>
        <w:t xml:space="preserve"> and the</w:t>
      </w:r>
      <w:r w:rsidR="00EF28BD" w:rsidRPr="00E35F4D">
        <w:rPr>
          <w:sz w:val="20"/>
          <w:szCs w:val="20"/>
          <w:lang w:bidi="ar-SA"/>
        </w:rPr>
        <w:t xml:space="preserve"> surgeon’s discretion.</w:t>
      </w:r>
    </w:p>
    <w:p w:rsidR="00605D57" w:rsidRPr="00605D57" w:rsidRDefault="00605D57" w:rsidP="002B2928">
      <w:pPr>
        <w:snapToGrid w:val="0"/>
        <w:jc w:val="both"/>
        <w:rPr>
          <w:sz w:val="8"/>
          <w:szCs w:val="8"/>
        </w:rPr>
      </w:pPr>
    </w:p>
    <w:p w:rsidR="00971498" w:rsidRPr="00E35F4D" w:rsidRDefault="00337321" w:rsidP="002B2928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Adjuvant CT</w:t>
      </w:r>
    </w:p>
    <w:p w:rsidR="00971498" w:rsidRPr="00E35F4D" w:rsidRDefault="00971498" w:rsidP="00A50F87">
      <w:pPr>
        <w:snapToGrid w:val="0"/>
        <w:ind w:firstLine="360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Following surgery, </w:t>
      </w:r>
      <w:r w:rsidR="00F323BC" w:rsidRPr="00E35F4D">
        <w:rPr>
          <w:sz w:val="20"/>
          <w:szCs w:val="20"/>
        </w:rPr>
        <w:t xml:space="preserve">all </w:t>
      </w:r>
      <w:r w:rsidRPr="00E35F4D">
        <w:rPr>
          <w:sz w:val="20"/>
          <w:szCs w:val="20"/>
        </w:rPr>
        <w:t xml:space="preserve">patients received an additional </w:t>
      </w:r>
      <w:r w:rsidR="00943667" w:rsidRPr="00E35F4D">
        <w:rPr>
          <w:sz w:val="20"/>
          <w:szCs w:val="20"/>
        </w:rPr>
        <w:t>4 cycles</w:t>
      </w:r>
      <w:r w:rsidR="00B11109" w:rsidRPr="00E35F4D">
        <w:rPr>
          <w:sz w:val="20"/>
          <w:szCs w:val="20"/>
        </w:rPr>
        <w:t xml:space="preserve"> of </w:t>
      </w:r>
      <w:r w:rsidR="00063FE4" w:rsidRPr="00E35F4D">
        <w:rPr>
          <w:sz w:val="20"/>
          <w:szCs w:val="20"/>
        </w:rPr>
        <w:t xml:space="preserve">adjuvant </w:t>
      </w:r>
      <w:proofErr w:type="spellStart"/>
      <w:r w:rsidR="00B11109" w:rsidRPr="00E35F4D">
        <w:rPr>
          <w:sz w:val="20"/>
          <w:szCs w:val="20"/>
        </w:rPr>
        <w:t>capecitabine</w:t>
      </w:r>
      <w:proofErr w:type="spellEnd"/>
      <w:r w:rsidR="00B11109" w:rsidRPr="00E35F4D">
        <w:rPr>
          <w:sz w:val="20"/>
          <w:szCs w:val="20"/>
        </w:rPr>
        <w:t xml:space="preserve"> (1250 mg/m</w:t>
      </w:r>
      <w:r w:rsidR="00B11109" w:rsidRPr="00E35F4D">
        <w:rPr>
          <w:sz w:val="20"/>
          <w:szCs w:val="20"/>
          <w:vertAlign w:val="superscript"/>
        </w:rPr>
        <w:t>2</w:t>
      </w:r>
      <w:r w:rsidR="00B11109" w:rsidRPr="00E35F4D">
        <w:rPr>
          <w:sz w:val="20"/>
          <w:szCs w:val="20"/>
        </w:rPr>
        <w:t xml:space="preserve"> twice daily</w:t>
      </w:r>
      <w:r w:rsidR="00A50F87">
        <w:rPr>
          <w:sz w:val="20"/>
          <w:szCs w:val="20"/>
        </w:rPr>
        <w:t>)</w:t>
      </w:r>
      <w:r w:rsidR="00B11109" w:rsidRPr="00E35F4D">
        <w:rPr>
          <w:sz w:val="20"/>
          <w:szCs w:val="20"/>
        </w:rPr>
        <w:t xml:space="preserve"> for </w:t>
      </w:r>
      <w:r w:rsidR="00A50F87">
        <w:rPr>
          <w:sz w:val="20"/>
          <w:szCs w:val="20"/>
        </w:rPr>
        <w:t>2 weeks and the cycles repeated, every 3 weeks</w:t>
      </w:r>
      <w:r w:rsidRPr="00E35F4D">
        <w:rPr>
          <w:sz w:val="20"/>
          <w:szCs w:val="20"/>
        </w:rPr>
        <w:t>.</w:t>
      </w:r>
    </w:p>
    <w:p w:rsidR="00605D57" w:rsidRPr="00605D57" w:rsidRDefault="00605D57" w:rsidP="002B2928">
      <w:pPr>
        <w:autoSpaceDE w:val="0"/>
        <w:autoSpaceDN w:val="0"/>
        <w:adjustRightInd w:val="0"/>
        <w:snapToGrid w:val="0"/>
        <w:jc w:val="both"/>
        <w:rPr>
          <w:rFonts w:eastAsia="Scala"/>
          <w:sz w:val="8"/>
          <w:szCs w:val="8"/>
        </w:rPr>
      </w:pPr>
    </w:p>
    <w:p w:rsidR="00DE6CAD" w:rsidRPr="00E35F4D" w:rsidRDefault="00DE6CAD" w:rsidP="002B2928">
      <w:pPr>
        <w:autoSpaceDE w:val="0"/>
        <w:autoSpaceDN w:val="0"/>
        <w:adjustRightInd w:val="0"/>
        <w:snapToGrid w:val="0"/>
        <w:jc w:val="both"/>
        <w:rPr>
          <w:rFonts w:eastAsia="Scala"/>
          <w:b/>
          <w:bCs/>
          <w:i/>
          <w:iCs/>
          <w:sz w:val="20"/>
          <w:szCs w:val="20"/>
        </w:rPr>
      </w:pPr>
      <w:r w:rsidRPr="00E35F4D">
        <w:rPr>
          <w:rFonts w:eastAsia="Scala"/>
          <w:b/>
          <w:bCs/>
          <w:i/>
          <w:iCs/>
          <w:sz w:val="20"/>
          <w:szCs w:val="20"/>
        </w:rPr>
        <w:t>Toxicity Evaluation</w:t>
      </w:r>
    </w:p>
    <w:p w:rsidR="00A734FD" w:rsidRPr="00E35F4D" w:rsidRDefault="00843BBB" w:rsidP="00520731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>
        <w:rPr>
          <w:rFonts w:eastAsia="Scala"/>
          <w:sz w:val="20"/>
          <w:szCs w:val="20"/>
        </w:rPr>
        <w:t>Ac</w:t>
      </w:r>
      <w:r w:rsidR="00110172">
        <w:rPr>
          <w:rFonts w:eastAsia="Scala"/>
          <w:sz w:val="20"/>
          <w:szCs w:val="20"/>
        </w:rPr>
        <w:t>u</w:t>
      </w:r>
      <w:r>
        <w:rPr>
          <w:rFonts w:eastAsia="Scala"/>
          <w:sz w:val="20"/>
          <w:szCs w:val="20"/>
        </w:rPr>
        <w:t>te toxicit</w:t>
      </w:r>
      <w:r w:rsidR="00110172">
        <w:rPr>
          <w:rFonts w:eastAsia="Scala"/>
          <w:sz w:val="20"/>
          <w:szCs w:val="20"/>
        </w:rPr>
        <w:t>y</w:t>
      </w:r>
      <w:r>
        <w:rPr>
          <w:rFonts w:eastAsia="Scala"/>
          <w:sz w:val="20"/>
          <w:szCs w:val="20"/>
        </w:rPr>
        <w:t xml:space="preserve"> w</w:t>
      </w:r>
      <w:r w:rsidR="00110172">
        <w:rPr>
          <w:rFonts w:eastAsia="Scala"/>
          <w:sz w:val="20"/>
          <w:szCs w:val="20"/>
        </w:rPr>
        <w:t>as</w:t>
      </w:r>
      <w:r>
        <w:rPr>
          <w:rFonts w:eastAsia="Scala"/>
          <w:sz w:val="20"/>
          <w:szCs w:val="20"/>
        </w:rPr>
        <w:t xml:space="preserve"> assessed during the course of concomitant therapy </w:t>
      </w:r>
      <w:r w:rsidR="00110172">
        <w:rPr>
          <w:rFonts w:eastAsia="Scala"/>
          <w:sz w:val="20"/>
          <w:szCs w:val="20"/>
        </w:rPr>
        <w:t xml:space="preserve">weekly and CBC was tested </w:t>
      </w:r>
      <w:r w:rsidR="00DE6CAD" w:rsidRPr="00E35F4D">
        <w:rPr>
          <w:rFonts w:eastAsia="Scala"/>
          <w:sz w:val="20"/>
          <w:szCs w:val="20"/>
        </w:rPr>
        <w:t>each time.</w:t>
      </w:r>
      <w:r w:rsidR="00DE6CAD" w:rsidRPr="00E35F4D">
        <w:rPr>
          <w:sz w:val="20"/>
          <w:szCs w:val="20"/>
        </w:rPr>
        <w:t xml:space="preserve"> The intensity of side effects was assessed according to National Cancer Institute Common Terminology Criteria for Adverse Events version 3.0</w:t>
      </w:r>
      <w:r w:rsidR="00DE6CAD" w:rsidRPr="00E35F4D">
        <w:rPr>
          <w:b/>
          <w:bCs/>
          <w:i/>
          <w:iCs/>
          <w:sz w:val="20"/>
          <w:szCs w:val="20"/>
        </w:rPr>
        <w:t xml:space="preserve"> </w:t>
      </w:r>
      <w:r w:rsidR="00DE6CAD" w:rsidRPr="00E35F4D">
        <w:rPr>
          <w:b/>
          <w:bCs/>
          <w:sz w:val="20"/>
          <w:szCs w:val="20"/>
          <w:lang w:bidi="ar-SA"/>
        </w:rPr>
        <w:t>[15]</w:t>
      </w:r>
      <w:r w:rsidR="00DE6CAD" w:rsidRPr="00E35F4D">
        <w:rPr>
          <w:sz w:val="20"/>
          <w:szCs w:val="20"/>
        </w:rPr>
        <w:t>.</w:t>
      </w:r>
    </w:p>
    <w:p w:rsidR="00605D57" w:rsidRPr="00605D57" w:rsidRDefault="00605D57" w:rsidP="002B2928">
      <w:pPr>
        <w:autoSpaceDE w:val="0"/>
        <w:autoSpaceDN w:val="0"/>
        <w:adjustRightInd w:val="0"/>
        <w:snapToGrid w:val="0"/>
        <w:jc w:val="both"/>
        <w:rPr>
          <w:sz w:val="8"/>
          <w:szCs w:val="8"/>
          <w:lang w:bidi="ar-SA"/>
        </w:rPr>
      </w:pPr>
    </w:p>
    <w:p w:rsidR="00A734FD" w:rsidRPr="00E35F4D" w:rsidRDefault="00A734FD" w:rsidP="002B2928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t>Dose Modification</w:t>
      </w:r>
    </w:p>
    <w:p w:rsidR="00205329" w:rsidRDefault="00F54288" w:rsidP="00205329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Chemotherapy and </w:t>
      </w:r>
      <w:r w:rsidR="00346FCB" w:rsidRPr="00E35F4D">
        <w:rPr>
          <w:sz w:val="20"/>
          <w:szCs w:val="20"/>
          <w:lang w:bidi="ar-SA"/>
        </w:rPr>
        <w:t>RT</w:t>
      </w:r>
      <w:r w:rsidRPr="00E35F4D">
        <w:rPr>
          <w:sz w:val="20"/>
          <w:szCs w:val="20"/>
          <w:lang w:bidi="ar-SA"/>
        </w:rPr>
        <w:t xml:space="preserve"> were </w:t>
      </w:r>
      <w:r w:rsidR="00C026AE" w:rsidRPr="00E35F4D">
        <w:rPr>
          <w:sz w:val="20"/>
          <w:szCs w:val="20"/>
          <w:lang w:bidi="ar-SA"/>
        </w:rPr>
        <w:t>discontinued</w:t>
      </w:r>
      <w:r w:rsidRPr="00E35F4D">
        <w:rPr>
          <w:sz w:val="20"/>
          <w:szCs w:val="20"/>
          <w:lang w:bidi="ar-SA"/>
        </w:rPr>
        <w:t xml:space="preserve"> if </w:t>
      </w:r>
      <w:r w:rsidR="00152C1C">
        <w:rPr>
          <w:sz w:val="20"/>
          <w:szCs w:val="20"/>
          <w:lang w:bidi="ar-SA"/>
        </w:rPr>
        <w:t>≥</w:t>
      </w:r>
      <w:r w:rsidR="008833D2" w:rsidRPr="00E35F4D">
        <w:rPr>
          <w:sz w:val="20"/>
          <w:szCs w:val="20"/>
          <w:lang w:bidi="ar-SA"/>
        </w:rPr>
        <w:t>grade</w:t>
      </w:r>
      <w:r w:rsidRPr="00E35F4D">
        <w:rPr>
          <w:sz w:val="20"/>
          <w:szCs w:val="20"/>
          <w:lang w:bidi="ar-SA"/>
        </w:rPr>
        <w:t xml:space="preserve"> 3 toxicity </w:t>
      </w:r>
      <w:r w:rsidR="00C026AE" w:rsidRPr="00E35F4D">
        <w:rPr>
          <w:sz w:val="20"/>
          <w:szCs w:val="20"/>
          <w:lang w:bidi="ar-SA"/>
        </w:rPr>
        <w:t>developed</w:t>
      </w:r>
      <w:r w:rsidRPr="00E35F4D">
        <w:rPr>
          <w:sz w:val="20"/>
          <w:szCs w:val="20"/>
          <w:lang w:bidi="ar-SA"/>
        </w:rPr>
        <w:t xml:space="preserve">. </w:t>
      </w:r>
      <w:r w:rsidR="00152C1C">
        <w:rPr>
          <w:sz w:val="20"/>
          <w:szCs w:val="20"/>
          <w:lang w:bidi="ar-SA"/>
        </w:rPr>
        <w:t xml:space="preserve">When toxicity improved to </w:t>
      </w:r>
      <w:r w:rsidR="00152C1C" w:rsidRPr="00E35F4D">
        <w:rPr>
          <w:sz w:val="20"/>
          <w:szCs w:val="20"/>
          <w:lang w:bidi="ar-SA"/>
        </w:rPr>
        <w:t>≤</w:t>
      </w:r>
      <w:r w:rsidR="00152C1C">
        <w:rPr>
          <w:sz w:val="20"/>
          <w:szCs w:val="20"/>
          <w:lang w:bidi="ar-SA"/>
        </w:rPr>
        <w:t xml:space="preserve">grade </w:t>
      </w:r>
      <w:r w:rsidR="00152C1C" w:rsidRPr="00E35F4D">
        <w:rPr>
          <w:sz w:val="20"/>
          <w:szCs w:val="20"/>
          <w:lang w:bidi="ar-SA"/>
        </w:rPr>
        <w:t>1</w:t>
      </w:r>
      <w:r w:rsidR="00152C1C">
        <w:rPr>
          <w:sz w:val="20"/>
          <w:szCs w:val="20"/>
          <w:lang w:bidi="ar-SA"/>
        </w:rPr>
        <w:t xml:space="preserve">, the treatment was </w:t>
      </w:r>
      <w:r w:rsidR="00BA27CE" w:rsidRPr="00E35F4D">
        <w:rPr>
          <w:sz w:val="20"/>
          <w:szCs w:val="20"/>
          <w:lang w:bidi="ar-SA"/>
        </w:rPr>
        <w:t>resumed</w:t>
      </w:r>
      <w:r w:rsidR="00205329">
        <w:rPr>
          <w:sz w:val="20"/>
          <w:szCs w:val="20"/>
          <w:lang w:bidi="ar-SA"/>
        </w:rPr>
        <w:t xml:space="preserve"> with </w:t>
      </w:r>
      <w:r w:rsidR="0098780D">
        <w:rPr>
          <w:sz w:val="20"/>
          <w:szCs w:val="20"/>
          <w:lang w:bidi="ar-SA"/>
        </w:rPr>
        <w:t>reduction of CT dose to 75% of the planned dose for the first toxicity event and to 50% for the second toxicit</w:t>
      </w:r>
      <w:r w:rsidR="00582C9D">
        <w:rPr>
          <w:sz w:val="20"/>
          <w:szCs w:val="20"/>
          <w:lang w:bidi="ar-SA"/>
        </w:rPr>
        <w:t>y</w:t>
      </w:r>
      <w:r w:rsidR="0098780D">
        <w:rPr>
          <w:sz w:val="20"/>
          <w:szCs w:val="20"/>
          <w:lang w:bidi="ar-SA"/>
        </w:rPr>
        <w:t xml:space="preserve"> event. </w:t>
      </w:r>
      <w:r w:rsidR="008A1457" w:rsidRPr="00E35F4D">
        <w:rPr>
          <w:sz w:val="20"/>
          <w:szCs w:val="20"/>
          <w:lang w:bidi="ar-SA"/>
        </w:rPr>
        <w:t xml:space="preserve"> </w:t>
      </w:r>
    </w:p>
    <w:p w:rsidR="00605D57" w:rsidRPr="00605D57" w:rsidRDefault="00605D57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8"/>
          <w:szCs w:val="8"/>
          <w:lang w:bidi="ar-SA"/>
        </w:rPr>
      </w:pPr>
    </w:p>
    <w:p w:rsidR="00971498" w:rsidRPr="00E35F4D" w:rsidRDefault="00971498" w:rsidP="002B2928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E35F4D">
        <w:rPr>
          <w:b/>
          <w:bCs/>
          <w:sz w:val="20"/>
          <w:szCs w:val="20"/>
          <w:lang w:bidi="ar-SA"/>
        </w:rPr>
        <w:t>Follow-up</w:t>
      </w:r>
    </w:p>
    <w:p w:rsidR="00F54288" w:rsidRPr="00E35F4D" w:rsidRDefault="00F54288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Subsequent follow-up visits to detect or confirm local tumor recurrence or dista</w:t>
      </w:r>
      <w:r w:rsidR="00A47AD1" w:rsidRPr="00E35F4D">
        <w:rPr>
          <w:sz w:val="20"/>
          <w:szCs w:val="20"/>
          <w:lang w:bidi="ar-SA"/>
        </w:rPr>
        <w:t>nt</w:t>
      </w:r>
      <w:r w:rsidRPr="00E35F4D">
        <w:rPr>
          <w:sz w:val="20"/>
          <w:szCs w:val="20"/>
          <w:lang w:bidi="ar-SA"/>
        </w:rPr>
        <w:t xml:space="preserve"> metastasis by </w:t>
      </w:r>
      <w:proofErr w:type="spellStart"/>
      <w:r w:rsidRPr="00E35F4D">
        <w:rPr>
          <w:sz w:val="20"/>
          <w:szCs w:val="20"/>
          <w:lang w:bidi="ar-SA"/>
        </w:rPr>
        <w:t>pelviabdominal</w:t>
      </w:r>
      <w:proofErr w:type="spellEnd"/>
      <w:r w:rsidRPr="00E35F4D">
        <w:rPr>
          <w:sz w:val="20"/>
          <w:szCs w:val="20"/>
          <w:lang w:bidi="ar-SA"/>
        </w:rPr>
        <w:t xml:space="preserve"> CT and/or MRI scan, chest X-ray and others as indicated were scheduled at three monthly intervals for the first year, </w:t>
      </w:r>
      <w:r w:rsidR="00437E69" w:rsidRPr="00E35F4D">
        <w:rPr>
          <w:sz w:val="20"/>
          <w:szCs w:val="20"/>
          <w:lang w:bidi="ar-SA"/>
        </w:rPr>
        <w:t>every 6</w:t>
      </w:r>
      <w:r w:rsidRPr="00E35F4D">
        <w:rPr>
          <w:sz w:val="20"/>
          <w:szCs w:val="20"/>
          <w:lang w:bidi="ar-SA"/>
        </w:rPr>
        <w:t xml:space="preserve"> month</w:t>
      </w:r>
      <w:r w:rsidR="00437E69" w:rsidRPr="00E35F4D">
        <w:rPr>
          <w:sz w:val="20"/>
          <w:szCs w:val="20"/>
          <w:lang w:bidi="ar-SA"/>
        </w:rPr>
        <w:t>s</w:t>
      </w:r>
      <w:r w:rsidRPr="00E35F4D">
        <w:rPr>
          <w:sz w:val="20"/>
          <w:szCs w:val="20"/>
          <w:lang w:bidi="ar-SA"/>
        </w:rPr>
        <w:t xml:space="preserve"> for the second year and annually thereafter.</w:t>
      </w:r>
    </w:p>
    <w:p w:rsidR="00605D57" w:rsidRPr="00605D57" w:rsidRDefault="00605D57" w:rsidP="002B2928">
      <w:pPr>
        <w:snapToGrid w:val="0"/>
        <w:jc w:val="both"/>
        <w:rPr>
          <w:color w:val="000000"/>
          <w:sz w:val="8"/>
          <w:szCs w:val="8"/>
        </w:rPr>
      </w:pPr>
    </w:p>
    <w:p w:rsidR="00971498" w:rsidRPr="00E35F4D" w:rsidRDefault="00971498" w:rsidP="002B2928">
      <w:pPr>
        <w:snapToGrid w:val="0"/>
        <w:jc w:val="both"/>
        <w:rPr>
          <w:b/>
          <w:bCs/>
          <w:color w:val="000000"/>
          <w:sz w:val="20"/>
          <w:szCs w:val="20"/>
        </w:rPr>
      </w:pPr>
      <w:r w:rsidRPr="00E35F4D">
        <w:rPr>
          <w:b/>
          <w:bCs/>
          <w:color w:val="000000"/>
          <w:sz w:val="20"/>
          <w:szCs w:val="20"/>
        </w:rPr>
        <w:t>Statistical analysis</w:t>
      </w:r>
    </w:p>
    <w:p w:rsidR="003A748B" w:rsidRPr="00E35F4D" w:rsidRDefault="00971498" w:rsidP="0069430E">
      <w:pPr>
        <w:snapToGrid w:val="0"/>
        <w:ind w:firstLine="360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The primary endpoints of th</w:t>
      </w:r>
      <w:r w:rsidR="001B308F" w:rsidRPr="00E35F4D">
        <w:rPr>
          <w:sz w:val="20"/>
          <w:szCs w:val="20"/>
        </w:rPr>
        <w:t>is</w:t>
      </w:r>
      <w:r w:rsidRPr="00E35F4D">
        <w:rPr>
          <w:sz w:val="20"/>
          <w:szCs w:val="20"/>
        </w:rPr>
        <w:t xml:space="preserve"> research include</w:t>
      </w:r>
      <w:r w:rsidR="00DE284E" w:rsidRPr="00E35F4D">
        <w:rPr>
          <w:sz w:val="20"/>
          <w:szCs w:val="20"/>
        </w:rPr>
        <w:t>d</w:t>
      </w:r>
      <w:r w:rsidRPr="00E35F4D">
        <w:rPr>
          <w:sz w:val="20"/>
          <w:szCs w:val="20"/>
        </w:rPr>
        <w:t xml:space="preserve"> assessment of </w:t>
      </w:r>
      <w:r w:rsidR="00DE6CAD" w:rsidRPr="00E35F4D">
        <w:rPr>
          <w:sz w:val="20"/>
          <w:szCs w:val="20"/>
        </w:rPr>
        <w:t xml:space="preserve">response to treatment </w:t>
      </w:r>
      <w:r w:rsidRPr="00E35F4D">
        <w:rPr>
          <w:sz w:val="20"/>
          <w:szCs w:val="20"/>
        </w:rPr>
        <w:t xml:space="preserve">and the feasibility of surgical resection with sphincter </w:t>
      </w:r>
      <w:r w:rsidR="008A1457" w:rsidRPr="00E35F4D">
        <w:rPr>
          <w:sz w:val="20"/>
          <w:szCs w:val="20"/>
        </w:rPr>
        <w:t>preservation. The secondary end</w:t>
      </w:r>
      <w:r w:rsidRPr="00E35F4D">
        <w:rPr>
          <w:sz w:val="20"/>
          <w:szCs w:val="20"/>
        </w:rPr>
        <w:t>points include</w:t>
      </w:r>
      <w:r w:rsidR="00DE284E" w:rsidRPr="00E35F4D">
        <w:rPr>
          <w:sz w:val="20"/>
          <w:szCs w:val="20"/>
        </w:rPr>
        <w:t>d</w:t>
      </w:r>
      <w:r w:rsidRPr="00E35F4D">
        <w:rPr>
          <w:sz w:val="20"/>
          <w:szCs w:val="20"/>
        </w:rPr>
        <w:t xml:space="preserve"> evaluation of the safety profile of the treatment</w:t>
      </w:r>
      <w:r w:rsidR="00DE284E" w:rsidRPr="00E35F4D">
        <w:rPr>
          <w:sz w:val="20"/>
          <w:szCs w:val="20"/>
        </w:rPr>
        <w:t xml:space="preserve"> protocol</w:t>
      </w:r>
      <w:r w:rsidR="00A74E2A" w:rsidRPr="00E35F4D">
        <w:rPr>
          <w:sz w:val="20"/>
          <w:szCs w:val="20"/>
        </w:rPr>
        <w:t>,</w:t>
      </w:r>
      <w:r w:rsidRPr="00E35F4D">
        <w:rPr>
          <w:sz w:val="20"/>
          <w:szCs w:val="20"/>
        </w:rPr>
        <w:t xml:space="preserve"> statistical analysis of clinical and pathological variables affecting</w:t>
      </w:r>
      <w:r w:rsidR="00A74E2A" w:rsidRPr="00E35F4D">
        <w:rPr>
          <w:sz w:val="20"/>
          <w:szCs w:val="20"/>
        </w:rPr>
        <w:t xml:space="preserve"> response to treatment</w:t>
      </w:r>
      <w:r w:rsidR="003A748B" w:rsidRPr="00E35F4D">
        <w:rPr>
          <w:sz w:val="20"/>
          <w:szCs w:val="20"/>
        </w:rPr>
        <w:t>.</w:t>
      </w:r>
    </w:p>
    <w:p w:rsidR="004171D0" w:rsidRPr="00287F1B" w:rsidRDefault="009C5D4E" w:rsidP="002A4C6B">
      <w:pPr>
        <w:snapToGrid w:val="0"/>
        <w:ind w:firstLine="360"/>
        <w:jc w:val="both"/>
        <w:rPr>
          <w:sz w:val="20"/>
          <w:szCs w:val="20"/>
        </w:rPr>
      </w:pPr>
      <w:r w:rsidRPr="00287F1B">
        <w:rPr>
          <w:rStyle w:val="A1"/>
          <w:rFonts w:cs="Times New Roman"/>
          <w:color w:val="auto"/>
          <w:sz w:val="20"/>
          <w:szCs w:val="20"/>
        </w:rPr>
        <w:lastRenderedPageBreak/>
        <w:t>Response e</w:t>
      </w:r>
      <w:r w:rsidR="00971498" w:rsidRPr="00287F1B">
        <w:rPr>
          <w:rStyle w:val="A1"/>
          <w:rFonts w:cs="Times New Roman"/>
          <w:color w:val="auto"/>
          <w:sz w:val="20"/>
          <w:szCs w:val="20"/>
        </w:rPr>
        <w:t>valuation was defined both clinically and pathologically.</w:t>
      </w:r>
      <w:r w:rsidR="00971498" w:rsidRPr="00287F1B">
        <w:rPr>
          <w:sz w:val="20"/>
          <w:szCs w:val="20"/>
        </w:rPr>
        <w:t xml:space="preserve"> </w:t>
      </w:r>
      <w:r w:rsidR="00DE6CAD" w:rsidRPr="00287F1B">
        <w:rPr>
          <w:sz w:val="20"/>
          <w:szCs w:val="20"/>
        </w:rPr>
        <w:t>C</w:t>
      </w:r>
      <w:r w:rsidR="00971498" w:rsidRPr="00287F1B">
        <w:rPr>
          <w:sz w:val="20"/>
          <w:szCs w:val="20"/>
        </w:rPr>
        <w:t>linical response was assessed using imaging studies (</w:t>
      </w:r>
      <w:proofErr w:type="spellStart"/>
      <w:r w:rsidR="00971498" w:rsidRPr="00287F1B">
        <w:rPr>
          <w:sz w:val="20"/>
          <w:szCs w:val="20"/>
        </w:rPr>
        <w:t>abdominopelvic</w:t>
      </w:r>
      <w:proofErr w:type="spellEnd"/>
      <w:r w:rsidR="00971498" w:rsidRPr="00287F1B">
        <w:rPr>
          <w:sz w:val="20"/>
          <w:szCs w:val="20"/>
        </w:rPr>
        <w:t xml:space="preserve"> CT </w:t>
      </w:r>
      <w:r w:rsidR="00A47AD1" w:rsidRPr="00287F1B">
        <w:rPr>
          <w:sz w:val="20"/>
          <w:szCs w:val="20"/>
        </w:rPr>
        <w:t>and/</w:t>
      </w:r>
      <w:r w:rsidR="00971498" w:rsidRPr="00287F1B">
        <w:rPr>
          <w:sz w:val="20"/>
          <w:szCs w:val="20"/>
        </w:rPr>
        <w:t>or MRI</w:t>
      </w:r>
      <w:r w:rsidR="00A47AD1" w:rsidRPr="00287F1B">
        <w:rPr>
          <w:sz w:val="20"/>
          <w:szCs w:val="20"/>
        </w:rPr>
        <w:t xml:space="preserve"> scan</w:t>
      </w:r>
      <w:r w:rsidR="00971498" w:rsidRPr="00287F1B">
        <w:rPr>
          <w:sz w:val="20"/>
          <w:szCs w:val="20"/>
        </w:rPr>
        <w:t xml:space="preserve">, chest </w:t>
      </w:r>
      <w:r w:rsidRPr="00287F1B">
        <w:rPr>
          <w:sz w:val="20"/>
          <w:szCs w:val="20"/>
        </w:rPr>
        <w:t xml:space="preserve">X-ray or </w:t>
      </w:r>
      <w:r w:rsidR="00A47AD1" w:rsidRPr="00287F1B">
        <w:rPr>
          <w:sz w:val="20"/>
          <w:szCs w:val="20"/>
        </w:rPr>
        <w:t xml:space="preserve">thoracic </w:t>
      </w:r>
      <w:r w:rsidRPr="00287F1B">
        <w:rPr>
          <w:sz w:val="20"/>
          <w:szCs w:val="20"/>
        </w:rPr>
        <w:t>CT scan</w:t>
      </w:r>
      <w:r w:rsidR="00971498" w:rsidRPr="00287F1B">
        <w:rPr>
          <w:sz w:val="20"/>
          <w:szCs w:val="20"/>
        </w:rPr>
        <w:t xml:space="preserve">) according to the </w:t>
      </w:r>
      <w:r w:rsidR="00971498" w:rsidRPr="00287F1B">
        <w:rPr>
          <w:sz w:val="20"/>
          <w:szCs w:val="20"/>
          <w:lang w:bidi="ar-SA"/>
        </w:rPr>
        <w:t>revised response evaluation criteria in solid tumors (RECIST) guideline (version 1.1)</w:t>
      </w:r>
      <w:r w:rsidR="00971498" w:rsidRPr="00287F1B">
        <w:rPr>
          <w:sz w:val="20"/>
          <w:szCs w:val="20"/>
        </w:rPr>
        <w:t xml:space="preserve"> </w:t>
      </w:r>
      <w:r w:rsidR="00D57D48" w:rsidRPr="00287F1B">
        <w:rPr>
          <w:b/>
          <w:bCs/>
          <w:sz w:val="20"/>
          <w:szCs w:val="20"/>
          <w:lang w:bidi="ar-SA"/>
        </w:rPr>
        <w:t>[1</w:t>
      </w:r>
      <w:r w:rsidR="00B544AB" w:rsidRPr="00287F1B">
        <w:rPr>
          <w:b/>
          <w:bCs/>
          <w:sz w:val="20"/>
          <w:szCs w:val="20"/>
          <w:lang w:bidi="ar-SA"/>
        </w:rPr>
        <w:t>6</w:t>
      </w:r>
      <w:r w:rsidR="00D57D48" w:rsidRPr="00287F1B">
        <w:rPr>
          <w:b/>
          <w:bCs/>
          <w:sz w:val="20"/>
          <w:szCs w:val="20"/>
          <w:lang w:bidi="ar-SA"/>
        </w:rPr>
        <w:t>]</w:t>
      </w:r>
      <w:r w:rsidR="00971498" w:rsidRPr="00287F1B">
        <w:rPr>
          <w:sz w:val="20"/>
          <w:szCs w:val="20"/>
        </w:rPr>
        <w:t xml:space="preserve">. </w:t>
      </w:r>
    </w:p>
    <w:p w:rsidR="004171D0" w:rsidRPr="00287F1B" w:rsidRDefault="004171D0" w:rsidP="001942E6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287F1B">
        <w:rPr>
          <w:sz w:val="20"/>
          <w:szCs w:val="20"/>
        </w:rPr>
        <w:t xml:space="preserve">Pathological CR </w:t>
      </w:r>
      <w:r w:rsidRPr="00287F1B">
        <w:rPr>
          <w:sz w:val="20"/>
          <w:szCs w:val="20"/>
          <w:lang w:bidi="ar-SA"/>
        </w:rPr>
        <w:t xml:space="preserve">was defined as; no viable malignant cells in the primary tumor surgical specimen and in the LNs (pT0N0). Potential predictive factors for </w:t>
      </w:r>
      <w:proofErr w:type="spellStart"/>
      <w:r w:rsidRPr="00287F1B">
        <w:rPr>
          <w:sz w:val="20"/>
          <w:szCs w:val="20"/>
          <w:lang w:bidi="ar-SA"/>
        </w:rPr>
        <w:t>pCR</w:t>
      </w:r>
      <w:proofErr w:type="spellEnd"/>
      <w:r w:rsidRPr="00287F1B">
        <w:rPr>
          <w:sz w:val="20"/>
          <w:szCs w:val="20"/>
          <w:lang w:bidi="ar-SA"/>
        </w:rPr>
        <w:t xml:space="preserve"> were evaluated using a chi-square test. The lowering of the clinical T or N stage in the postoperative pathologic stage was defined as T or N </w:t>
      </w:r>
      <w:proofErr w:type="spellStart"/>
      <w:r w:rsidRPr="00287F1B">
        <w:rPr>
          <w:sz w:val="20"/>
          <w:szCs w:val="20"/>
          <w:lang w:bidi="ar-SA"/>
        </w:rPr>
        <w:t>downstaging</w:t>
      </w:r>
      <w:proofErr w:type="spellEnd"/>
      <w:r w:rsidRPr="00287F1B">
        <w:rPr>
          <w:sz w:val="20"/>
          <w:szCs w:val="20"/>
          <w:lang w:bidi="ar-SA"/>
        </w:rPr>
        <w:t>.</w:t>
      </w:r>
    </w:p>
    <w:p w:rsidR="004171D0" w:rsidRPr="00287F1B" w:rsidRDefault="004171D0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287F1B">
        <w:rPr>
          <w:sz w:val="20"/>
          <w:szCs w:val="20"/>
        </w:rPr>
        <w:t>The OS was estimated from the date of diagnosis to the date of death or last follow-up. The DFS was estimated from the date of start treatment to the date of documented</w:t>
      </w:r>
      <w:r w:rsidR="00731212" w:rsidRPr="00287F1B">
        <w:rPr>
          <w:sz w:val="20"/>
          <w:szCs w:val="20"/>
        </w:rPr>
        <w:t xml:space="preserve"> </w:t>
      </w:r>
      <w:r w:rsidRPr="00287F1B">
        <w:rPr>
          <w:sz w:val="20"/>
          <w:szCs w:val="20"/>
        </w:rPr>
        <w:t>l</w:t>
      </w:r>
      <w:r w:rsidRPr="00287F1B">
        <w:rPr>
          <w:sz w:val="20"/>
          <w:szCs w:val="20"/>
          <w:lang w:bidi="ar-SA"/>
        </w:rPr>
        <w:t>oco-regional (pelvis, perineum or at the anastomotic site)</w:t>
      </w:r>
      <w:r w:rsidRPr="00287F1B">
        <w:rPr>
          <w:sz w:val="20"/>
          <w:szCs w:val="20"/>
        </w:rPr>
        <w:t xml:space="preserve"> or distant recurrence. </w:t>
      </w:r>
    </w:p>
    <w:p w:rsidR="00731212" w:rsidRPr="00E35F4D" w:rsidRDefault="00731212" w:rsidP="00AA00E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</w:rPr>
      </w:pPr>
      <w:r w:rsidRPr="00287F1B">
        <w:rPr>
          <w:sz w:val="20"/>
          <w:szCs w:val="20"/>
          <w:lang w:bidi="ar-SA"/>
        </w:rPr>
        <w:t xml:space="preserve">Survival rates were calculated by the Kaplan-Meier method. All analyses were performed using </w:t>
      </w:r>
      <w:r w:rsidR="00AA00EB" w:rsidRPr="00E35F4D">
        <w:rPr>
          <w:sz w:val="20"/>
          <w:szCs w:val="20"/>
          <w:lang w:bidi="ar-SA"/>
        </w:rPr>
        <w:t xml:space="preserve">SPSS </w:t>
      </w:r>
      <w:r w:rsidRPr="00E35F4D">
        <w:rPr>
          <w:sz w:val="20"/>
          <w:szCs w:val="20"/>
          <w:lang w:bidi="ar-SA"/>
        </w:rPr>
        <w:t>version 21.0.</w:t>
      </w:r>
      <w:r w:rsidRPr="00C77B41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>A</w:t>
      </w:r>
      <w:r w:rsidRPr="00C77B41">
        <w:rPr>
          <w:sz w:val="20"/>
          <w:szCs w:val="20"/>
          <w:lang w:bidi="ar-SA"/>
        </w:rPr>
        <w:t xml:space="preserve"> </w:t>
      </w:r>
      <w:r w:rsidRPr="00AA00EB">
        <w:rPr>
          <w:i/>
          <w:iCs/>
          <w:sz w:val="20"/>
          <w:szCs w:val="20"/>
          <w:lang w:bidi="ar-SA"/>
        </w:rPr>
        <w:t>p</w:t>
      </w:r>
      <w:r w:rsidRPr="00C77B41">
        <w:rPr>
          <w:sz w:val="20"/>
          <w:szCs w:val="20"/>
          <w:lang w:bidi="ar-SA"/>
        </w:rPr>
        <w:t>-value</w:t>
      </w:r>
      <w:r w:rsidRPr="00E35F4D">
        <w:rPr>
          <w:sz w:val="20"/>
          <w:szCs w:val="20"/>
          <w:lang w:bidi="ar-SA"/>
        </w:rPr>
        <w:t xml:space="preserve"> &lt;0.05 was considered statistically significant.</w:t>
      </w:r>
    </w:p>
    <w:p w:rsidR="00E614BC" w:rsidRPr="00E35F4D" w:rsidRDefault="00E614BC" w:rsidP="002B2928">
      <w:pPr>
        <w:snapToGrid w:val="0"/>
        <w:jc w:val="both"/>
        <w:rPr>
          <w:b/>
          <w:bCs/>
          <w:sz w:val="20"/>
          <w:szCs w:val="20"/>
        </w:rPr>
      </w:pPr>
    </w:p>
    <w:p w:rsidR="00931C6A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3. </w:t>
      </w:r>
      <w:r w:rsidR="00931C6A" w:rsidRPr="00E35F4D">
        <w:rPr>
          <w:b/>
          <w:bCs/>
          <w:sz w:val="20"/>
          <w:szCs w:val="20"/>
        </w:rPr>
        <w:t>Results</w:t>
      </w:r>
    </w:p>
    <w:p w:rsidR="00C734F9" w:rsidRPr="00E35F4D" w:rsidRDefault="00C734F9" w:rsidP="002B2928">
      <w:pPr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t>Patients and tumor characteristics</w:t>
      </w:r>
    </w:p>
    <w:p w:rsidR="00EC47DA" w:rsidRDefault="00731212" w:rsidP="005709DE">
      <w:pPr>
        <w:snapToGrid w:val="0"/>
        <w:ind w:firstLine="360"/>
        <w:jc w:val="both"/>
        <w:rPr>
          <w:sz w:val="20"/>
          <w:szCs w:val="20"/>
        </w:rPr>
      </w:pPr>
      <w:r w:rsidRPr="00287F1B">
        <w:rPr>
          <w:sz w:val="20"/>
          <w:szCs w:val="20"/>
          <w:lang w:bidi="ar-SA"/>
        </w:rPr>
        <w:t>The age of the studied patients ranged between 28 and 64 (median, 51) years with male represented</w:t>
      </w:r>
      <w:r w:rsidR="0072529A" w:rsidRPr="00287F1B">
        <w:rPr>
          <w:sz w:val="20"/>
          <w:szCs w:val="20"/>
        </w:rPr>
        <w:t xml:space="preserve"> 58.1</w:t>
      </w:r>
      <w:r w:rsidR="00EC47DA" w:rsidRPr="00287F1B">
        <w:rPr>
          <w:sz w:val="20"/>
          <w:szCs w:val="20"/>
        </w:rPr>
        <w:t xml:space="preserve">% </w:t>
      </w:r>
      <w:r w:rsidRPr="00287F1B">
        <w:rPr>
          <w:sz w:val="20"/>
          <w:szCs w:val="20"/>
        </w:rPr>
        <w:t xml:space="preserve">and </w:t>
      </w:r>
      <w:r w:rsidR="00EC47DA" w:rsidRPr="00287F1B">
        <w:rPr>
          <w:sz w:val="20"/>
          <w:szCs w:val="20"/>
        </w:rPr>
        <w:t>male to female ratio were 1.4:1.</w:t>
      </w:r>
      <w:r w:rsidRPr="00287F1B">
        <w:rPr>
          <w:sz w:val="20"/>
          <w:szCs w:val="20"/>
        </w:rPr>
        <w:t xml:space="preserve"> </w:t>
      </w:r>
      <w:r w:rsidR="006A74CB" w:rsidRPr="00287F1B">
        <w:rPr>
          <w:sz w:val="20"/>
          <w:szCs w:val="20"/>
        </w:rPr>
        <w:t xml:space="preserve">The median </w:t>
      </w:r>
      <w:r w:rsidR="006A74CB" w:rsidRPr="00287F1B">
        <w:rPr>
          <w:sz w:val="20"/>
          <w:szCs w:val="20"/>
          <w:lang w:bidi="ar-SA"/>
        </w:rPr>
        <w:t xml:space="preserve">distance from the verge to the caudal edge of the tumor </w:t>
      </w:r>
      <w:r w:rsidR="00EC47DA" w:rsidRPr="00287F1B">
        <w:rPr>
          <w:sz w:val="20"/>
          <w:szCs w:val="20"/>
        </w:rPr>
        <w:t>was 5 cm (range, 2-11 cm),</w:t>
      </w:r>
      <w:r w:rsidR="00EC47DA" w:rsidRPr="00E35F4D">
        <w:rPr>
          <w:sz w:val="20"/>
          <w:szCs w:val="20"/>
        </w:rPr>
        <w:t xml:space="preserve"> with 61.3% of the patients had their malignancy in the </w:t>
      </w:r>
      <w:r w:rsidR="00EC47DA" w:rsidRPr="00287F1B">
        <w:rPr>
          <w:sz w:val="20"/>
          <w:szCs w:val="20"/>
        </w:rPr>
        <w:t>low</w:t>
      </w:r>
      <w:r w:rsidR="00255A42" w:rsidRPr="00287F1B">
        <w:rPr>
          <w:sz w:val="20"/>
          <w:szCs w:val="20"/>
        </w:rPr>
        <w:t>er</w:t>
      </w:r>
      <w:r w:rsidR="00EC47DA" w:rsidRPr="00287F1B">
        <w:rPr>
          <w:sz w:val="20"/>
          <w:szCs w:val="20"/>
        </w:rPr>
        <w:t xml:space="preserve"> rectum with a distance from anal verge </w:t>
      </w:r>
      <w:r w:rsidR="00EC47DA" w:rsidRPr="00287F1B">
        <w:rPr>
          <w:rFonts w:eastAsia="YMjO11-Identity-H"/>
          <w:sz w:val="20"/>
          <w:szCs w:val="20"/>
        </w:rPr>
        <w:t>≤</w:t>
      </w:r>
      <w:r w:rsidR="00EC47DA" w:rsidRPr="00287F1B">
        <w:rPr>
          <w:sz w:val="20"/>
          <w:szCs w:val="20"/>
        </w:rPr>
        <w:t>5 centimeters. The median tumor</w:t>
      </w:r>
      <w:r w:rsidR="00EC47DA" w:rsidRPr="00287F1B">
        <w:rPr>
          <w:b/>
          <w:bCs/>
          <w:sz w:val="20"/>
          <w:szCs w:val="20"/>
        </w:rPr>
        <w:t xml:space="preserve"> </w:t>
      </w:r>
      <w:r w:rsidR="00EC47DA" w:rsidRPr="00287F1B">
        <w:rPr>
          <w:sz w:val="20"/>
          <w:szCs w:val="20"/>
        </w:rPr>
        <w:t>size was 5 cm (range, 3-10 cm) and the median circumferential tumor extent was 50% (range, 30-80%). Circumferential tumor extent involved more than 50% of the rectal lumen was represented in 45.2% of patients.</w:t>
      </w:r>
      <w:r w:rsidR="006A74CB" w:rsidRPr="00287F1B">
        <w:rPr>
          <w:sz w:val="20"/>
          <w:szCs w:val="20"/>
        </w:rPr>
        <w:t xml:space="preserve"> The median time elapsed from preoperative concomitant CRT to surgery </w:t>
      </w:r>
      <w:r w:rsidR="00EC47DA" w:rsidRPr="00287F1B">
        <w:rPr>
          <w:sz w:val="20"/>
          <w:szCs w:val="20"/>
        </w:rPr>
        <w:t>in all patients was 6 weeks (range, 4-10 weeks) and in 74.2% of patients</w:t>
      </w:r>
      <w:r w:rsidR="00A91520" w:rsidRPr="00287F1B">
        <w:rPr>
          <w:sz w:val="20"/>
          <w:szCs w:val="20"/>
        </w:rPr>
        <w:t>,</w:t>
      </w:r>
      <w:r w:rsidR="00EC47DA" w:rsidRPr="00287F1B">
        <w:rPr>
          <w:sz w:val="20"/>
          <w:szCs w:val="20"/>
        </w:rPr>
        <w:t xml:space="preserve"> surgical procedures had performed within </w:t>
      </w:r>
      <w:r w:rsidR="00EC47DA" w:rsidRPr="00287F1B">
        <w:rPr>
          <w:rFonts w:eastAsia="YMjO11-Identity-H"/>
          <w:sz w:val="20"/>
          <w:szCs w:val="20"/>
        </w:rPr>
        <w:t xml:space="preserve">≤ </w:t>
      </w:r>
      <w:r w:rsidR="00EC47DA" w:rsidRPr="00287F1B">
        <w:rPr>
          <w:sz w:val="20"/>
          <w:szCs w:val="20"/>
        </w:rPr>
        <w:t>6</w:t>
      </w:r>
      <w:r w:rsidR="00EC47DA" w:rsidRPr="00E35F4D">
        <w:rPr>
          <w:sz w:val="20"/>
          <w:szCs w:val="20"/>
        </w:rPr>
        <w:t xml:space="preserve"> weeks from the end of th</w:t>
      </w:r>
      <w:r w:rsidR="00A2226C" w:rsidRPr="00E35F4D">
        <w:rPr>
          <w:sz w:val="20"/>
          <w:szCs w:val="20"/>
        </w:rPr>
        <w:t xml:space="preserve">e neoadjuvant concomitant </w:t>
      </w:r>
      <w:r w:rsidR="006A74CB">
        <w:rPr>
          <w:sz w:val="20"/>
          <w:szCs w:val="20"/>
        </w:rPr>
        <w:t>CRT (</w:t>
      </w:r>
      <w:r w:rsidR="002A4C6B">
        <w:rPr>
          <w:sz w:val="20"/>
          <w:szCs w:val="20"/>
        </w:rPr>
        <w:t>T</w:t>
      </w:r>
      <w:r w:rsidR="006A74CB">
        <w:rPr>
          <w:sz w:val="20"/>
          <w:szCs w:val="20"/>
        </w:rPr>
        <w:t>able 1).</w:t>
      </w:r>
    </w:p>
    <w:p w:rsidR="007D5AB2" w:rsidRPr="007D5AB2" w:rsidRDefault="007D5AB2" w:rsidP="007D5AB2">
      <w:pPr>
        <w:snapToGrid w:val="0"/>
        <w:jc w:val="both"/>
        <w:rPr>
          <w:sz w:val="8"/>
          <w:szCs w:val="8"/>
        </w:rPr>
      </w:pPr>
    </w:p>
    <w:p w:rsidR="007D5AB2" w:rsidRPr="00E35F4D" w:rsidRDefault="007D5AB2" w:rsidP="007D5AB2">
      <w:pPr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t>Tumor response</w:t>
      </w:r>
    </w:p>
    <w:p w:rsidR="007D5AB2" w:rsidRDefault="007D5AB2" w:rsidP="007D5AB2">
      <w:pPr>
        <w:snapToGrid w:val="0"/>
        <w:ind w:firstLine="360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Through radiological assessment </w:t>
      </w:r>
      <w:r w:rsidRPr="00E35F4D">
        <w:rPr>
          <w:sz w:val="20"/>
          <w:szCs w:val="20"/>
          <w:lang w:bidi="ar-SA"/>
        </w:rPr>
        <w:t xml:space="preserve">by </w:t>
      </w:r>
      <w:r w:rsidRPr="00E35F4D">
        <w:rPr>
          <w:sz w:val="20"/>
          <w:szCs w:val="20"/>
        </w:rPr>
        <w:t>CT</w:t>
      </w:r>
      <w:r w:rsidRPr="00E35F4D">
        <w:rPr>
          <w:sz w:val="20"/>
          <w:szCs w:val="20"/>
          <w:lang w:bidi="ar-SA"/>
        </w:rPr>
        <w:t xml:space="preserve"> and/or MRI</w:t>
      </w:r>
      <w:r w:rsidRPr="00E35F4D">
        <w:rPr>
          <w:sz w:val="20"/>
          <w:szCs w:val="20"/>
        </w:rPr>
        <w:t xml:space="preserve"> scan of the clinical response following the neoadjuvant therapy, only 2 (6.5%) patients achieved CR, 15 (48.4%) patients achieved PR with overall response rate </w:t>
      </w:r>
      <w:r w:rsidRPr="00E35F4D">
        <w:rPr>
          <w:sz w:val="20"/>
          <w:szCs w:val="20"/>
          <w:lang w:bidi="ar-SA"/>
        </w:rPr>
        <w:t>(CR+PR)</w:t>
      </w:r>
      <w:r w:rsidRPr="00E35F4D">
        <w:rPr>
          <w:sz w:val="20"/>
          <w:szCs w:val="20"/>
        </w:rPr>
        <w:t xml:space="preserve"> was 54.8%. None of the patients had progressed during the course of treatment. Pathologically </w:t>
      </w:r>
      <w:proofErr w:type="spellStart"/>
      <w:r w:rsidRPr="00E35F4D">
        <w:rPr>
          <w:sz w:val="20"/>
          <w:szCs w:val="20"/>
        </w:rPr>
        <w:t>downstaging</w:t>
      </w:r>
      <w:proofErr w:type="spellEnd"/>
      <w:r w:rsidRPr="00E35F4D">
        <w:rPr>
          <w:sz w:val="20"/>
          <w:szCs w:val="20"/>
        </w:rPr>
        <w:t xml:space="preserve"> of T stage was achieved in 61.3%; </w:t>
      </w:r>
      <w:proofErr w:type="spellStart"/>
      <w:r w:rsidRPr="00E35F4D">
        <w:rPr>
          <w:sz w:val="20"/>
          <w:szCs w:val="20"/>
        </w:rPr>
        <w:t>downstaging</w:t>
      </w:r>
      <w:proofErr w:type="spellEnd"/>
      <w:r w:rsidRPr="00E35F4D">
        <w:rPr>
          <w:sz w:val="20"/>
          <w:szCs w:val="20"/>
        </w:rPr>
        <w:t xml:space="preserve"> of N stage was achieved in 51.6% of all patients with 19.4% achieved </w:t>
      </w:r>
      <w:proofErr w:type="spellStart"/>
      <w:r w:rsidRPr="00E35F4D">
        <w:rPr>
          <w:sz w:val="20"/>
          <w:szCs w:val="20"/>
          <w:lang w:bidi="ar-SA"/>
        </w:rPr>
        <w:t>pCR</w:t>
      </w:r>
      <w:proofErr w:type="spellEnd"/>
      <w:r w:rsidRPr="00E35F4D">
        <w:rPr>
          <w:sz w:val="20"/>
          <w:szCs w:val="20"/>
        </w:rPr>
        <w:t xml:space="preserve"> without residual pathologic disease in the primary tumor site or the LNs (pT0N0), (Table 2). </w:t>
      </w:r>
      <w:r w:rsidRPr="00E35F4D">
        <w:rPr>
          <w:sz w:val="20"/>
          <w:szCs w:val="20"/>
        </w:rPr>
        <w:lastRenderedPageBreak/>
        <w:t xml:space="preserve">None of the predictive variables had significantly affected the </w:t>
      </w:r>
      <w:proofErr w:type="spellStart"/>
      <w:r w:rsidRPr="00E35F4D">
        <w:rPr>
          <w:sz w:val="20"/>
          <w:szCs w:val="20"/>
        </w:rPr>
        <w:t>pCR</w:t>
      </w:r>
      <w:proofErr w:type="spellEnd"/>
      <w:r w:rsidRPr="00E35F4D">
        <w:rPr>
          <w:sz w:val="20"/>
          <w:szCs w:val="20"/>
        </w:rPr>
        <w:t xml:space="preserve"> rate (Table 3).</w:t>
      </w:r>
    </w:p>
    <w:p w:rsidR="007D5AB2" w:rsidRPr="00E35F4D" w:rsidRDefault="007D5AB2" w:rsidP="007D5AB2">
      <w:pPr>
        <w:snapToGrid w:val="0"/>
        <w:ind w:firstLine="360"/>
        <w:jc w:val="both"/>
        <w:rPr>
          <w:sz w:val="20"/>
          <w:szCs w:val="20"/>
        </w:rPr>
      </w:pPr>
    </w:p>
    <w:p w:rsidR="00B727E6" w:rsidRPr="00E35F4D" w:rsidRDefault="00B727E6" w:rsidP="00015031">
      <w:pPr>
        <w:snapToGrid w:val="0"/>
        <w:jc w:val="center"/>
        <w:rPr>
          <w:sz w:val="20"/>
          <w:szCs w:val="20"/>
        </w:rPr>
      </w:pPr>
      <w:r w:rsidRPr="00E35F4D">
        <w:rPr>
          <w:b/>
          <w:bCs/>
          <w:sz w:val="20"/>
          <w:szCs w:val="20"/>
        </w:rPr>
        <w:t>Table 1: Patients and tumor characteristics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810"/>
      </w:tblGrid>
      <w:tr w:rsidR="00B727E6" w:rsidRPr="00E35F4D" w:rsidTr="00475F15">
        <w:trPr>
          <w:trHeight w:val="20"/>
        </w:trPr>
        <w:tc>
          <w:tcPr>
            <w:tcW w:w="2808" w:type="dxa"/>
            <w:tcBorders>
              <w:left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C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haracteristics</w:t>
            </w:r>
          </w:p>
        </w:tc>
        <w:tc>
          <w:tcPr>
            <w:tcW w:w="900" w:type="dxa"/>
            <w:tcBorders>
              <w:left w:val="nil"/>
              <w:right w:val="nil"/>
            </w:tcBorders>
            <w:hideMark/>
          </w:tcPr>
          <w:p w:rsidR="00B727E6" w:rsidRPr="00E35F4D" w:rsidRDefault="00B727E6" w:rsidP="00504EFB">
            <w:pPr>
              <w:snapToGrid w:val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No.</w:t>
            </w:r>
          </w:p>
        </w:tc>
        <w:tc>
          <w:tcPr>
            <w:tcW w:w="810" w:type="dxa"/>
            <w:tcBorders>
              <w:left w:val="nil"/>
              <w:right w:val="nil"/>
            </w:tcBorders>
            <w:hideMark/>
          </w:tcPr>
          <w:p w:rsidR="00B727E6" w:rsidRPr="00E35F4D" w:rsidRDefault="00B727E6" w:rsidP="00504EFB">
            <w:pPr>
              <w:snapToGrid w:val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Patients age (years):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Median</w:t>
            </w:r>
            <w:r w:rsidR="005709DE">
              <w:rPr>
                <w:color w:val="000000"/>
                <w:sz w:val="19"/>
                <w:szCs w:val="19"/>
              </w:rPr>
              <w:t>:</w:t>
            </w:r>
            <w:r w:rsidR="00B727E6" w:rsidRPr="00E35F4D">
              <w:rPr>
                <w:color w:val="000000"/>
                <w:sz w:val="19"/>
                <w:szCs w:val="19"/>
              </w:rPr>
              <w:t xml:space="preserve"> 51 (range, 28-64)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proofErr w:type="spellStart"/>
            <w:r w:rsidR="00B727E6" w:rsidRPr="00E35F4D">
              <w:rPr>
                <w:color w:val="000000"/>
                <w:sz w:val="19"/>
                <w:szCs w:val="19"/>
              </w:rPr>
              <w:t>Mean±SD</w:t>
            </w:r>
            <w:proofErr w:type="spellEnd"/>
            <w:r w:rsidR="005709DE">
              <w:rPr>
                <w:color w:val="000000"/>
                <w:sz w:val="19"/>
                <w:szCs w:val="19"/>
              </w:rPr>
              <w:t>:</w:t>
            </w:r>
            <w:r w:rsidR="00B727E6" w:rsidRPr="00E35F4D">
              <w:rPr>
                <w:color w:val="000000"/>
                <w:sz w:val="19"/>
                <w:szCs w:val="19"/>
              </w:rPr>
              <w:t xml:space="preserve"> 49.2 ±10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50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&gt;50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51.6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48.4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Gender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Male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18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58.1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41.9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ECOG PS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0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54.8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Pathological grade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ar-SA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  <w:lang w:bidi="ar-SA"/>
              </w:rPr>
              <w:t>Well</w:t>
            </w:r>
            <w:r w:rsidR="00B727E6" w:rsidRPr="00E35F4D">
              <w:rPr>
                <w:color w:val="000000"/>
                <w:sz w:val="19"/>
                <w:szCs w:val="19"/>
              </w:rPr>
              <w:t xml:space="preserve"> </w:t>
            </w:r>
            <w:r w:rsidR="00B727E6" w:rsidRPr="00E35F4D">
              <w:rPr>
                <w:color w:val="000000"/>
                <w:sz w:val="19"/>
                <w:szCs w:val="19"/>
                <w:lang w:bidi="ar-SA"/>
              </w:rPr>
              <w:t>differentiated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ar-SA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  <w:lang w:bidi="ar-SA"/>
              </w:rPr>
              <w:t>Moderately differentiated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ar-SA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  <w:lang w:bidi="ar-SA"/>
              </w:rPr>
              <w:t>Poorly differentiated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20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64.5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16.1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Tumor distance from anal verge (cm)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Median 5 (range, 2-11)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&gt;5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B727E6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Tumor size (cm)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color w:val="000000"/>
                <w:sz w:val="19"/>
                <w:szCs w:val="19"/>
              </w:rPr>
              <w:t>Median 5 (range, 3-10)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&gt;5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Circumferential tumor extent (%):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Median 50 (range, 30-80)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50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="00B727E6" w:rsidRPr="00E35F4D"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17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54.8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clinical T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stage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cT1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cT2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cT3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cT4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9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14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6.5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29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45.2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clinical N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stage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cN0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cN1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cN2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51.6</w:t>
            </w:r>
          </w:p>
          <w:p w:rsidR="00B727E6" w:rsidRPr="00E35F4D" w:rsidRDefault="00B727E6" w:rsidP="00504EF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22.6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27E6" w:rsidRPr="00E35F4D" w:rsidRDefault="00B727E6" w:rsidP="00182D3D">
            <w:pPr>
              <w:snapToGrid w:val="0"/>
              <w:jc w:val="both"/>
              <w:rPr>
                <w:rFonts w:eastAsia="YMjO11-Identity-H"/>
                <w:b/>
                <w:bCs/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AJCC grouping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rFonts w:eastAsia="YMjO11-Identity-H"/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II A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rFonts w:eastAsia="YMjO11-Identity-H"/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IIB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IIIA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IIIB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IIIC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11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19.4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6.5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35.5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12.9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</w:t>
            </w:r>
            <w:r w:rsidRPr="00E35F4D"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CEA</w:t>
            </w:r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 xml:space="preserve"> level (</w:t>
            </w:r>
            <w:proofErr w:type="spellStart"/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>μg</w:t>
            </w:r>
            <w:proofErr w:type="spellEnd"/>
            <w:r w:rsidRPr="00E35F4D">
              <w:rPr>
                <w:rFonts w:eastAsia="CaeciliaLTStd-Roman"/>
                <w:b/>
                <w:bCs/>
                <w:color w:val="000000"/>
                <w:sz w:val="19"/>
                <w:szCs w:val="19"/>
                <w:lang w:bidi="ar-SA"/>
              </w:rPr>
              <w:t>/L</w:t>
            </w:r>
            <w:r w:rsidRPr="00E35F4D">
              <w:rPr>
                <w:b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5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="00B727E6" w:rsidRPr="00E35F4D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20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64.5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35.5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27E6" w:rsidRPr="00E35F4D" w:rsidRDefault="00B727E6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Pretreatment CA 19-9 level (U/mL)</w:t>
            </w:r>
          </w:p>
        </w:tc>
      </w:tr>
      <w:tr w:rsidR="00B727E6" w:rsidRPr="00E35F4D" w:rsidTr="00475F15">
        <w:trPr>
          <w:trHeight w:val="20"/>
        </w:trPr>
        <w:tc>
          <w:tcPr>
            <w:tcW w:w="280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B727E6" w:rsidRPr="00E35F4D" w:rsidRDefault="0035063F" w:rsidP="00182D3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B727E6" w:rsidRPr="00E35F4D">
              <w:rPr>
                <w:rFonts w:ascii="Times New Roman" w:hAnsi="Times New Roman" w:cs="Times New Roman"/>
                <w:sz w:val="19"/>
                <w:szCs w:val="19"/>
              </w:rPr>
              <w:t>≤37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color w:val="000000"/>
                <w:sz w:val="19"/>
                <w:szCs w:val="19"/>
              </w:rPr>
              <w:t>&gt;37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19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61.3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38.7</w:t>
            </w:r>
          </w:p>
        </w:tc>
      </w:tr>
      <w:tr w:rsidR="00B727E6" w:rsidRPr="00E35F4D" w:rsidTr="00475F15">
        <w:trPr>
          <w:trHeight w:val="20"/>
        </w:trPr>
        <w:tc>
          <w:tcPr>
            <w:tcW w:w="4518" w:type="dxa"/>
            <w:gridSpan w:val="3"/>
            <w:tcBorders>
              <w:left w:val="nil"/>
              <w:bottom w:val="nil"/>
              <w:right w:val="nil"/>
            </w:tcBorders>
          </w:tcPr>
          <w:p w:rsidR="00B727E6" w:rsidRPr="00E35F4D" w:rsidRDefault="00B727E6" w:rsidP="00B727E6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 w:rsidRPr="00E35F4D">
              <w:rPr>
                <w:b/>
                <w:bCs/>
                <w:color w:val="000000"/>
                <w:sz w:val="19"/>
                <w:szCs w:val="19"/>
              </w:rPr>
              <w:t>Interval between preoperative CCRT and surgery (week)</w:t>
            </w:r>
            <w:r w:rsidRPr="00E35F4D"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35F4D">
              <w:rPr>
                <w:color w:val="000000"/>
                <w:sz w:val="19"/>
                <w:szCs w:val="19"/>
              </w:rPr>
              <w:t>Median 6 (range, 4-10)</w:t>
            </w:r>
          </w:p>
        </w:tc>
      </w:tr>
      <w:tr w:rsidR="00B727E6" w:rsidRPr="00E35F4D" w:rsidTr="00475F15">
        <w:trPr>
          <w:trHeight w:val="486"/>
        </w:trPr>
        <w:tc>
          <w:tcPr>
            <w:tcW w:w="2808" w:type="dxa"/>
            <w:tcBorders>
              <w:top w:val="nil"/>
              <w:left w:val="nil"/>
              <w:right w:val="nil"/>
            </w:tcBorders>
            <w:hideMark/>
          </w:tcPr>
          <w:p w:rsidR="00B727E6" w:rsidRPr="00E35F4D" w:rsidRDefault="0035063F" w:rsidP="00182D3D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eastAsia="YMjO11-Identity-H"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rFonts w:eastAsia="YMjO11-Identity-H"/>
                <w:color w:val="000000"/>
                <w:sz w:val="19"/>
                <w:szCs w:val="19"/>
              </w:rPr>
              <w:t>≤</w:t>
            </w:r>
            <w:r w:rsidR="00B727E6" w:rsidRPr="00E35F4D">
              <w:rPr>
                <w:color w:val="000000"/>
                <w:sz w:val="19"/>
                <w:szCs w:val="19"/>
              </w:rPr>
              <w:t>6</w:t>
            </w:r>
          </w:p>
          <w:p w:rsidR="00B727E6" w:rsidRPr="00E35F4D" w:rsidRDefault="0035063F" w:rsidP="00182D3D">
            <w:pPr>
              <w:snapToGrid w:val="0"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B727E6" w:rsidRPr="00E35F4D">
              <w:rPr>
                <w:b/>
                <w:bCs/>
                <w:color w:val="000000"/>
                <w:sz w:val="19"/>
                <w:szCs w:val="19"/>
              </w:rPr>
              <w:t>&gt;</w:t>
            </w:r>
            <w:r w:rsidR="00B727E6" w:rsidRPr="00E35F4D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23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74.2</w:t>
            </w:r>
          </w:p>
          <w:p w:rsidR="00B727E6" w:rsidRPr="00E35F4D" w:rsidRDefault="00B727E6" w:rsidP="00912CAD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E35F4D">
              <w:rPr>
                <w:color w:val="000000"/>
                <w:sz w:val="19"/>
                <w:szCs w:val="19"/>
              </w:rPr>
              <w:t>25.8</w:t>
            </w:r>
          </w:p>
        </w:tc>
      </w:tr>
    </w:tbl>
    <w:p w:rsidR="00605D57" w:rsidRPr="002A4C6B" w:rsidRDefault="00605D57" w:rsidP="002B2928">
      <w:pPr>
        <w:snapToGrid w:val="0"/>
        <w:jc w:val="both"/>
        <w:rPr>
          <w:sz w:val="20"/>
          <w:szCs w:val="20"/>
        </w:rPr>
      </w:pPr>
    </w:p>
    <w:p w:rsidR="009A6E7C" w:rsidRDefault="009A6E7C" w:rsidP="007D5AB2">
      <w:pPr>
        <w:snapToGrid w:val="0"/>
        <w:ind w:firstLine="425"/>
        <w:jc w:val="both"/>
        <w:rPr>
          <w:sz w:val="20"/>
          <w:szCs w:val="20"/>
        </w:rPr>
      </w:pPr>
    </w:p>
    <w:p w:rsidR="00336139" w:rsidRDefault="007D5AB2" w:rsidP="007D5AB2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</w:rPr>
        <w:lastRenderedPageBreak/>
        <w:t>Out of 31 rectal cancer patients, sphincter-saving surgical procedure (LAR) had been performed for 20 (64.5%) patients while the more invasive surgical procedure (APR) had been performed for 11 (35.5%) patients. Out of 19 patients with tumors situated in a</w:t>
      </w:r>
      <w:r>
        <w:rPr>
          <w:sz w:val="20"/>
          <w:szCs w:val="20"/>
        </w:rPr>
        <w:t xml:space="preserve"> </w:t>
      </w:r>
      <w:r w:rsidR="009B1AE2" w:rsidRPr="00E35F4D">
        <w:rPr>
          <w:sz w:val="20"/>
          <w:szCs w:val="20"/>
        </w:rPr>
        <w:t xml:space="preserve">distance </w:t>
      </w:r>
      <w:r w:rsidR="009B1AE2" w:rsidRPr="00E35F4D">
        <w:rPr>
          <w:rFonts w:eastAsia="YMjO11-Identity-H"/>
          <w:sz w:val="20"/>
          <w:szCs w:val="20"/>
        </w:rPr>
        <w:t>≤</w:t>
      </w:r>
      <w:r w:rsidR="009B1AE2" w:rsidRPr="00E35F4D">
        <w:rPr>
          <w:sz w:val="20"/>
          <w:szCs w:val="20"/>
        </w:rPr>
        <w:t>5</w:t>
      </w:r>
      <w:r w:rsidR="009B1AE2" w:rsidRPr="00E35F4D">
        <w:rPr>
          <w:b/>
          <w:bCs/>
          <w:sz w:val="20"/>
          <w:szCs w:val="20"/>
        </w:rPr>
        <w:t xml:space="preserve"> </w:t>
      </w:r>
      <w:r w:rsidR="009B1AE2" w:rsidRPr="00E35F4D">
        <w:rPr>
          <w:sz w:val="20"/>
          <w:szCs w:val="20"/>
        </w:rPr>
        <w:t>cm from the anal verge, LAR underwent in 9 (47.4%) patients of them and APR underwent for 10 (52.6%) patients (</w:t>
      </w:r>
      <w:r w:rsidR="009B1AE2" w:rsidRPr="00E35F4D">
        <w:rPr>
          <w:i/>
          <w:iCs/>
          <w:sz w:val="20"/>
          <w:szCs w:val="20"/>
        </w:rPr>
        <w:t>p</w:t>
      </w:r>
      <w:r w:rsidR="009B1AE2" w:rsidRPr="00E35F4D">
        <w:rPr>
          <w:sz w:val="20"/>
          <w:szCs w:val="20"/>
        </w:rPr>
        <w:t>=0.014).</w:t>
      </w:r>
      <w:r w:rsidR="009B1AE2" w:rsidRPr="00E35F4D">
        <w:rPr>
          <w:sz w:val="20"/>
          <w:szCs w:val="20"/>
          <w:lang w:bidi="ar-SA"/>
        </w:rPr>
        <w:t xml:space="preserve"> Twenty-nine patients had a radical R0 resection </w:t>
      </w:r>
      <w:r w:rsidR="009B1AE2" w:rsidRPr="00E35F4D">
        <w:rPr>
          <w:sz w:val="20"/>
          <w:szCs w:val="20"/>
        </w:rPr>
        <w:t>and</w:t>
      </w:r>
      <w:r w:rsidR="009B1AE2" w:rsidRPr="00E35F4D">
        <w:rPr>
          <w:sz w:val="20"/>
          <w:szCs w:val="20"/>
          <w:lang w:bidi="ar-SA"/>
        </w:rPr>
        <w:t xml:space="preserve"> the two patients with R1 resection were operated with APR.</w:t>
      </w:r>
    </w:p>
    <w:p w:rsidR="002A4C6B" w:rsidRPr="002A4C6B" w:rsidRDefault="002A4C6B" w:rsidP="002A4C6B">
      <w:pPr>
        <w:snapToGrid w:val="0"/>
        <w:jc w:val="both"/>
        <w:rPr>
          <w:sz w:val="8"/>
          <w:szCs w:val="8"/>
          <w:lang w:bidi="ar-SA"/>
        </w:rPr>
      </w:pPr>
    </w:p>
    <w:p w:rsidR="002A4C6B" w:rsidRPr="00E35F4D" w:rsidRDefault="002A4C6B" w:rsidP="002A4C6B">
      <w:pPr>
        <w:snapToGrid w:val="0"/>
        <w:jc w:val="both"/>
        <w:rPr>
          <w:b/>
          <w:bCs/>
          <w:i/>
          <w:iCs/>
          <w:sz w:val="20"/>
          <w:szCs w:val="20"/>
          <w:lang w:bidi="ar-SA"/>
        </w:rPr>
      </w:pPr>
      <w:r w:rsidRPr="00E35F4D">
        <w:rPr>
          <w:b/>
          <w:bCs/>
          <w:i/>
          <w:iCs/>
          <w:sz w:val="20"/>
          <w:szCs w:val="20"/>
          <w:lang w:bidi="ar-SA"/>
        </w:rPr>
        <w:t>Treatment toxicity</w:t>
      </w:r>
    </w:p>
    <w:p w:rsidR="00182D3D" w:rsidRDefault="002A4C6B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During the induction phase, grade 3/4 diarrhea, </w:t>
      </w:r>
      <w:r w:rsidRPr="00E35F4D">
        <w:rPr>
          <w:sz w:val="20"/>
          <w:szCs w:val="20"/>
        </w:rPr>
        <w:t>nausea &amp; vomiting, and fatigue were represented in</w:t>
      </w:r>
      <w:r w:rsidRPr="00E35F4D">
        <w:rPr>
          <w:sz w:val="20"/>
          <w:szCs w:val="20"/>
          <w:lang w:bidi="ar-SA"/>
        </w:rPr>
        <w:t xml:space="preserve"> 9.7%, 3.2% % 3.2% respectively in all patients. Two patients had required dose reduction of induction regimen by 25% of the planned dose due to non-hematological toxicity. The median time from the end of CAPOX induction CT to the start of concomitant CRT was 4 (range 3-7) weeks.</w:t>
      </w:r>
    </w:p>
    <w:p w:rsidR="007D5AB2" w:rsidRDefault="007D5AB2" w:rsidP="002A4C6B">
      <w:pPr>
        <w:autoSpaceDE w:val="0"/>
        <w:autoSpaceDN w:val="0"/>
        <w:adjustRightInd w:val="0"/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 xml:space="preserve">During the concomitant CRT phase the </w:t>
      </w:r>
      <w:r>
        <w:rPr>
          <w:sz w:val="20"/>
          <w:szCs w:val="20"/>
          <w:lang w:bidi="ar-SA"/>
        </w:rPr>
        <w:t xml:space="preserve">commonest ≥grade 3 toxicity was </w:t>
      </w:r>
      <w:r w:rsidRPr="00E35F4D">
        <w:rPr>
          <w:sz w:val="20"/>
          <w:szCs w:val="20"/>
          <w:lang w:bidi="ar-SA"/>
        </w:rPr>
        <w:t xml:space="preserve">diarrhea (16.1%) followed by dysuria (6.5%); all other grade 3/4 events were uncommon (&lt;5%). Four patients (12.9%) required dose reduction of </w:t>
      </w:r>
      <w:proofErr w:type="spellStart"/>
      <w:r w:rsidRPr="00E35F4D">
        <w:rPr>
          <w:sz w:val="20"/>
          <w:szCs w:val="20"/>
          <w:lang w:bidi="ar-SA"/>
        </w:rPr>
        <w:t>capecitabine</w:t>
      </w:r>
      <w:proofErr w:type="spellEnd"/>
      <w:r w:rsidRPr="00E35F4D">
        <w:rPr>
          <w:sz w:val="20"/>
          <w:szCs w:val="20"/>
          <w:lang w:bidi="ar-SA"/>
        </w:rPr>
        <w:t xml:space="preserve"> by 25% of the planned dose and only 1 patient discontinued </w:t>
      </w:r>
      <w:proofErr w:type="spellStart"/>
      <w:r w:rsidRPr="00E35F4D">
        <w:rPr>
          <w:sz w:val="20"/>
          <w:szCs w:val="20"/>
          <w:lang w:bidi="ar-SA"/>
        </w:rPr>
        <w:t>capecitabine</w:t>
      </w:r>
      <w:proofErr w:type="spellEnd"/>
      <w:r w:rsidRPr="00E35F4D">
        <w:rPr>
          <w:sz w:val="20"/>
          <w:szCs w:val="20"/>
          <w:lang w:bidi="ar-SA"/>
        </w:rPr>
        <w:t xml:space="preserve"> as he developed grade 3 </w:t>
      </w:r>
      <w:proofErr w:type="spellStart"/>
      <w:r w:rsidRPr="00E35F4D">
        <w:rPr>
          <w:sz w:val="20"/>
          <w:szCs w:val="20"/>
          <w:lang w:bidi="ar-SA"/>
        </w:rPr>
        <w:t>neutropenic</w:t>
      </w:r>
      <w:proofErr w:type="spellEnd"/>
      <w:r w:rsidRPr="00E35F4D">
        <w:rPr>
          <w:sz w:val="20"/>
          <w:szCs w:val="20"/>
          <w:lang w:bidi="ar-SA"/>
        </w:rPr>
        <w:t xml:space="preserve"> </w:t>
      </w:r>
      <w:proofErr w:type="gramStart"/>
      <w:r w:rsidRPr="00E35F4D">
        <w:rPr>
          <w:sz w:val="20"/>
          <w:szCs w:val="20"/>
          <w:lang w:bidi="ar-SA"/>
        </w:rPr>
        <w:t>fever</w:t>
      </w:r>
      <w:proofErr w:type="gramEnd"/>
      <w:r w:rsidRPr="00E35F4D">
        <w:rPr>
          <w:sz w:val="20"/>
          <w:szCs w:val="20"/>
          <w:lang w:bidi="ar-SA"/>
        </w:rPr>
        <w:t>. No treatment-related death had been recorded (Table 4).</w:t>
      </w:r>
    </w:p>
    <w:p w:rsidR="009A6E7C" w:rsidRDefault="009A6E7C" w:rsidP="002A4C6B">
      <w:pPr>
        <w:autoSpaceDE w:val="0"/>
        <w:autoSpaceDN w:val="0"/>
        <w:adjustRightInd w:val="0"/>
        <w:snapToGrid w:val="0"/>
        <w:ind w:firstLine="360"/>
        <w:jc w:val="both"/>
        <w:rPr>
          <w:b/>
          <w:bCs/>
          <w:sz w:val="20"/>
          <w:szCs w:val="20"/>
        </w:rPr>
      </w:pPr>
    </w:p>
    <w:p w:rsidR="00336139" w:rsidRDefault="00336139" w:rsidP="00015031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Table 2: Clinical response, pathologic response and disease </w:t>
      </w:r>
      <w:proofErr w:type="spellStart"/>
      <w:r w:rsidRPr="00E35F4D">
        <w:rPr>
          <w:b/>
          <w:bCs/>
          <w:sz w:val="20"/>
          <w:szCs w:val="20"/>
        </w:rPr>
        <w:t>downstaging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887"/>
        <w:gridCol w:w="900"/>
      </w:tblGrid>
      <w:tr w:rsidR="00336139" w:rsidRPr="00E35F4D" w:rsidTr="00475F15">
        <w:trPr>
          <w:trHeight w:val="35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Characteristics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tabs>
                <w:tab w:val="left" w:pos="495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36139" w:rsidRPr="00E35F4D" w:rsidTr="00475F15">
        <w:trPr>
          <w:trHeight w:val="143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4B5253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Clinical response</w:t>
            </w:r>
          </w:p>
          <w:p w:rsidR="00336139" w:rsidRPr="00E35F4D" w:rsidRDefault="00336139" w:rsidP="0032084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 xml:space="preserve">Complete response </w:t>
            </w:r>
          </w:p>
          <w:p w:rsidR="00336139" w:rsidRPr="00E35F4D" w:rsidRDefault="00336139" w:rsidP="00320846">
            <w:pPr>
              <w:snapToGrid w:val="0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20846">
              <w:rPr>
                <w:color w:val="000000"/>
                <w:sz w:val="20"/>
                <w:szCs w:val="20"/>
              </w:rPr>
              <w:t xml:space="preserve">Partial response </w:t>
            </w:r>
          </w:p>
          <w:p w:rsidR="00336139" w:rsidRPr="00E35F4D" w:rsidRDefault="00336139" w:rsidP="0032084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  <w:lang w:bidi="ar-SA"/>
              </w:rPr>
              <w:t xml:space="preserve">Overall response </w:t>
            </w:r>
          </w:p>
          <w:p w:rsidR="00336139" w:rsidRPr="00E35F4D" w:rsidRDefault="00336139" w:rsidP="00320846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 xml:space="preserve">Stable disease </w:t>
            </w:r>
          </w:p>
          <w:p w:rsidR="00336139" w:rsidRPr="00E35F4D" w:rsidRDefault="00336139" w:rsidP="00320846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Progressive disease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15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17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14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6.5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48.4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54.8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45.2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36139" w:rsidRPr="00E35F4D" w:rsidTr="00475F15">
        <w:trPr>
          <w:trHeight w:val="215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 response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pT0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pT1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pT2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pT3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pT4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pN0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pN1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pN2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7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8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10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9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22.6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25.8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19.4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32.3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61.3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29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9.7</w:t>
            </w:r>
          </w:p>
        </w:tc>
      </w:tr>
      <w:tr w:rsidR="00336139" w:rsidRPr="00E35F4D" w:rsidTr="00475F15">
        <w:trPr>
          <w:trHeight w:val="80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 down-staging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T down-staging</w:t>
            </w:r>
          </w:p>
          <w:p w:rsidR="00336139" w:rsidRPr="00E35F4D" w:rsidRDefault="00336139" w:rsidP="00182D3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35F4D">
              <w:rPr>
                <w:color w:val="000000"/>
                <w:sz w:val="20"/>
                <w:szCs w:val="20"/>
              </w:rPr>
              <w:t>N down-staging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61.3</w:t>
            </w:r>
          </w:p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51.6</w:t>
            </w:r>
          </w:p>
        </w:tc>
      </w:tr>
      <w:tr w:rsidR="00336139" w:rsidRPr="00E35F4D" w:rsidTr="00475F15">
        <w:trPr>
          <w:trHeight w:val="350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39" w:rsidRPr="00E35F4D" w:rsidRDefault="00336139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pCR</w:t>
            </w:r>
            <w:proofErr w:type="spellEnd"/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pT0N0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139" w:rsidRPr="00E35F4D" w:rsidRDefault="00336139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19.4</w:t>
            </w:r>
          </w:p>
        </w:tc>
      </w:tr>
    </w:tbl>
    <w:p w:rsidR="00336139" w:rsidRPr="00E35F4D" w:rsidRDefault="00336139" w:rsidP="00336139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</w:rPr>
        <w:sectPr w:rsidR="00336139" w:rsidRPr="00E35F4D" w:rsidSect="002B2928">
          <w:headerReference w:type="default" r:id="rId14"/>
          <w:footerReference w:type="default" r:id="rId15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FA43F5" w:rsidRPr="00E35F4D" w:rsidRDefault="00FA43F5" w:rsidP="00015031">
      <w:pPr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lastRenderedPageBreak/>
        <w:t xml:space="preserve">Table </w:t>
      </w:r>
      <w:r w:rsidR="00B4635B" w:rsidRPr="00E35F4D">
        <w:rPr>
          <w:b/>
          <w:bCs/>
          <w:sz w:val="20"/>
          <w:szCs w:val="20"/>
        </w:rPr>
        <w:t>3</w:t>
      </w:r>
      <w:r w:rsidR="00BA2E25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</w:t>
      </w:r>
      <w:r w:rsidR="00EE0572" w:rsidRPr="00E35F4D">
        <w:rPr>
          <w:b/>
          <w:bCs/>
          <w:sz w:val="20"/>
          <w:szCs w:val="20"/>
        </w:rPr>
        <w:t>Predictive f</w:t>
      </w:r>
      <w:r w:rsidRPr="00E35F4D">
        <w:rPr>
          <w:b/>
          <w:bCs/>
          <w:sz w:val="20"/>
          <w:szCs w:val="20"/>
        </w:rPr>
        <w:t>actor</w:t>
      </w:r>
      <w:r w:rsidR="000A7F3A" w:rsidRPr="00E35F4D">
        <w:rPr>
          <w:b/>
          <w:bCs/>
          <w:sz w:val="20"/>
          <w:szCs w:val="20"/>
        </w:rPr>
        <w:t>s affecting</w:t>
      </w:r>
      <w:r w:rsidRPr="00E35F4D">
        <w:rPr>
          <w:b/>
          <w:bCs/>
          <w:sz w:val="20"/>
          <w:szCs w:val="20"/>
        </w:rPr>
        <w:t xml:space="preserve"> </w:t>
      </w:r>
      <w:proofErr w:type="spellStart"/>
      <w:r w:rsidRPr="00E35F4D">
        <w:rPr>
          <w:b/>
          <w:bCs/>
          <w:sz w:val="20"/>
          <w:szCs w:val="20"/>
        </w:rPr>
        <w:t>pCR</w:t>
      </w:r>
      <w:proofErr w:type="spellEnd"/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2880"/>
        <w:gridCol w:w="1029"/>
      </w:tblGrid>
      <w:tr w:rsidR="007E7704" w:rsidRPr="00E35F4D" w:rsidTr="00475F15">
        <w:trPr>
          <w:trHeight w:val="440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3F6C9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3F6C9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35F4D">
              <w:rPr>
                <w:b/>
                <w:bCs/>
                <w:color w:val="000000"/>
                <w:sz w:val="20"/>
                <w:szCs w:val="20"/>
              </w:rPr>
              <w:t>pCR</w:t>
            </w:r>
            <w:proofErr w:type="spellEnd"/>
            <w:proofErr w:type="gramEnd"/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 rate No</w:t>
            </w:r>
            <w:r w:rsidR="003F6C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912CAD" w:rsidP="003F6C9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Age (year)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50 vs.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&gt;</w:t>
            </w:r>
            <w:r w:rsidR="007E7704" w:rsidRPr="00E35F4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3/16 (18.8)</w:t>
            </w:r>
            <w:r w:rsidR="002B2928" w:rsidRPr="00E35F4D">
              <w:rPr>
                <w:color w:val="000000"/>
                <w:sz w:val="20"/>
                <w:szCs w:val="20"/>
              </w:rPr>
              <w:t xml:space="preserve"> </w:t>
            </w:r>
            <w:r w:rsidRPr="00E35F4D">
              <w:rPr>
                <w:color w:val="000000"/>
                <w:sz w:val="20"/>
                <w:szCs w:val="20"/>
              </w:rPr>
              <w:t>vs. 3/15 (20)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Gender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color w:val="000000"/>
                <w:sz w:val="20"/>
                <w:szCs w:val="20"/>
              </w:rPr>
              <w:t>Male vs. Female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2/18 (11.1) vs. 4/13 (30.8)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0.208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Pathological grade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color w:val="000000"/>
                <w:sz w:val="20"/>
                <w:szCs w:val="20"/>
              </w:rPr>
              <w:t>Low /Intermediate vs. High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6/26 (23.1) vs. 0/5 (0)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0.553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Tumor distance from anal verge (cm.)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2/19 (10.5) vs. 4/12 (33.3)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0.174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 tumor size (cm.)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5/19 (26.3) vs. 1/12 (8.3)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0.363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Circumferential tumor extent (%)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&gt;50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4/17 (23.5) vs. 2/14 (14.3)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0.664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 clinical stage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color w:val="000000"/>
                <w:sz w:val="20"/>
                <w:szCs w:val="20"/>
              </w:rPr>
              <w:t>II vs. III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2/8 (25) vs. 4/23 (17.4)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0.634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Pretreatment</w:t>
            </w:r>
            <w:r w:rsidRPr="00E35F4D">
              <w:rPr>
                <w:color w:val="000000"/>
                <w:sz w:val="20"/>
                <w:szCs w:val="20"/>
              </w:rPr>
              <w:t xml:space="preserve"> 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CEA</w:t>
            </w:r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 xml:space="preserve"> level (</w:t>
            </w:r>
            <w:proofErr w:type="spellStart"/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>μg</w:t>
            </w:r>
            <w:proofErr w:type="spellEnd"/>
            <w:r w:rsidRPr="00E35F4D">
              <w:rPr>
                <w:rFonts w:eastAsia="CaeciliaLTStd-Roman"/>
                <w:b/>
                <w:bCs/>
                <w:color w:val="000000"/>
                <w:sz w:val="20"/>
                <w:szCs w:val="20"/>
                <w:lang w:bidi="ar-SA"/>
              </w:rPr>
              <w:t>/L</w:t>
            </w:r>
            <w:r w:rsidRPr="00E35F4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>5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&gt;5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6/20 (30) vs. 0/11 (0)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0.066</w:t>
            </w:r>
          </w:p>
        </w:tc>
      </w:tr>
      <w:tr w:rsidR="007E7704" w:rsidRPr="00E35F4D" w:rsidTr="00475F15">
        <w:trPr>
          <w:trHeight w:val="521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pStyle w:val="Pa11"/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Pretreatment CA 19-9 level (U/mL)</w:t>
            </w:r>
          </w:p>
          <w:p w:rsidR="007E7704" w:rsidRPr="00E35F4D" w:rsidRDefault="008B050A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color w:val="000000"/>
                <w:sz w:val="20"/>
                <w:szCs w:val="20"/>
              </w:rPr>
              <w:t>≤37</w:t>
            </w:r>
            <w:r w:rsidR="002B2928" w:rsidRPr="00E35F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&gt;37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6/19 (31.6) vs. 0/12 (0)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0.059</w:t>
            </w:r>
          </w:p>
        </w:tc>
      </w:tr>
      <w:tr w:rsidR="007E7704" w:rsidRPr="00E35F4D" w:rsidTr="00475F15">
        <w:trPr>
          <w:trHeight w:val="539"/>
          <w:jc w:val="center"/>
        </w:trPr>
        <w:tc>
          <w:tcPr>
            <w:tcW w:w="4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Interval between CCRT and surgery (week)</w:t>
            </w:r>
          </w:p>
          <w:p w:rsidR="007E7704" w:rsidRPr="00E35F4D" w:rsidRDefault="008B050A" w:rsidP="008B050A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YMjO11-Identity-H"/>
                <w:color w:val="000000"/>
                <w:sz w:val="20"/>
                <w:szCs w:val="20"/>
              </w:rPr>
              <w:t xml:space="preserve">   </w:t>
            </w:r>
            <w:r w:rsidR="007E7704" w:rsidRPr="00E35F4D">
              <w:rPr>
                <w:rFonts w:eastAsia="YMjO11-Identity-H"/>
                <w:color w:val="000000"/>
                <w:sz w:val="20"/>
                <w:szCs w:val="20"/>
              </w:rPr>
              <w:t>≤</w:t>
            </w:r>
            <w:r w:rsidR="007E7704" w:rsidRPr="00E35F4D">
              <w:rPr>
                <w:color w:val="000000"/>
                <w:sz w:val="20"/>
                <w:szCs w:val="20"/>
              </w:rPr>
              <w:t xml:space="preserve">6 </w:t>
            </w:r>
            <w:proofErr w:type="spellStart"/>
            <w:r w:rsidR="007E7704" w:rsidRPr="00E35F4D">
              <w:rPr>
                <w:color w:val="000000"/>
                <w:sz w:val="20"/>
                <w:szCs w:val="20"/>
              </w:rPr>
              <w:t>vs</w:t>
            </w:r>
            <w:proofErr w:type="spellEnd"/>
            <w:r w:rsidR="007E7704" w:rsidRPr="00E35F4D">
              <w:rPr>
                <w:color w:val="000000"/>
                <w:sz w:val="20"/>
                <w:szCs w:val="20"/>
              </w:rPr>
              <w:t xml:space="preserve"> &gt;6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6/23 (26.1) vs. 0/8 (0)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7704" w:rsidRPr="00E35F4D" w:rsidRDefault="007E7704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0.298</w:t>
            </w:r>
          </w:p>
        </w:tc>
      </w:tr>
    </w:tbl>
    <w:p w:rsidR="002B2928" w:rsidRPr="00E35F4D" w:rsidRDefault="002B2928" w:rsidP="002B2928">
      <w:pPr>
        <w:snapToGrid w:val="0"/>
        <w:ind w:firstLine="425"/>
        <w:jc w:val="both"/>
        <w:rPr>
          <w:b/>
          <w:bCs/>
          <w:i/>
          <w:iCs/>
          <w:sz w:val="20"/>
          <w:szCs w:val="20"/>
          <w:lang w:bidi="ar-SA"/>
        </w:rPr>
      </w:pP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i/>
          <w:iCs/>
          <w:sz w:val="20"/>
          <w:szCs w:val="20"/>
          <w:lang w:bidi="ar-SA"/>
        </w:rPr>
        <w:sectPr w:rsidR="002B2928" w:rsidRPr="00E35F4D" w:rsidSect="00BC5AB1">
          <w:headerReference w:type="default" r:id="rId16"/>
          <w:footerReference w:type="default" r:id="rId17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182D3D" w:rsidRPr="00E35F4D" w:rsidRDefault="00182D3D" w:rsidP="002A4C6B">
      <w:pPr>
        <w:snapToGrid w:val="0"/>
        <w:ind w:firstLine="360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lastRenderedPageBreak/>
        <w:t xml:space="preserve">Only one patient required discontinuation of RT after 3600 </w:t>
      </w:r>
      <w:proofErr w:type="spellStart"/>
      <w:r w:rsidRPr="00E35F4D">
        <w:rPr>
          <w:sz w:val="20"/>
          <w:szCs w:val="20"/>
          <w:lang w:bidi="ar-SA"/>
        </w:rPr>
        <w:t>cGy</w:t>
      </w:r>
      <w:proofErr w:type="spellEnd"/>
      <w:r w:rsidRPr="00E35F4D">
        <w:rPr>
          <w:sz w:val="20"/>
          <w:szCs w:val="20"/>
          <w:lang w:bidi="ar-SA"/>
        </w:rPr>
        <w:t xml:space="preserve"> due to grade </w:t>
      </w:r>
      <w:proofErr w:type="gramStart"/>
      <w:r w:rsidRPr="00E35F4D">
        <w:rPr>
          <w:sz w:val="20"/>
          <w:szCs w:val="20"/>
          <w:lang w:bidi="ar-SA"/>
        </w:rPr>
        <w:t xml:space="preserve">3 non-hematological toxicity with </w:t>
      </w:r>
      <w:r w:rsidR="00015031">
        <w:rPr>
          <w:sz w:val="20"/>
          <w:szCs w:val="20"/>
          <w:lang w:bidi="ar-SA"/>
        </w:rPr>
        <w:t xml:space="preserve">the </w:t>
      </w:r>
      <w:r w:rsidRPr="00E35F4D">
        <w:rPr>
          <w:sz w:val="20"/>
          <w:szCs w:val="20"/>
          <w:lang w:bidi="ar-SA"/>
        </w:rPr>
        <w:t>median time</w:t>
      </w:r>
      <w:proofErr w:type="gramEnd"/>
      <w:r w:rsidRPr="00E35F4D">
        <w:rPr>
          <w:sz w:val="20"/>
          <w:szCs w:val="20"/>
          <w:lang w:bidi="ar-SA"/>
        </w:rPr>
        <w:t xml:space="preserve"> for concomitant CRT was 35 (range 28-49) days.</w:t>
      </w:r>
    </w:p>
    <w:p w:rsidR="00182D3D" w:rsidRPr="006A74CB" w:rsidRDefault="00182D3D" w:rsidP="002A4C6B">
      <w:pPr>
        <w:snapToGrid w:val="0"/>
        <w:ind w:firstLine="360"/>
        <w:jc w:val="both"/>
        <w:rPr>
          <w:sz w:val="20"/>
          <w:szCs w:val="20"/>
          <w:lang w:bidi="ar-SA"/>
        </w:rPr>
      </w:pPr>
      <w:r w:rsidRPr="006A74CB">
        <w:rPr>
          <w:sz w:val="20"/>
          <w:szCs w:val="20"/>
          <w:lang w:bidi="ar-SA"/>
        </w:rPr>
        <w:t xml:space="preserve">Early postoperative complication included; infection of the wound (6 events), </w:t>
      </w:r>
      <w:r w:rsidRPr="006A74CB">
        <w:rPr>
          <w:sz w:val="20"/>
          <w:szCs w:val="20"/>
        </w:rPr>
        <w:t>delayed wound healing</w:t>
      </w:r>
      <w:r w:rsidRPr="006A74CB">
        <w:rPr>
          <w:sz w:val="20"/>
          <w:szCs w:val="20"/>
          <w:lang w:bidi="ar-SA"/>
        </w:rPr>
        <w:t xml:space="preserve"> (5 events), leak at anastomotic site (3 events), intra-abdominal infections (3 events) and stoma complications (1 event).</w:t>
      </w:r>
    </w:p>
    <w:p w:rsidR="00182D3D" w:rsidRPr="00E35F4D" w:rsidRDefault="00182D3D" w:rsidP="002A4C6B">
      <w:pPr>
        <w:snapToGrid w:val="0"/>
        <w:ind w:firstLine="360"/>
        <w:jc w:val="both"/>
        <w:rPr>
          <w:sz w:val="20"/>
          <w:szCs w:val="20"/>
          <w:lang w:bidi="ar-SA"/>
        </w:rPr>
      </w:pPr>
      <w:r w:rsidRPr="006A74CB">
        <w:rPr>
          <w:sz w:val="20"/>
          <w:szCs w:val="20"/>
        </w:rPr>
        <w:lastRenderedPageBreak/>
        <w:t xml:space="preserve">Delayed postoperative surgical complications were encountered in two patients who underwent LAR, one patient had </w:t>
      </w:r>
      <w:proofErr w:type="spellStart"/>
      <w:r w:rsidRPr="006A74CB">
        <w:rPr>
          <w:rStyle w:val="A7"/>
          <w:color w:val="auto"/>
          <w:sz w:val="20"/>
          <w:szCs w:val="20"/>
        </w:rPr>
        <w:t>a</w:t>
      </w:r>
      <w:r w:rsidRPr="006A74CB">
        <w:rPr>
          <w:sz w:val="20"/>
          <w:szCs w:val="20"/>
          <w:lang w:bidi="ar-SA"/>
        </w:rPr>
        <w:t>nastomostic</w:t>
      </w:r>
      <w:proofErr w:type="spellEnd"/>
      <w:r w:rsidRPr="006A74CB">
        <w:rPr>
          <w:sz w:val="20"/>
          <w:szCs w:val="20"/>
          <w:lang w:bidi="ar-SA"/>
        </w:rPr>
        <w:t xml:space="preserve"> stenosis</w:t>
      </w:r>
      <w:r w:rsidRPr="00E35F4D">
        <w:rPr>
          <w:sz w:val="20"/>
          <w:szCs w:val="20"/>
        </w:rPr>
        <w:t xml:space="preserve"> and the other one had f</w:t>
      </w:r>
      <w:r w:rsidRPr="00E35F4D">
        <w:rPr>
          <w:sz w:val="20"/>
          <w:szCs w:val="20"/>
          <w:lang w:bidi="ar-SA"/>
        </w:rPr>
        <w:t>istula formation.</w:t>
      </w:r>
    </w:p>
    <w:p w:rsidR="00182D3D" w:rsidRDefault="00182D3D" w:rsidP="005709DE">
      <w:pPr>
        <w:snapToGrid w:val="0"/>
        <w:ind w:firstLine="360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The total number of adjuvant CT cycles delivered was 83 cycles with median 3 cycles (range, 1-4). Twenty-one (67.7%) patients received ≥3 CT cycles and about 80% of all cycles were given with full planned dose.</w:t>
      </w: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</w:rPr>
        <w:sectPr w:rsidR="002B2928" w:rsidRPr="00E35F4D" w:rsidSect="002B2928">
          <w:headerReference w:type="default" r:id="rId18"/>
          <w:footerReference w:type="default" r:id="rId19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182D3D" w:rsidRDefault="00182D3D">
      <w:pPr>
        <w:rPr>
          <w:b/>
          <w:bCs/>
          <w:sz w:val="20"/>
          <w:szCs w:val="20"/>
        </w:rPr>
      </w:pPr>
    </w:p>
    <w:p w:rsidR="003422E4" w:rsidRPr="00E35F4D" w:rsidRDefault="003422E4" w:rsidP="00015031">
      <w:pPr>
        <w:snapToGrid w:val="0"/>
        <w:jc w:val="center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</w:rPr>
        <w:t xml:space="preserve">Table </w:t>
      </w:r>
      <w:r w:rsidR="00B4635B" w:rsidRPr="00E35F4D">
        <w:rPr>
          <w:b/>
          <w:bCs/>
          <w:sz w:val="20"/>
          <w:szCs w:val="20"/>
        </w:rPr>
        <w:t>4</w:t>
      </w:r>
      <w:r w:rsidR="00BA2E25" w:rsidRPr="00E35F4D">
        <w:rPr>
          <w:b/>
          <w:bCs/>
          <w:sz w:val="20"/>
          <w:szCs w:val="20"/>
        </w:rPr>
        <w:t>:</w:t>
      </w:r>
      <w:r w:rsidRPr="00E35F4D">
        <w:rPr>
          <w:b/>
          <w:bCs/>
          <w:sz w:val="20"/>
          <w:szCs w:val="20"/>
        </w:rPr>
        <w:t xml:space="preserve"> </w:t>
      </w:r>
      <w:r w:rsidR="004D7E22" w:rsidRPr="00E35F4D">
        <w:rPr>
          <w:b/>
          <w:bCs/>
          <w:sz w:val="20"/>
          <w:szCs w:val="20"/>
          <w:lang w:bidi="ar-SA"/>
        </w:rPr>
        <w:t>Treatment</w:t>
      </w:r>
      <w:r w:rsidR="00320846">
        <w:rPr>
          <w:b/>
          <w:bCs/>
          <w:sz w:val="20"/>
          <w:szCs w:val="20"/>
          <w:lang w:bidi="ar-SA"/>
        </w:rPr>
        <w:t xml:space="preserve"> toxicities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67"/>
        <w:gridCol w:w="1350"/>
        <w:gridCol w:w="1333"/>
        <w:gridCol w:w="1391"/>
      </w:tblGrid>
      <w:tr w:rsidR="00411C74" w:rsidRPr="00E35F4D" w:rsidTr="00475F15">
        <w:trPr>
          <w:trHeight w:val="60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411C74" w:rsidRPr="00E35F4D" w:rsidRDefault="00411C7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Toxicity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411C74" w:rsidRPr="00E35F4D" w:rsidRDefault="00411C74" w:rsidP="00182D3D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During induction CT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1C74" w:rsidRPr="00E35F4D" w:rsidRDefault="00411C74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During </w:t>
            </w:r>
            <w:r w:rsidR="0021171C"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concomitant </w:t>
            </w:r>
            <w:r w:rsidRPr="00E35F4D">
              <w:rPr>
                <w:b/>
                <w:bCs/>
                <w:color w:val="000000"/>
                <w:sz w:val="20"/>
                <w:szCs w:val="20"/>
                <w:lang w:bidi="ar-SA"/>
              </w:rPr>
              <w:t>CRT</w:t>
            </w:r>
          </w:p>
        </w:tc>
      </w:tr>
      <w:tr w:rsidR="009D001E" w:rsidRPr="00E35F4D" w:rsidTr="00475F15">
        <w:trPr>
          <w:trHeight w:val="60"/>
          <w:jc w:val="center"/>
        </w:trPr>
        <w:tc>
          <w:tcPr>
            <w:tcW w:w="334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001E" w:rsidRPr="00E35F4D" w:rsidRDefault="00411C74" w:rsidP="009A755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411C74" w:rsidP="009A755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nil"/>
            </w:tcBorders>
          </w:tcPr>
          <w:p w:rsidR="009D001E" w:rsidRPr="00E35F4D" w:rsidRDefault="00411C74" w:rsidP="009A755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  <w:tc>
          <w:tcPr>
            <w:tcW w:w="1391" w:type="dxa"/>
            <w:tcBorders>
              <w:left w:val="nil"/>
              <w:bottom w:val="single" w:sz="4" w:space="0" w:color="auto"/>
              <w:right w:val="nil"/>
            </w:tcBorders>
          </w:tcPr>
          <w:p w:rsidR="009D001E" w:rsidRPr="00E35F4D" w:rsidRDefault="00411C74" w:rsidP="009A755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="009D001E" w:rsidRPr="00E35F4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No, (%)</w:t>
            </w:r>
          </w:p>
        </w:tc>
      </w:tr>
      <w:tr w:rsidR="009D001E" w:rsidRPr="00E35F4D" w:rsidTr="00475F15">
        <w:trPr>
          <w:trHeight w:val="60"/>
          <w:jc w:val="center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Hematologica</w:t>
            </w:r>
            <w:r w:rsidRPr="00E35F4D">
              <w:rPr>
                <w:color w:val="000000"/>
                <w:sz w:val="20"/>
                <w:szCs w:val="20"/>
              </w:rPr>
              <w:t>l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Anemia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Leucopenia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Thrombocytopenia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 (6.5)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9D001E" w:rsidRPr="00E35F4D" w:rsidTr="00475F15">
        <w:trPr>
          <w:trHeight w:val="1341"/>
          <w:jc w:val="center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2B2928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Non-hematological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 xml:space="preserve">Nausea </w:t>
            </w:r>
            <w:r w:rsidR="00EE0572" w:rsidRPr="00E35F4D">
              <w:rPr>
                <w:color w:val="000000"/>
                <w:sz w:val="20"/>
                <w:szCs w:val="20"/>
              </w:rPr>
              <w:t>&amp;</w:t>
            </w:r>
            <w:r w:rsidR="009D001E" w:rsidRPr="00E35F4D">
              <w:rPr>
                <w:color w:val="000000"/>
                <w:sz w:val="20"/>
                <w:szCs w:val="20"/>
              </w:rPr>
              <w:t xml:space="preserve"> </w:t>
            </w:r>
            <w:r w:rsidR="00EE0572" w:rsidRPr="00E35F4D">
              <w:rPr>
                <w:color w:val="000000"/>
                <w:sz w:val="20"/>
                <w:szCs w:val="20"/>
              </w:rPr>
              <w:t>v</w:t>
            </w:r>
            <w:r w:rsidR="009D001E" w:rsidRPr="00E35F4D">
              <w:rPr>
                <w:color w:val="000000"/>
                <w:sz w:val="20"/>
                <w:szCs w:val="20"/>
              </w:rPr>
              <w:t>omiting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Diarrhea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Fatigue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Anorexia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proofErr w:type="spellStart"/>
            <w:r w:rsidR="00FA37F0" w:rsidRPr="00E35F4D">
              <w:rPr>
                <w:color w:val="000000"/>
                <w:sz w:val="20"/>
                <w:szCs w:val="20"/>
                <w:lang w:bidi="ar-SA"/>
              </w:rPr>
              <w:t>N</w:t>
            </w:r>
            <w:r w:rsidR="0039389D" w:rsidRPr="00E35F4D">
              <w:rPr>
                <w:color w:val="000000"/>
                <w:sz w:val="20"/>
                <w:szCs w:val="20"/>
                <w:lang w:bidi="ar-SA"/>
              </w:rPr>
              <w:t>e</w:t>
            </w:r>
            <w:r w:rsidR="00FA37F0" w:rsidRPr="00E35F4D">
              <w:rPr>
                <w:color w:val="000000"/>
                <w:sz w:val="20"/>
                <w:szCs w:val="20"/>
                <w:lang w:bidi="ar-SA"/>
              </w:rPr>
              <w:t>utropenic</w:t>
            </w:r>
            <w:proofErr w:type="spellEnd"/>
            <w:r w:rsidR="00FA37F0" w:rsidRPr="00E35F4D">
              <w:rPr>
                <w:color w:val="000000"/>
                <w:sz w:val="20"/>
                <w:szCs w:val="20"/>
                <w:lang w:bidi="ar-SA"/>
              </w:rPr>
              <w:t xml:space="preserve"> fever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  <w:lang w:bidi="ar-SA"/>
              </w:rPr>
              <w:t>Mucositis</w:t>
            </w:r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9D001E" w:rsidRPr="00E35F4D">
              <w:rPr>
                <w:color w:val="000000"/>
                <w:sz w:val="20"/>
                <w:szCs w:val="20"/>
              </w:rPr>
              <w:t>Dysurea</w:t>
            </w:r>
            <w:proofErr w:type="spellEnd"/>
          </w:p>
          <w:p w:rsidR="009D001E" w:rsidRPr="00E35F4D" w:rsidRDefault="00182D3D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9D001E" w:rsidRPr="00E35F4D">
              <w:rPr>
                <w:color w:val="000000"/>
                <w:sz w:val="20"/>
                <w:szCs w:val="20"/>
              </w:rPr>
              <w:t>Hand-foot skin syndrome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EE0572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3</w:t>
            </w:r>
            <w:r w:rsidR="009D001E" w:rsidRPr="00E35F4D">
              <w:rPr>
                <w:color w:val="000000"/>
                <w:sz w:val="20"/>
                <w:szCs w:val="20"/>
              </w:rPr>
              <w:t xml:space="preserve"> (</w:t>
            </w:r>
            <w:r w:rsidRPr="00E35F4D">
              <w:rPr>
                <w:color w:val="000000"/>
                <w:sz w:val="20"/>
                <w:szCs w:val="20"/>
              </w:rPr>
              <w:t>9.7</w:t>
            </w:r>
            <w:r w:rsidR="009D001E" w:rsidRPr="00E35F4D">
              <w:rPr>
                <w:color w:val="000000"/>
                <w:sz w:val="20"/>
                <w:szCs w:val="20"/>
              </w:rPr>
              <w:t>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5 (16.1)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FA37F0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2 (6.5)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1 (3.2)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FA37F0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  <w:p w:rsidR="009D001E" w:rsidRPr="00E35F4D" w:rsidRDefault="009D001E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B2928" w:rsidRDefault="002B2928" w:rsidP="002B2928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i/>
          <w:iCs/>
          <w:sz w:val="20"/>
          <w:szCs w:val="20"/>
        </w:rPr>
      </w:pPr>
    </w:p>
    <w:p w:rsidR="006F180A" w:rsidRPr="00E35F4D" w:rsidRDefault="006F180A" w:rsidP="002B2928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i/>
          <w:iCs/>
          <w:sz w:val="20"/>
          <w:szCs w:val="20"/>
        </w:rPr>
      </w:pPr>
    </w:p>
    <w:tbl>
      <w:tblPr>
        <w:tblW w:w="8846" w:type="dxa"/>
        <w:jc w:val="center"/>
        <w:tblLayout w:type="fixed"/>
        <w:tblLook w:val="04A0" w:firstRow="1" w:lastRow="0" w:firstColumn="1" w:lastColumn="0" w:noHBand="0" w:noVBand="1"/>
      </w:tblPr>
      <w:tblGrid>
        <w:gridCol w:w="4373"/>
        <w:gridCol w:w="4473"/>
      </w:tblGrid>
      <w:tr w:rsidR="004E754F" w:rsidRPr="00E35F4D" w:rsidTr="00182D3D">
        <w:trPr>
          <w:jc w:val="center"/>
        </w:trPr>
        <w:tc>
          <w:tcPr>
            <w:tcW w:w="4373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noProof/>
                <w:color w:val="000000"/>
                <w:sz w:val="20"/>
                <w:szCs w:val="20"/>
                <w:lang w:eastAsia="zh-CN" w:bidi="ar-SA"/>
              </w:rPr>
            </w:pPr>
            <w:r w:rsidRPr="00E35F4D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1EC11E43" wp14:editId="71B2A383">
                  <wp:extent cx="2594524" cy="2714017"/>
                  <wp:effectExtent l="0" t="0" r="0" b="0"/>
                  <wp:docPr id="1" name="Picture 8" descr="Description: D:\ابحاث الترقية الجديدة\3 Rectum\Overall survi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:\ابحاث الترقية الجديدة\3 Rectum\Overall surviv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848" cy="2720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D57" w:rsidRDefault="00605D57" w:rsidP="002B29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B2928" w:rsidRPr="00E35F4D" w:rsidRDefault="002B2928" w:rsidP="002B2928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(1):</w:t>
            </w:r>
            <w:r w:rsidRPr="00E35F4D">
              <w:rPr>
                <w:color w:val="000000"/>
                <w:sz w:val="20"/>
                <w:szCs w:val="20"/>
              </w:rPr>
              <w:t xml:space="preserve"> Overall survival of all patients.</w:t>
            </w:r>
          </w:p>
        </w:tc>
        <w:tc>
          <w:tcPr>
            <w:tcW w:w="4473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noProof/>
                <w:color w:val="000000"/>
                <w:sz w:val="20"/>
                <w:szCs w:val="20"/>
                <w:lang w:eastAsia="zh-CN" w:bidi="ar-SA"/>
              </w:rPr>
            </w:pPr>
            <w:r w:rsidRPr="00E35F4D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6D37DB1D" wp14:editId="12DDD190">
                  <wp:extent cx="2594525" cy="2714017"/>
                  <wp:effectExtent l="0" t="0" r="0" b="0"/>
                  <wp:docPr id="2" name="Picture 7" descr="Description: D:\ابحاث الترقية الجديدة\3 Rectum\Disease Free Survi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D:\ابحاث الترقية الجديدة\3 Rectum\Disease Free Surviv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523" cy="2725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D57" w:rsidRDefault="00605D57" w:rsidP="002B29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B2928" w:rsidRPr="00E35F4D" w:rsidRDefault="002B2928" w:rsidP="002B2928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(2):</w:t>
            </w:r>
            <w:r w:rsidRPr="00E35F4D">
              <w:rPr>
                <w:color w:val="000000"/>
                <w:sz w:val="20"/>
                <w:szCs w:val="20"/>
              </w:rPr>
              <w:t xml:space="preserve"> Disease free survival of all patients.</w:t>
            </w:r>
          </w:p>
        </w:tc>
      </w:tr>
    </w:tbl>
    <w:p w:rsidR="002B2928" w:rsidRPr="00E35F4D" w:rsidRDefault="002B2928">
      <w:pPr>
        <w:rPr>
          <w:sz w:val="20"/>
          <w:szCs w:val="20"/>
          <w:lang w:eastAsia="zh-CN"/>
        </w:rPr>
      </w:pPr>
    </w:p>
    <w:p w:rsidR="002B2928" w:rsidRPr="00E35F4D" w:rsidRDefault="002B2928" w:rsidP="002B2928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</w:rPr>
        <w:sectPr w:rsidR="002B2928" w:rsidRPr="00E35F4D" w:rsidSect="00BC5AB1">
          <w:headerReference w:type="default" r:id="rId22"/>
          <w:footerReference w:type="default" r:id="rId23"/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2B2928" w:rsidRPr="00E35F4D" w:rsidRDefault="002B2928" w:rsidP="00182D3D">
      <w:pPr>
        <w:autoSpaceDE w:val="0"/>
        <w:autoSpaceDN w:val="0"/>
        <w:adjustRightInd w:val="0"/>
        <w:snapToGrid w:val="0"/>
        <w:jc w:val="both"/>
        <w:rPr>
          <w:b/>
          <w:bCs/>
          <w:i/>
          <w:iCs/>
          <w:sz w:val="20"/>
          <w:szCs w:val="20"/>
        </w:rPr>
      </w:pPr>
      <w:r w:rsidRPr="00E35F4D">
        <w:rPr>
          <w:b/>
          <w:bCs/>
          <w:i/>
          <w:iCs/>
          <w:sz w:val="20"/>
          <w:szCs w:val="20"/>
        </w:rPr>
        <w:lastRenderedPageBreak/>
        <w:t>Survival</w:t>
      </w:r>
    </w:p>
    <w:p w:rsidR="002B2928" w:rsidRPr="00E35F4D" w:rsidRDefault="002B2928" w:rsidP="00ED1C3E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As regard the survival outcome for all patients, the me</w:t>
      </w:r>
      <w:r w:rsidR="004B5253">
        <w:rPr>
          <w:sz w:val="20"/>
          <w:szCs w:val="20"/>
        </w:rPr>
        <w:t>an</w:t>
      </w:r>
      <w:r w:rsidRPr="00E35F4D">
        <w:rPr>
          <w:sz w:val="20"/>
          <w:szCs w:val="20"/>
        </w:rPr>
        <w:t xml:space="preserve"> OS time was </w:t>
      </w:r>
      <w:r w:rsidR="004B5253">
        <w:rPr>
          <w:sz w:val="20"/>
          <w:szCs w:val="20"/>
        </w:rPr>
        <w:t>37.3</w:t>
      </w:r>
      <w:r w:rsidRPr="00E35F4D">
        <w:rPr>
          <w:sz w:val="20"/>
          <w:szCs w:val="20"/>
        </w:rPr>
        <w:t xml:space="preserve"> months (</w:t>
      </w:r>
      <w:r w:rsidR="00E456BB">
        <w:rPr>
          <w:sz w:val="20"/>
          <w:szCs w:val="20"/>
        </w:rPr>
        <w:t>95%</w:t>
      </w:r>
      <w:r w:rsidR="00ED1C3E">
        <w:rPr>
          <w:sz w:val="20"/>
          <w:szCs w:val="20"/>
        </w:rPr>
        <w:t xml:space="preserve"> </w:t>
      </w:r>
      <w:r w:rsidR="00E456BB">
        <w:rPr>
          <w:sz w:val="20"/>
          <w:szCs w:val="20"/>
        </w:rPr>
        <w:t>CI</w:t>
      </w:r>
      <w:r w:rsidR="00ED1C3E">
        <w:rPr>
          <w:sz w:val="20"/>
          <w:szCs w:val="20"/>
        </w:rPr>
        <w:t>,</w:t>
      </w:r>
      <w:r w:rsidR="00E456BB">
        <w:rPr>
          <w:sz w:val="20"/>
          <w:szCs w:val="20"/>
        </w:rPr>
        <w:t xml:space="preserve"> 33.9-40.6) </w:t>
      </w:r>
      <w:r w:rsidRPr="00E35F4D">
        <w:rPr>
          <w:sz w:val="20"/>
          <w:szCs w:val="20"/>
        </w:rPr>
        <w:t>and the 2-year OS rate was 83% (figure 1).</w:t>
      </w:r>
    </w:p>
    <w:p w:rsidR="002B2928" w:rsidRPr="00E35F4D" w:rsidRDefault="002B2928" w:rsidP="00ED1C3E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lastRenderedPageBreak/>
        <w:t>The me</w:t>
      </w:r>
      <w:r w:rsidR="00E456BB">
        <w:rPr>
          <w:sz w:val="20"/>
          <w:szCs w:val="20"/>
        </w:rPr>
        <w:t>an</w:t>
      </w:r>
      <w:r w:rsidRPr="00E35F4D">
        <w:rPr>
          <w:sz w:val="20"/>
          <w:szCs w:val="20"/>
        </w:rPr>
        <w:t xml:space="preserve"> DFS time was </w:t>
      </w:r>
      <w:r w:rsidR="00E456BB">
        <w:rPr>
          <w:sz w:val="20"/>
          <w:szCs w:val="20"/>
        </w:rPr>
        <w:t>33.2 months (95%</w:t>
      </w:r>
      <w:r w:rsidR="00ED1C3E">
        <w:rPr>
          <w:sz w:val="20"/>
          <w:szCs w:val="20"/>
        </w:rPr>
        <w:t xml:space="preserve"> </w:t>
      </w:r>
      <w:r w:rsidR="00E456BB">
        <w:rPr>
          <w:sz w:val="20"/>
          <w:szCs w:val="20"/>
        </w:rPr>
        <w:t>CI</w:t>
      </w:r>
      <w:r w:rsidR="00ED1C3E">
        <w:rPr>
          <w:sz w:val="20"/>
          <w:szCs w:val="20"/>
        </w:rPr>
        <w:t>,</w:t>
      </w:r>
      <w:r w:rsidR="00E456BB">
        <w:rPr>
          <w:sz w:val="20"/>
          <w:szCs w:val="20"/>
        </w:rPr>
        <w:t xml:space="preserve"> 28.6-37.7) </w:t>
      </w:r>
      <w:r w:rsidRPr="00E35F4D">
        <w:rPr>
          <w:sz w:val="20"/>
          <w:szCs w:val="20"/>
        </w:rPr>
        <w:t>and the 2-year DFS rate was 67.4% (figure 2).</w:t>
      </w:r>
    </w:p>
    <w:p w:rsidR="002B2928" w:rsidRPr="00E35F4D" w:rsidRDefault="002B2928" w:rsidP="00ED1C3E">
      <w:pPr>
        <w:snapToGrid w:val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Local failure had occurred in 4 (</w:t>
      </w:r>
      <w:r w:rsidRPr="00E35F4D">
        <w:rPr>
          <w:sz w:val="20"/>
          <w:szCs w:val="20"/>
          <w:lang w:bidi="ar-SA"/>
        </w:rPr>
        <w:t>12.9</w:t>
      </w:r>
      <w:r w:rsidRPr="00E35F4D">
        <w:rPr>
          <w:sz w:val="20"/>
          <w:szCs w:val="20"/>
        </w:rPr>
        <w:t xml:space="preserve">%) patients, </w:t>
      </w:r>
      <w:r w:rsidR="00F64CBB">
        <w:rPr>
          <w:sz w:val="20"/>
          <w:szCs w:val="20"/>
        </w:rPr>
        <w:t>1</w:t>
      </w:r>
      <w:r w:rsidRPr="00E35F4D">
        <w:rPr>
          <w:sz w:val="20"/>
          <w:szCs w:val="20"/>
        </w:rPr>
        <w:t xml:space="preserve"> (</w:t>
      </w:r>
      <w:r w:rsidR="00F64CBB">
        <w:rPr>
          <w:sz w:val="20"/>
          <w:szCs w:val="20"/>
        </w:rPr>
        <w:t>3.2</w:t>
      </w:r>
      <w:r w:rsidRPr="00E35F4D">
        <w:rPr>
          <w:sz w:val="20"/>
          <w:szCs w:val="20"/>
        </w:rPr>
        <w:t xml:space="preserve">%) of them had local failure alone and </w:t>
      </w:r>
      <w:r w:rsidR="00F64CBB">
        <w:rPr>
          <w:sz w:val="20"/>
          <w:szCs w:val="20"/>
        </w:rPr>
        <w:t>3</w:t>
      </w:r>
      <w:r w:rsidRPr="00E35F4D">
        <w:rPr>
          <w:sz w:val="20"/>
          <w:szCs w:val="20"/>
        </w:rPr>
        <w:t xml:space="preserve"> (</w:t>
      </w:r>
      <w:r w:rsidR="00F64CBB">
        <w:rPr>
          <w:sz w:val="20"/>
          <w:szCs w:val="20"/>
        </w:rPr>
        <w:t>9.7</w:t>
      </w:r>
      <w:r w:rsidRPr="00E35F4D">
        <w:rPr>
          <w:sz w:val="20"/>
          <w:szCs w:val="20"/>
        </w:rPr>
        <w:t xml:space="preserve">%) </w:t>
      </w:r>
      <w:r w:rsidRPr="00E35F4D">
        <w:rPr>
          <w:sz w:val="20"/>
          <w:szCs w:val="20"/>
        </w:rPr>
        <w:lastRenderedPageBreak/>
        <w:t xml:space="preserve">patients had both local and distant failures. </w:t>
      </w:r>
      <w:r w:rsidRPr="00E35F4D">
        <w:rPr>
          <w:sz w:val="20"/>
          <w:szCs w:val="20"/>
          <w:lang w:bidi="ar-SA"/>
        </w:rPr>
        <w:t>Anastomosis site</w:t>
      </w:r>
      <w:r w:rsidRPr="00E35F4D">
        <w:rPr>
          <w:sz w:val="20"/>
          <w:szCs w:val="20"/>
        </w:rPr>
        <w:t xml:space="preserve"> was the commonest site of local failure constituted 9.7% of all patients followed with perineum (</w:t>
      </w:r>
      <w:r w:rsidRPr="00E35F4D">
        <w:rPr>
          <w:sz w:val="20"/>
          <w:szCs w:val="20"/>
          <w:lang w:bidi="ar-SA"/>
        </w:rPr>
        <w:t>3.2</w:t>
      </w:r>
      <w:r w:rsidR="00E456BB">
        <w:rPr>
          <w:sz w:val="20"/>
          <w:szCs w:val="20"/>
        </w:rPr>
        <w:t>%). The me</w:t>
      </w:r>
      <w:r w:rsidRPr="00E35F4D">
        <w:rPr>
          <w:sz w:val="20"/>
          <w:szCs w:val="20"/>
        </w:rPr>
        <w:t xml:space="preserve">an local recurrence free survival (LRFS) time was </w:t>
      </w:r>
      <w:r w:rsidR="00E456BB">
        <w:rPr>
          <w:sz w:val="20"/>
          <w:szCs w:val="20"/>
        </w:rPr>
        <w:t xml:space="preserve">38.3 </w:t>
      </w:r>
      <w:r w:rsidRPr="00E35F4D">
        <w:rPr>
          <w:sz w:val="20"/>
          <w:szCs w:val="20"/>
        </w:rPr>
        <w:t>months</w:t>
      </w:r>
      <w:r w:rsidR="00E456BB">
        <w:rPr>
          <w:sz w:val="20"/>
          <w:szCs w:val="20"/>
        </w:rPr>
        <w:t xml:space="preserve"> (95%CI</w:t>
      </w:r>
      <w:r w:rsidR="00ED1C3E">
        <w:rPr>
          <w:sz w:val="20"/>
          <w:szCs w:val="20"/>
        </w:rPr>
        <w:t>,</w:t>
      </w:r>
      <w:r w:rsidR="00E456BB">
        <w:rPr>
          <w:sz w:val="20"/>
          <w:szCs w:val="20"/>
        </w:rPr>
        <w:t xml:space="preserve"> 34.9-41.7) </w:t>
      </w:r>
      <w:r w:rsidRPr="00E35F4D">
        <w:rPr>
          <w:sz w:val="20"/>
          <w:szCs w:val="20"/>
        </w:rPr>
        <w:t>and the 2-year LRFS rate was 86% (figure 3).</w:t>
      </w:r>
    </w:p>
    <w:p w:rsidR="002B2928" w:rsidRPr="00E35F4D" w:rsidRDefault="002B2928" w:rsidP="00ED1C3E">
      <w:pPr>
        <w:ind w:firstLine="425"/>
        <w:jc w:val="both"/>
        <w:rPr>
          <w:sz w:val="20"/>
          <w:szCs w:val="20"/>
          <w:lang w:eastAsia="zh-CN"/>
        </w:rPr>
      </w:pPr>
      <w:r w:rsidRPr="00E35F4D">
        <w:rPr>
          <w:sz w:val="20"/>
          <w:szCs w:val="20"/>
        </w:rPr>
        <w:t>Distant failure had occurred in 9 (</w:t>
      </w:r>
      <w:r w:rsidRPr="00E35F4D">
        <w:rPr>
          <w:sz w:val="20"/>
          <w:szCs w:val="20"/>
          <w:lang w:bidi="ar-SA"/>
        </w:rPr>
        <w:t>29</w:t>
      </w:r>
      <w:r w:rsidRPr="00E35F4D">
        <w:rPr>
          <w:sz w:val="20"/>
          <w:szCs w:val="20"/>
        </w:rPr>
        <w:t xml:space="preserve">%) patients, </w:t>
      </w:r>
      <w:r w:rsidR="00F64CBB">
        <w:rPr>
          <w:sz w:val="20"/>
          <w:szCs w:val="20"/>
        </w:rPr>
        <w:t>6</w:t>
      </w:r>
      <w:r w:rsidRPr="00E35F4D">
        <w:rPr>
          <w:sz w:val="20"/>
          <w:szCs w:val="20"/>
        </w:rPr>
        <w:t xml:space="preserve"> (</w:t>
      </w:r>
      <w:r w:rsidR="00F64CBB">
        <w:rPr>
          <w:sz w:val="20"/>
          <w:szCs w:val="20"/>
        </w:rPr>
        <w:t>19.4</w:t>
      </w:r>
      <w:r w:rsidRPr="00E35F4D">
        <w:rPr>
          <w:sz w:val="20"/>
          <w:szCs w:val="20"/>
        </w:rPr>
        <w:t xml:space="preserve">%) of them had distant failure alone and </w:t>
      </w:r>
      <w:r w:rsidR="00F64CBB">
        <w:rPr>
          <w:sz w:val="20"/>
          <w:szCs w:val="20"/>
        </w:rPr>
        <w:t>3</w:t>
      </w:r>
      <w:r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lastRenderedPageBreak/>
        <w:t>(</w:t>
      </w:r>
      <w:r w:rsidR="00F64CBB">
        <w:rPr>
          <w:sz w:val="20"/>
          <w:szCs w:val="20"/>
        </w:rPr>
        <w:t>9.7</w:t>
      </w:r>
      <w:r w:rsidRPr="00E35F4D">
        <w:rPr>
          <w:sz w:val="20"/>
          <w:szCs w:val="20"/>
        </w:rPr>
        <w:t>%) patents had both local and distant failures. The lung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 xml:space="preserve">was the commonest site of distant failure that constituted </w:t>
      </w:r>
      <w:r w:rsidRPr="00E35F4D">
        <w:rPr>
          <w:sz w:val="20"/>
          <w:szCs w:val="20"/>
          <w:lang w:bidi="ar-SA"/>
        </w:rPr>
        <w:t>12.9</w:t>
      </w:r>
      <w:r w:rsidRPr="00E35F4D">
        <w:rPr>
          <w:sz w:val="20"/>
          <w:szCs w:val="20"/>
        </w:rPr>
        <w:t>% of all patients followed by the l</w:t>
      </w:r>
      <w:r w:rsidRPr="00E35F4D">
        <w:rPr>
          <w:sz w:val="20"/>
          <w:szCs w:val="20"/>
          <w:lang w:bidi="ar-SA"/>
        </w:rPr>
        <w:t>iver</w:t>
      </w:r>
      <w:r w:rsidRPr="00E35F4D">
        <w:rPr>
          <w:sz w:val="20"/>
          <w:szCs w:val="20"/>
        </w:rPr>
        <w:t xml:space="preserve"> (</w:t>
      </w:r>
      <w:r w:rsidRPr="00E35F4D">
        <w:rPr>
          <w:sz w:val="20"/>
          <w:szCs w:val="20"/>
          <w:lang w:bidi="ar-SA"/>
        </w:rPr>
        <w:t>9.7</w:t>
      </w:r>
      <w:r w:rsidRPr="00E35F4D">
        <w:rPr>
          <w:sz w:val="20"/>
          <w:szCs w:val="20"/>
        </w:rPr>
        <w:t>%),</w:t>
      </w:r>
      <w:r w:rsidRPr="00E35F4D">
        <w:rPr>
          <w:sz w:val="20"/>
          <w:szCs w:val="20"/>
          <w:lang w:bidi="ar-SA"/>
        </w:rPr>
        <w:t xml:space="preserve"> both lung and liver (4%)</w:t>
      </w:r>
      <w:r w:rsidRPr="00E35F4D">
        <w:rPr>
          <w:sz w:val="20"/>
          <w:szCs w:val="20"/>
        </w:rPr>
        <w:t xml:space="preserve"> </w:t>
      </w:r>
      <w:r w:rsidRPr="00E35F4D">
        <w:rPr>
          <w:sz w:val="20"/>
          <w:szCs w:val="20"/>
          <w:lang w:bidi="ar-SA"/>
        </w:rPr>
        <w:t xml:space="preserve">and </w:t>
      </w:r>
      <w:r w:rsidR="006A74CB">
        <w:rPr>
          <w:sz w:val="20"/>
          <w:szCs w:val="20"/>
          <w:lang w:bidi="ar-SA"/>
        </w:rPr>
        <w:t>LNs</w:t>
      </w:r>
      <w:r w:rsidRPr="00E35F4D">
        <w:rPr>
          <w:sz w:val="20"/>
          <w:szCs w:val="20"/>
          <w:lang w:bidi="ar-SA"/>
        </w:rPr>
        <w:t xml:space="preserve"> (3.2%)</w:t>
      </w:r>
      <w:r w:rsidRPr="00E35F4D">
        <w:rPr>
          <w:sz w:val="20"/>
          <w:szCs w:val="20"/>
        </w:rPr>
        <w:t>.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</w:rPr>
        <w:t xml:space="preserve">The mean distant metastases free survival (DMFS) time was </w:t>
      </w:r>
      <w:r w:rsidR="00F64CBB">
        <w:rPr>
          <w:sz w:val="20"/>
          <w:szCs w:val="20"/>
        </w:rPr>
        <w:t>34 months</w:t>
      </w:r>
      <w:r w:rsidRPr="00E35F4D">
        <w:rPr>
          <w:sz w:val="20"/>
          <w:szCs w:val="20"/>
        </w:rPr>
        <w:t xml:space="preserve"> (</w:t>
      </w:r>
      <w:r w:rsidR="00F64CBB">
        <w:rPr>
          <w:sz w:val="20"/>
          <w:szCs w:val="20"/>
        </w:rPr>
        <w:t>95%</w:t>
      </w:r>
      <w:r w:rsidR="00ED1C3E">
        <w:rPr>
          <w:sz w:val="20"/>
          <w:szCs w:val="20"/>
        </w:rPr>
        <w:t xml:space="preserve"> </w:t>
      </w:r>
      <w:r w:rsidR="00F64CBB">
        <w:rPr>
          <w:sz w:val="20"/>
          <w:szCs w:val="20"/>
        </w:rPr>
        <w:t>CI</w:t>
      </w:r>
      <w:r w:rsidR="00ED1C3E">
        <w:rPr>
          <w:sz w:val="20"/>
          <w:szCs w:val="20"/>
        </w:rPr>
        <w:t>,</w:t>
      </w:r>
      <w:r w:rsidR="00F64CBB">
        <w:rPr>
          <w:sz w:val="20"/>
          <w:szCs w:val="20"/>
        </w:rPr>
        <w:t xml:space="preserve"> 29.6-38.4</w:t>
      </w:r>
      <w:r w:rsidRPr="00E35F4D">
        <w:rPr>
          <w:sz w:val="20"/>
          <w:szCs w:val="20"/>
        </w:rPr>
        <w:t>)</w:t>
      </w:r>
      <w:r w:rsidR="00F64CBB">
        <w:rPr>
          <w:sz w:val="20"/>
          <w:szCs w:val="20"/>
        </w:rPr>
        <w:t xml:space="preserve"> </w:t>
      </w:r>
      <w:r w:rsidRPr="00E35F4D">
        <w:rPr>
          <w:sz w:val="20"/>
          <w:szCs w:val="20"/>
        </w:rPr>
        <w:t>and the 2-year DMFS rate was 71% (figure 4).</w:t>
      </w:r>
    </w:p>
    <w:p w:rsidR="002B2928" w:rsidRPr="00E35F4D" w:rsidRDefault="002B2928">
      <w:pPr>
        <w:rPr>
          <w:sz w:val="20"/>
          <w:szCs w:val="20"/>
          <w:lang w:eastAsia="zh-CN"/>
        </w:rPr>
        <w:sectPr w:rsidR="002B2928" w:rsidRPr="00E35F4D" w:rsidSect="002B2928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B2928" w:rsidRPr="00E35F4D" w:rsidRDefault="002B2928">
      <w:pPr>
        <w:rPr>
          <w:sz w:val="20"/>
          <w:szCs w:val="20"/>
          <w:lang w:eastAsia="zh-CN"/>
        </w:rPr>
      </w:pPr>
    </w:p>
    <w:tbl>
      <w:tblPr>
        <w:tblW w:w="9296" w:type="dxa"/>
        <w:jc w:val="center"/>
        <w:tblLayout w:type="fixed"/>
        <w:tblLook w:val="04A0" w:firstRow="1" w:lastRow="0" w:firstColumn="1" w:lastColumn="0" w:noHBand="0" w:noVBand="1"/>
      </w:tblPr>
      <w:tblGrid>
        <w:gridCol w:w="4733"/>
        <w:gridCol w:w="4563"/>
      </w:tblGrid>
      <w:tr w:rsidR="004E754F" w:rsidRPr="00E35F4D" w:rsidTr="00182D3D">
        <w:trPr>
          <w:jc w:val="center"/>
        </w:trPr>
        <w:tc>
          <w:tcPr>
            <w:tcW w:w="4733" w:type="dxa"/>
            <w:shd w:val="clear" w:color="auto" w:fill="auto"/>
          </w:tcPr>
          <w:p w:rsidR="004E754F" w:rsidRPr="00E35F4D" w:rsidRDefault="002B2928" w:rsidP="00182D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3AE967B2" wp14:editId="273BE358">
                  <wp:extent cx="2623401" cy="2743200"/>
                  <wp:effectExtent l="0" t="0" r="0" b="0"/>
                  <wp:docPr id="3" name="Picture 5" descr="Description: D:\ابحاث الترقية الجديدة\3 Rectum\Local recurrence 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:\ابحاث الترقية الجديدة\3 Rectum\Local recurrence 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39" cy="2741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shd w:val="clear" w:color="auto" w:fill="auto"/>
          </w:tcPr>
          <w:p w:rsidR="004E754F" w:rsidRPr="00E35F4D" w:rsidRDefault="002B2928" w:rsidP="002B29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35F4D">
              <w:rPr>
                <w:noProof/>
                <w:color w:val="000000"/>
                <w:sz w:val="20"/>
                <w:szCs w:val="20"/>
                <w:lang w:bidi="ar-SA"/>
              </w:rPr>
              <w:drawing>
                <wp:inline distT="0" distB="0" distL="0" distR="0" wp14:anchorId="3F8D6BFA" wp14:editId="2F743AD3">
                  <wp:extent cx="2622422" cy="2743200"/>
                  <wp:effectExtent l="0" t="0" r="0" b="0"/>
                  <wp:docPr id="4" name="Picture 6" descr="Description: D:\ابحاث الترقية الجديدة\3 Rectum\Local recurrence F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:\ابحاث الترقية الجديدة\3 Rectum\Local recurrence F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783" cy="274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54F" w:rsidRPr="00E35F4D" w:rsidTr="00182D3D">
        <w:trPr>
          <w:jc w:val="center"/>
        </w:trPr>
        <w:tc>
          <w:tcPr>
            <w:tcW w:w="4733" w:type="dxa"/>
            <w:shd w:val="clear" w:color="auto" w:fill="auto"/>
          </w:tcPr>
          <w:p w:rsidR="004E754F" w:rsidRPr="00E35F4D" w:rsidRDefault="004E754F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>Figure (3):</w:t>
            </w:r>
            <w:r w:rsidRPr="00E35F4D">
              <w:rPr>
                <w:color w:val="000000"/>
                <w:sz w:val="20"/>
                <w:szCs w:val="20"/>
              </w:rPr>
              <w:t xml:space="preserve"> Local </w:t>
            </w:r>
            <w:r w:rsidR="00010559" w:rsidRPr="00E35F4D">
              <w:rPr>
                <w:color w:val="000000"/>
                <w:sz w:val="20"/>
                <w:szCs w:val="20"/>
              </w:rPr>
              <w:t>recurrence f</w:t>
            </w:r>
            <w:r w:rsidRPr="00E35F4D">
              <w:rPr>
                <w:color w:val="000000"/>
                <w:sz w:val="20"/>
                <w:szCs w:val="20"/>
              </w:rPr>
              <w:t xml:space="preserve">ree survival of </w:t>
            </w:r>
            <w:r w:rsidR="00010559" w:rsidRPr="00E35F4D">
              <w:rPr>
                <w:color w:val="000000"/>
                <w:sz w:val="20"/>
                <w:szCs w:val="20"/>
              </w:rPr>
              <w:t>all</w:t>
            </w:r>
            <w:r w:rsidRPr="00E35F4D">
              <w:rPr>
                <w:color w:val="000000"/>
                <w:sz w:val="20"/>
                <w:szCs w:val="20"/>
              </w:rPr>
              <w:t xml:space="preserve"> patients.</w:t>
            </w:r>
          </w:p>
        </w:tc>
        <w:tc>
          <w:tcPr>
            <w:tcW w:w="4563" w:type="dxa"/>
            <w:shd w:val="clear" w:color="auto" w:fill="auto"/>
          </w:tcPr>
          <w:p w:rsidR="004E754F" w:rsidRPr="00E35F4D" w:rsidRDefault="004E754F" w:rsidP="00182D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35F4D">
              <w:rPr>
                <w:b/>
                <w:bCs/>
                <w:color w:val="000000"/>
                <w:sz w:val="20"/>
                <w:szCs w:val="20"/>
              </w:rPr>
              <w:t xml:space="preserve">Figure (4): </w:t>
            </w:r>
            <w:r w:rsidRPr="00E35F4D">
              <w:rPr>
                <w:color w:val="000000"/>
                <w:sz w:val="20"/>
                <w:szCs w:val="20"/>
              </w:rPr>
              <w:t xml:space="preserve">Distant </w:t>
            </w:r>
            <w:r w:rsidR="00010559" w:rsidRPr="00E35F4D">
              <w:rPr>
                <w:color w:val="000000"/>
                <w:sz w:val="20"/>
                <w:szCs w:val="20"/>
              </w:rPr>
              <w:t>m</w:t>
            </w:r>
            <w:r w:rsidRPr="00E35F4D">
              <w:rPr>
                <w:color w:val="000000"/>
                <w:sz w:val="20"/>
                <w:szCs w:val="20"/>
              </w:rPr>
              <w:t xml:space="preserve">etastases </w:t>
            </w:r>
            <w:r w:rsidR="00010559" w:rsidRPr="00E35F4D">
              <w:rPr>
                <w:color w:val="000000"/>
                <w:sz w:val="20"/>
                <w:szCs w:val="20"/>
              </w:rPr>
              <w:t>f</w:t>
            </w:r>
            <w:r w:rsidRPr="00E35F4D">
              <w:rPr>
                <w:color w:val="000000"/>
                <w:sz w:val="20"/>
                <w:szCs w:val="20"/>
              </w:rPr>
              <w:t xml:space="preserve">ree </w:t>
            </w:r>
            <w:r w:rsidR="00010559" w:rsidRPr="00E35F4D">
              <w:rPr>
                <w:color w:val="000000"/>
                <w:sz w:val="20"/>
                <w:szCs w:val="20"/>
              </w:rPr>
              <w:t>s</w:t>
            </w:r>
            <w:r w:rsidRPr="00E35F4D">
              <w:rPr>
                <w:color w:val="000000"/>
                <w:sz w:val="20"/>
                <w:szCs w:val="20"/>
              </w:rPr>
              <w:t xml:space="preserve">urvival of </w:t>
            </w:r>
            <w:r w:rsidR="00010559" w:rsidRPr="00E35F4D">
              <w:rPr>
                <w:color w:val="000000"/>
                <w:sz w:val="20"/>
                <w:szCs w:val="20"/>
              </w:rPr>
              <w:t>all</w:t>
            </w:r>
            <w:r w:rsidRPr="00E35F4D">
              <w:rPr>
                <w:color w:val="000000"/>
                <w:sz w:val="20"/>
                <w:szCs w:val="20"/>
              </w:rPr>
              <w:t xml:space="preserve"> patients.</w:t>
            </w:r>
          </w:p>
        </w:tc>
      </w:tr>
    </w:tbl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</w:p>
    <w:p w:rsidR="002B2928" w:rsidRPr="00E35F4D" w:rsidRDefault="002B2928" w:rsidP="002B2928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  <w:sectPr w:rsidR="002B2928" w:rsidRPr="00E35F4D" w:rsidSect="00BC5AB1"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0E6496" w:rsidRPr="00E35F4D" w:rsidRDefault="00D6537E" w:rsidP="002B2928">
      <w:pPr>
        <w:snapToGrid w:val="0"/>
        <w:jc w:val="both"/>
        <w:rPr>
          <w:b/>
          <w:bCs/>
          <w:sz w:val="20"/>
          <w:szCs w:val="20"/>
        </w:rPr>
      </w:pPr>
      <w:r w:rsidRPr="00E35F4D">
        <w:rPr>
          <w:b/>
          <w:bCs/>
          <w:sz w:val="20"/>
          <w:szCs w:val="20"/>
          <w:lang w:bidi="ar-SA"/>
        </w:rPr>
        <w:lastRenderedPageBreak/>
        <w:t xml:space="preserve">4. </w:t>
      </w:r>
      <w:r w:rsidR="00282ACB" w:rsidRPr="00E35F4D">
        <w:rPr>
          <w:b/>
          <w:bCs/>
          <w:sz w:val="20"/>
          <w:szCs w:val="20"/>
          <w:lang w:bidi="ar-SA"/>
        </w:rPr>
        <w:t>Discussion</w:t>
      </w:r>
    </w:p>
    <w:p w:rsidR="006A74CB" w:rsidRPr="00287F1B" w:rsidRDefault="006A74CB" w:rsidP="009E489E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287F1B">
        <w:rPr>
          <w:sz w:val="20"/>
          <w:szCs w:val="20"/>
          <w:lang w:bidi="ar-SA"/>
        </w:rPr>
        <w:t xml:space="preserve">Preoperative chemoradiation followed by surgery are the main components of multimodality treatment for rectal cancer patients. Several randomized trials addressed </w:t>
      </w:r>
      <w:r w:rsidR="001407D0" w:rsidRPr="00287F1B">
        <w:rPr>
          <w:sz w:val="20"/>
          <w:szCs w:val="20"/>
          <w:lang w:bidi="ar-SA"/>
        </w:rPr>
        <w:t>these multimodality approaches</w:t>
      </w:r>
      <w:r w:rsidRPr="00287F1B">
        <w:rPr>
          <w:sz w:val="20"/>
          <w:szCs w:val="20"/>
          <w:lang w:bidi="ar-SA"/>
        </w:rPr>
        <w:t xml:space="preserve"> to search for the optimal sequence of treatment </w:t>
      </w:r>
      <w:r w:rsidRPr="00287F1B">
        <w:rPr>
          <w:b/>
          <w:bCs/>
          <w:sz w:val="20"/>
          <w:szCs w:val="20"/>
          <w:lang w:bidi="ar-SA"/>
        </w:rPr>
        <w:t>[3, 4,</w:t>
      </w:r>
      <w:r w:rsidRPr="00287F1B">
        <w:rPr>
          <w:rFonts w:eastAsia="OfficinaSansLT-Book"/>
          <w:b/>
          <w:bCs/>
          <w:sz w:val="20"/>
          <w:szCs w:val="20"/>
          <w:lang w:bidi="ar-SA"/>
        </w:rPr>
        <w:t xml:space="preserve"> </w:t>
      </w:r>
      <w:proofErr w:type="gramStart"/>
      <w:r w:rsidRPr="00287F1B">
        <w:rPr>
          <w:rFonts w:eastAsia="OfficinaSansLT-Book"/>
          <w:b/>
          <w:bCs/>
          <w:sz w:val="20"/>
          <w:szCs w:val="20"/>
          <w:lang w:bidi="ar-SA"/>
        </w:rPr>
        <w:t>17</w:t>
      </w:r>
      <w:proofErr w:type="gramEnd"/>
      <w:r w:rsidRPr="00287F1B">
        <w:rPr>
          <w:b/>
          <w:bCs/>
          <w:sz w:val="20"/>
          <w:szCs w:val="20"/>
          <w:lang w:bidi="ar-SA"/>
        </w:rPr>
        <w:t>]</w:t>
      </w:r>
      <w:r w:rsidRPr="00287F1B">
        <w:rPr>
          <w:sz w:val="20"/>
          <w:szCs w:val="20"/>
          <w:lang w:bidi="ar-SA"/>
        </w:rPr>
        <w:t xml:space="preserve">. </w:t>
      </w:r>
      <w:r w:rsidR="009E489E">
        <w:rPr>
          <w:sz w:val="20"/>
          <w:szCs w:val="20"/>
          <w:lang w:bidi="ar-SA"/>
        </w:rPr>
        <w:t xml:space="preserve">In rectal cancer the distant failure is the commonest </w:t>
      </w:r>
      <w:r w:rsidRPr="00287F1B">
        <w:rPr>
          <w:sz w:val="20"/>
          <w:szCs w:val="20"/>
          <w:lang w:bidi="ar-SA"/>
        </w:rPr>
        <w:t xml:space="preserve">mode of treatment failure </w:t>
      </w:r>
      <w:r w:rsidRPr="00287F1B">
        <w:rPr>
          <w:b/>
          <w:bCs/>
          <w:sz w:val="20"/>
          <w:szCs w:val="20"/>
          <w:lang w:bidi="ar-SA"/>
        </w:rPr>
        <w:t>[2]</w:t>
      </w:r>
      <w:r w:rsidRPr="00287F1B">
        <w:rPr>
          <w:sz w:val="20"/>
          <w:szCs w:val="20"/>
          <w:lang w:bidi="ar-SA"/>
        </w:rPr>
        <w:t xml:space="preserve">. So, using more effective systemic CT into multimodality treatment protocols in rectal cancer patients is a matter of debate because preoperative CRT alone can results in good local control rates </w:t>
      </w:r>
      <w:r w:rsidRPr="00287F1B">
        <w:rPr>
          <w:b/>
          <w:bCs/>
          <w:sz w:val="20"/>
          <w:szCs w:val="20"/>
        </w:rPr>
        <w:t>[</w:t>
      </w:r>
      <w:r w:rsidRPr="00287F1B">
        <w:rPr>
          <w:b/>
          <w:bCs/>
          <w:sz w:val="20"/>
          <w:szCs w:val="20"/>
          <w:lang w:bidi="ar-SA"/>
        </w:rPr>
        <w:t>10, 18]</w:t>
      </w:r>
      <w:r w:rsidRPr="00287F1B">
        <w:rPr>
          <w:sz w:val="20"/>
          <w:szCs w:val="20"/>
          <w:lang w:bidi="ar-SA"/>
        </w:rPr>
        <w:t>.</w:t>
      </w:r>
    </w:p>
    <w:p w:rsidR="000C7381" w:rsidRPr="00287F1B" w:rsidRDefault="00515BD3" w:rsidP="001407D0">
      <w:pPr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  <w:r w:rsidRPr="00287F1B">
        <w:rPr>
          <w:sz w:val="20"/>
          <w:szCs w:val="20"/>
          <w:lang w:bidi="ar-SA"/>
        </w:rPr>
        <w:t>In the present study</w:t>
      </w:r>
      <w:r w:rsidR="00D4029F" w:rsidRPr="00287F1B">
        <w:rPr>
          <w:sz w:val="20"/>
          <w:szCs w:val="20"/>
          <w:lang w:bidi="ar-SA"/>
        </w:rPr>
        <w:t xml:space="preserve"> out of the 31 patients treated with surgery, 29 (93.5%) patients had a radical R0 resection</w:t>
      </w:r>
      <w:r w:rsidR="002B7363" w:rsidRPr="00287F1B">
        <w:rPr>
          <w:sz w:val="20"/>
          <w:szCs w:val="20"/>
          <w:lang w:bidi="ar-SA"/>
        </w:rPr>
        <w:t xml:space="preserve"> and this</w:t>
      </w:r>
      <w:r w:rsidR="00BB61C3" w:rsidRPr="00287F1B">
        <w:rPr>
          <w:sz w:val="20"/>
          <w:szCs w:val="20"/>
          <w:lang w:bidi="ar-SA"/>
        </w:rPr>
        <w:t xml:space="preserve"> result</w:t>
      </w:r>
      <w:r w:rsidR="0027779D" w:rsidRPr="00287F1B">
        <w:rPr>
          <w:sz w:val="20"/>
          <w:szCs w:val="20"/>
          <w:lang w:bidi="ar-SA"/>
        </w:rPr>
        <w:t xml:space="preserve"> was </w:t>
      </w:r>
      <w:r w:rsidR="00070043" w:rsidRPr="00287F1B">
        <w:rPr>
          <w:sz w:val="20"/>
          <w:szCs w:val="20"/>
          <w:lang w:bidi="ar-SA"/>
        </w:rPr>
        <w:t>nearly</w:t>
      </w:r>
      <w:r w:rsidR="0027779D" w:rsidRPr="00287F1B">
        <w:rPr>
          <w:sz w:val="20"/>
          <w:szCs w:val="20"/>
          <w:lang w:bidi="ar-SA"/>
        </w:rPr>
        <w:t xml:space="preserve"> similar to that reported by </w:t>
      </w:r>
      <w:proofErr w:type="spellStart"/>
      <w:r w:rsidR="0027779D" w:rsidRPr="00287F1B">
        <w:rPr>
          <w:sz w:val="20"/>
          <w:szCs w:val="20"/>
          <w:lang w:bidi="ar-SA"/>
        </w:rPr>
        <w:t>Schou</w:t>
      </w:r>
      <w:proofErr w:type="spellEnd"/>
      <w:r w:rsidR="0027779D" w:rsidRPr="00287F1B">
        <w:rPr>
          <w:sz w:val="20"/>
          <w:szCs w:val="20"/>
        </w:rPr>
        <w:t xml:space="preserve"> et al</w:t>
      </w:r>
      <w:r w:rsidR="0021171C" w:rsidRPr="00287F1B">
        <w:rPr>
          <w:sz w:val="20"/>
          <w:szCs w:val="20"/>
        </w:rPr>
        <w:t>.</w:t>
      </w:r>
      <w:r w:rsidR="0027779D" w:rsidRPr="00287F1B">
        <w:rPr>
          <w:sz w:val="20"/>
          <w:szCs w:val="20"/>
        </w:rPr>
        <w:t xml:space="preserve"> </w:t>
      </w:r>
      <w:r w:rsidR="001407D0" w:rsidRPr="00287F1B">
        <w:rPr>
          <w:b/>
          <w:bCs/>
          <w:sz w:val="20"/>
          <w:szCs w:val="20"/>
          <w:lang w:bidi="ar-SA"/>
        </w:rPr>
        <w:t>[19]</w:t>
      </w:r>
      <w:r w:rsidR="001407D0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27779D" w:rsidRPr="00287F1B">
        <w:rPr>
          <w:rFonts w:eastAsia="OfficinaSansLT-Book"/>
          <w:sz w:val="20"/>
          <w:szCs w:val="20"/>
          <w:lang w:bidi="ar-SA"/>
        </w:rPr>
        <w:t>(94%</w:t>
      </w:r>
      <w:r w:rsidR="0027779D" w:rsidRPr="00287F1B">
        <w:rPr>
          <w:sz w:val="20"/>
          <w:szCs w:val="20"/>
          <w:lang w:bidi="ar-SA"/>
        </w:rPr>
        <w:t>)</w:t>
      </w:r>
      <w:r w:rsidR="00BA23B2" w:rsidRPr="00287F1B">
        <w:rPr>
          <w:b/>
          <w:bCs/>
          <w:sz w:val="20"/>
          <w:szCs w:val="20"/>
          <w:lang w:bidi="ar-SA"/>
        </w:rPr>
        <w:t>.</w:t>
      </w:r>
      <w:r w:rsidR="00BA23B2" w:rsidRPr="00287F1B">
        <w:rPr>
          <w:sz w:val="20"/>
          <w:szCs w:val="20"/>
          <w:lang w:bidi="ar-SA"/>
        </w:rPr>
        <w:t xml:space="preserve"> It</w:t>
      </w:r>
      <w:r w:rsidR="0027779D" w:rsidRPr="00287F1B">
        <w:rPr>
          <w:sz w:val="20"/>
          <w:szCs w:val="20"/>
          <w:lang w:bidi="ar-SA"/>
        </w:rPr>
        <w:t xml:space="preserve"> </w:t>
      </w:r>
      <w:r w:rsidR="002B7363" w:rsidRPr="00287F1B">
        <w:rPr>
          <w:sz w:val="20"/>
          <w:szCs w:val="20"/>
          <w:lang w:bidi="ar-SA"/>
        </w:rPr>
        <w:t xml:space="preserve">was </w:t>
      </w:r>
      <w:r w:rsidR="00070043" w:rsidRPr="00287F1B">
        <w:rPr>
          <w:sz w:val="20"/>
          <w:szCs w:val="20"/>
          <w:lang w:bidi="ar-SA"/>
        </w:rPr>
        <w:t xml:space="preserve">slightly </w:t>
      </w:r>
      <w:r w:rsidR="002B7363" w:rsidRPr="00287F1B">
        <w:rPr>
          <w:sz w:val="20"/>
          <w:szCs w:val="20"/>
          <w:lang w:bidi="ar-SA"/>
        </w:rPr>
        <w:t xml:space="preserve">lower than reported by </w:t>
      </w:r>
      <w:proofErr w:type="spellStart"/>
      <w:r w:rsidR="002B7363" w:rsidRPr="00287F1B">
        <w:rPr>
          <w:sz w:val="20"/>
          <w:szCs w:val="20"/>
          <w:lang w:bidi="ar-SA"/>
        </w:rPr>
        <w:t>Koeberle</w:t>
      </w:r>
      <w:proofErr w:type="spellEnd"/>
      <w:r w:rsidR="002B7363" w:rsidRPr="00287F1B">
        <w:rPr>
          <w:sz w:val="20"/>
          <w:szCs w:val="20"/>
        </w:rPr>
        <w:t xml:space="preserve"> et al</w:t>
      </w:r>
      <w:r w:rsidR="0021171C" w:rsidRPr="00287F1B">
        <w:rPr>
          <w:sz w:val="20"/>
          <w:szCs w:val="20"/>
        </w:rPr>
        <w:t>.</w:t>
      </w:r>
      <w:r w:rsidR="002B7363" w:rsidRPr="00287F1B">
        <w:rPr>
          <w:b/>
          <w:bCs/>
          <w:sz w:val="20"/>
          <w:szCs w:val="20"/>
        </w:rPr>
        <w:t xml:space="preserve"> </w:t>
      </w:r>
      <w:r w:rsidR="000A75E8" w:rsidRPr="00287F1B">
        <w:rPr>
          <w:b/>
          <w:bCs/>
          <w:sz w:val="20"/>
          <w:szCs w:val="20"/>
          <w:lang w:bidi="ar-SA"/>
        </w:rPr>
        <w:t>[</w:t>
      </w:r>
      <w:r w:rsidR="006051DE" w:rsidRPr="00287F1B">
        <w:rPr>
          <w:b/>
          <w:bCs/>
          <w:sz w:val="20"/>
          <w:szCs w:val="20"/>
          <w:lang w:bidi="ar-SA"/>
        </w:rPr>
        <w:t>20</w:t>
      </w:r>
      <w:r w:rsidR="000A75E8" w:rsidRPr="00287F1B">
        <w:rPr>
          <w:b/>
          <w:bCs/>
          <w:sz w:val="20"/>
          <w:szCs w:val="20"/>
          <w:lang w:bidi="ar-SA"/>
        </w:rPr>
        <w:t>]</w:t>
      </w:r>
      <w:r w:rsidR="002B7363" w:rsidRPr="00287F1B">
        <w:rPr>
          <w:sz w:val="20"/>
          <w:szCs w:val="20"/>
          <w:lang w:bidi="ar-SA"/>
        </w:rPr>
        <w:t xml:space="preserve"> who </w:t>
      </w:r>
      <w:r w:rsidR="00070043" w:rsidRPr="00287F1B">
        <w:rPr>
          <w:sz w:val="20"/>
          <w:szCs w:val="20"/>
          <w:lang w:bidi="ar-SA"/>
        </w:rPr>
        <w:t>reported that</w:t>
      </w:r>
      <w:r w:rsidR="006051DE" w:rsidRPr="00287F1B">
        <w:rPr>
          <w:sz w:val="20"/>
          <w:szCs w:val="20"/>
          <w:lang w:bidi="ar-SA"/>
        </w:rPr>
        <w:t>,</w:t>
      </w:r>
      <w:r w:rsidR="002B7363" w:rsidRPr="00287F1B">
        <w:rPr>
          <w:sz w:val="20"/>
          <w:szCs w:val="20"/>
          <w:lang w:bidi="ar-SA"/>
        </w:rPr>
        <w:t xml:space="preserve"> 98% of the patients who underwent surgery</w:t>
      </w:r>
      <w:r w:rsidR="00070043" w:rsidRPr="00287F1B">
        <w:rPr>
          <w:sz w:val="20"/>
          <w:szCs w:val="20"/>
          <w:lang w:bidi="ar-SA"/>
        </w:rPr>
        <w:t xml:space="preserve"> had achiev</w:t>
      </w:r>
      <w:r w:rsidR="00652B96" w:rsidRPr="00287F1B">
        <w:rPr>
          <w:sz w:val="20"/>
          <w:szCs w:val="20"/>
          <w:lang w:bidi="ar-SA"/>
        </w:rPr>
        <w:t>e</w:t>
      </w:r>
      <w:r w:rsidR="00070043" w:rsidRPr="00287F1B">
        <w:rPr>
          <w:sz w:val="20"/>
          <w:szCs w:val="20"/>
          <w:lang w:bidi="ar-SA"/>
        </w:rPr>
        <w:t>d R0 resection</w:t>
      </w:r>
      <w:r w:rsidR="002B7363" w:rsidRPr="00287F1B">
        <w:rPr>
          <w:sz w:val="20"/>
          <w:szCs w:val="20"/>
          <w:lang w:bidi="ar-SA"/>
        </w:rPr>
        <w:t xml:space="preserve">. On the other hand, our result </w:t>
      </w:r>
      <w:r w:rsidR="0027779D" w:rsidRPr="00287F1B">
        <w:rPr>
          <w:sz w:val="20"/>
          <w:szCs w:val="20"/>
          <w:lang w:bidi="ar-SA"/>
        </w:rPr>
        <w:t>was</w:t>
      </w:r>
      <w:r w:rsidR="002B7363" w:rsidRPr="00287F1B">
        <w:rPr>
          <w:sz w:val="20"/>
          <w:szCs w:val="20"/>
          <w:lang w:bidi="ar-SA"/>
        </w:rPr>
        <w:t xml:space="preserve"> higher than findings reported by </w:t>
      </w:r>
      <w:r w:rsidR="00112516" w:rsidRPr="00287F1B">
        <w:rPr>
          <w:rFonts w:eastAsia="OfficinaSansLT-Book"/>
          <w:sz w:val="20"/>
          <w:szCs w:val="20"/>
          <w:lang w:bidi="ar-SA"/>
        </w:rPr>
        <w:t>Fernandez-</w:t>
      </w:r>
      <w:proofErr w:type="spellStart"/>
      <w:r w:rsidR="00112516" w:rsidRPr="00287F1B">
        <w:rPr>
          <w:rFonts w:eastAsia="OfficinaSansLT-Book"/>
          <w:sz w:val="20"/>
          <w:szCs w:val="20"/>
          <w:lang w:bidi="ar-SA"/>
        </w:rPr>
        <w:t>Martos</w:t>
      </w:r>
      <w:proofErr w:type="spellEnd"/>
      <w:r w:rsidR="00112516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1B71EF" w:rsidRPr="00287F1B">
        <w:rPr>
          <w:sz w:val="20"/>
          <w:szCs w:val="20"/>
        </w:rPr>
        <w:t>et al</w:t>
      </w:r>
      <w:r w:rsidR="0021171C" w:rsidRPr="00287F1B">
        <w:rPr>
          <w:sz w:val="20"/>
          <w:szCs w:val="20"/>
        </w:rPr>
        <w:t>.</w:t>
      </w:r>
      <w:r w:rsidR="001B71EF" w:rsidRPr="00287F1B">
        <w:rPr>
          <w:sz w:val="20"/>
          <w:szCs w:val="20"/>
        </w:rPr>
        <w:t xml:space="preserve"> </w:t>
      </w:r>
      <w:r w:rsidR="001407D0" w:rsidRPr="00287F1B">
        <w:rPr>
          <w:b/>
          <w:bCs/>
          <w:sz w:val="20"/>
          <w:szCs w:val="20"/>
          <w:lang w:bidi="ar-SA"/>
        </w:rPr>
        <w:t>[21]</w:t>
      </w:r>
      <w:r w:rsidR="001407D0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112516" w:rsidRPr="00287F1B">
        <w:rPr>
          <w:rFonts w:eastAsia="OfficinaSansLT-Book"/>
          <w:sz w:val="20"/>
          <w:szCs w:val="20"/>
          <w:lang w:bidi="ar-SA"/>
        </w:rPr>
        <w:t>(86%</w:t>
      </w:r>
      <w:r w:rsidR="00112516" w:rsidRPr="00287F1B">
        <w:rPr>
          <w:sz w:val="20"/>
          <w:szCs w:val="20"/>
          <w:lang w:bidi="ar-SA"/>
        </w:rPr>
        <w:t>)</w:t>
      </w:r>
      <w:r w:rsidR="00112516" w:rsidRPr="00287F1B">
        <w:rPr>
          <w:b/>
          <w:bCs/>
          <w:sz w:val="20"/>
          <w:szCs w:val="20"/>
          <w:lang w:bidi="ar-SA"/>
        </w:rPr>
        <w:t>.</w:t>
      </w:r>
    </w:p>
    <w:p w:rsidR="00797C47" w:rsidRPr="00287F1B" w:rsidRDefault="00A11836" w:rsidP="00D71D35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87F1B">
        <w:rPr>
          <w:sz w:val="20"/>
          <w:szCs w:val="20"/>
          <w:lang w:bidi="ar-SA"/>
        </w:rPr>
        <w:t>S</w:t>
      </w:r>
      <w:r w:rsidR="006513B7" w:rsidRPr="00287F1B">
        <w:rPr>
          <w:sz w:val="20"/>
          <w:szCs w:val="20"/>
          <w:lang w:bidi="ar-SA"/>
        </w:rPr>
        <w:t xml:space="preserve">phincter preservation </w:t>
      </w:r>
      <w:r w:rsidR="001B71EF" w:rsidRPr="00287F1B">
        <w:rPr>
          <w:sz w:val="20"/>
          <w:szCs w:val="20"/>
          <w:lang w:bidi="ar-SA"/>
        </w:rPr>
        <w:t>had</w:t>
      </w:r>
      <w:r w:rsidR="006513B7" w:rsidRPr="00287F1B">
        <w:rPr>
          <w:sz w:val="20"/>
          <w:szCs w:val="20"/>
          <w:lang w:bidi="ar-SA"/>
        </w:rPr>
        <w:t xml:space="preserve"> achieved in 64</w:t>
      </w:r>
      <w:r w:rsidR="00CD2D20" w:rsidRPr="00287F1B">
        <w:rPr>
          <w:sz w:val="20"/>
          <w:szCs w:val="20"/>
          <w:lang w:bidi="ar-SA"/>
        </w:rPr>
        <w:t>.5</w:t>
      </w:r>
      <w:r w:rsidR="006513B7" w:rsidRPr="00287F1B">
        <w:rPr>
          <w:sz w:val="20"/>
          <w:szCs w:val="20"/>
          <w:lang w:bidi="ar-SA"/>
        </w:rPr>
        <w:t xml:space="preserve">% of </w:t>
      </w:r>
      <w:r w:rsidRPr="00287F1B">
        <w:rPr>
          <w:sz w:val="20"/>
          <w:szCs w:val="20"/>
          <w:lang w:bidi="ar-SA"/>
        </w:rPr>
        <w:t xml:space="preserve">our </w:t>
      </w:r>
      <w:r w:rsidR="006513B7" w:rsidRPr="00287F1B">
        <w:rPr>
          <w:sz w:val="20"/>
          <w:szCs w:val="20"/>
          <w:lang w:bidi="ar-SA"/>
        </w:rPr>
        <w:t>patients.</w:t>
      </w:r>
      <w:r w:rsidR="002B2928" w:rsidRPr="00287F1B">
        <w:rPr>
          <w:sz w:val="20"/>
          <w:szCs w:val="20"/>
          <w:lang w:bidi="ar-SA"/>
        </w:rPr>
        <w:t xml:space="preserve"> </w:t>
      </w:r>
      <w:r w:rsidR="00CA1C5E" w:rsidRPr="00287F1B">
        <w:rPr>
          <w:sz w:val="20"/>
          <w:szCs w:val="20"/>
          <w:lang w:bidi="ar-SA"/>
        </w:rPr>
        <w:t>In</w:t>
      </w:r>
      <w:r w:rsidR="00720607" w:rsidRPr="00287F1B">
        <w:rPr>
          <w:b/>
          <w:bCs/>
          <w:sz w:val="20"/>
          <w:szCs w:val="20"/>
          <w:lang w:bidi="ar-SA"/>
        </w:rPr>
        <w:t xml:space="preserve"> </w:t>
      </w:r>
      <w:proofErr w:type="spellStart"/>
      <w:r w:rsidR="00720607" w:rsidRPr="00287F1B">
        <w:rPr>
          <w:sz w:val="20"/>
          <w:szCs w:val="20"/>
          <w:lang w:bidi="ar-SA"/>
        </w:rPr>
        <w:t>Koeberle</w:t>
      </w:r>
      <w:proofErr w:type="spellEnd"/>
      <w:r w:rsidR="00C07021" w:rsidRPr="00287F1B">
        <w:rPr>
          <w:sz w:val="20"/>
          <w:szCs w:val="20"/>
        </w:rPr>
        <w:t xml:space="preserve"> et </w:t>
      </w:r>
      <w:r w:rsidR="00774626" w:rsidRPr="00287F1B">
        <w:rPr>
          <w:sz w:val="20"/>
          <w:szCs w:val="20"/>
        </w:rPr>
        <w:t>al</w:t>
      </w:r>
      <w:r w:rsidR="0021171C" w:rsidRPr="00287F1B">
        <w:rPr>
          <w:sz w:val="20"/>
          <w:szCs w:val="20"/>
        </w:rPr>
        <w:t>.</w:t>
      </w:r>
      <w:r w:rsidR="0021171C" w:rsidRPr="00287F1B">
        <w:rPr>
          <w:sz w:val="20"/>
          <w:szCs w:val="20"/>
          <w:lang w:bidi="ar-SA"/>
        </w:rPr>
        <w:t xml:space="preserve"> </w:t>
      </w:r>
      <w:r w:rsidR="0021171C" w:rsidRPr="00287F1B">
        <w:rPr>
          <w:b/>
          <w:bCs/>
          <w:sz w:val="20"/>
          <w:szCs w:val="20"/>
          <w:lang w:bidi="ar-SA"/>
        </w:rPr>
        <w:t>[20]</w:t>
      </w:r>
      <w:r w:rsidR="00774626" w:rsidRPr="00287F1B">
        <w:rPr>
          <w:b/>
          <w:bCs/>
          <w:sz w:val="20"/>
          <w:szCs w:val="20"/>
        </w:rPr>
        <w:t xml:space="preserve"> </w:t>
      </w:r>
      <w:r w:rsidR="00774626" w:rsidRPr="00287F1B">
        <w:rPr>
          <w:sz w:val="20"/>
          <w:szCs w:val="20"/>
          <w:lang w:bidi="ar-SA"/>
        </w:rPr>
        <w:t>study</w:t>
      </w:r>
      <w:r w:rsidRPr="00287F1B">
        <w:rPr>
          <w:sz w:val="20"/>
          <w:szCs w:val="20"/>
          <w:lang w:bidi="ar-SA"/>
        </w:rPr>
        <w:t>,</w:t>
      </w:r>
      <w:r w:rsidR="00774626" w:rsidRPr="00287F1B">
        <w:rPr>
          <w:sz w:val="20"/>
          <w:szCs w:val="20"/>
          <w:lang w:bidi="ar-SA"/>
        </w:rPr>
        <w:t xml:space="preserve"> </w:t>
      </w:r>
      <w:r w:rsidR="009B74C4" w:rsidRPr="00287F1B">
        <w:rPr>
          <w:sz w:val="20"/>
          <w:szCs w:val="20"/>
          <w:lang w:bidi="ar-SA"/>
        </w:rPr>
        <w:t xml:space="preserve">sphincter </w:t>
      </w:r>
      <w:r w:rsidR="00CA1C5E" w:rsidRPr="00287F1B">
        <w:rPr>
          <w:sz w:val="20"/>
          <w:szCs w:val="20"/>
          <w:lang w:bidi="ar-SA"/>
        </w:rPr>
        <w:t xml:space="preserve">preservation </w:t>
      </w:r>
      <w:r w:rsidR="001B71EF" w:rsidRPr="00287F1B">
        <w:rPr>
          <w:sz w:val="20"/>
          <w:szCs w:val="20"/>
          <w:lang w:bidi="ar-SA"/>
        </w:rPr>
        <w:t>had</w:t>
      </w:r>
      <w:r w:rsidR="00CA1C5E" w:rsidRPr="00287F1B">
        <w:rPr>
          <w:sz w:val="20"/>
          <w:szCs w:val="20"/>
          <w:lang w:bidi="ar-SA"/>
        </w:rPr>
        <w:t xml:space="preserve"> achieved in 84% of patients. </w:t>
      </w:r>
      <w:r w:rsidR="00236BCA" w:rsidRPr="00287F1B">
        <w:rPr>
          <w:sz w:val="20"/>
          <w:szCs w:val="20"/>
          <w:lang w:bidi="ar-SA"/>
        </w:rPr>
        <w:t>This may</w:t>
      </w:r>
      <w:r w:rsidRPr="00287F1B">
        <w:rPr>
          <w:sz w:val="20"/>
          <w:szCs w:val="20"/>
          <w:lang w:bidi="ar-SA"/>
        </w:rPr>
        <w:t xml:space="preserve"> be</w:t>
      </w:r>
      <w:r w:rsidR="00236BCA" w:rsidRPr="00287F1B">
        <w:rPr>
          <w:sz w:val="20"/>
          <w:szCs w:val="20"/>
          <w:lang w:bidi="ar-SA"/>
        </w:rPr>
        <w:t xml:space="preserve"> explained by</w:t>
      </w:r>
      <w:r w:rsidR="00A07692" w:rsidRPr="00287F1B">
        <w:rPr>
          <w:sz w:val="20"/>
          <w:szCs w:val="20"/>
          <w:lang w:bidi="ar-SA"/>
        </w:rPr>
        <w:t xml:space="preserve"> </w:t>
      </w:r>
      <w:r w:rsidR="009E489E">
        <w:rPr>
          <w:sz w:val="20"/>
          <w:szCs w:val="20"/>
          <w:lang w:bidi="ar-SA"/>
        </w:rPr>
        <w:t xml:space="preserve">the tumor of the majority </w:t>
      </w:r>
      <w:r w:rsidR="00D71D35">
        <w:rPr>
          <w:sz w:val="20"/>
          <w:szCs w:val="20"/>
          <w:lang w:bidi="ar-SA"/>
        </w:rPr>
        <w:lastRenderedPageBreak/>
        <w:t xml:space="preserve">(61.3%) </w:t>
      </w:r>
      <w:r w:rsidR="009E489E">
        <w:rPr>
          <w:sz w:val="20"/>
          <w:szCs w:val="20"/>
          <w:lang w:bidi="ar-SA"/>
        </w:rPr>
        <w:t xml:space="preserve">of the studied patients were at </w:t>
      </w:r>
      <w:r w:rsidR="00112516" w:rsidRPr="00287F1B">
        <w:rPr>
          <w:sz w:val="20"/>
          <w:szCs w:val="20"/>
          <w:lang w:bidi="ar-SA"/>
        </w:rPr>
        <w:t>≤</w:t>
      </w:r>
      <w:r w:rsidR="00BE1915" w:rsidRPr="00287F1B">
        <w:rPr>
          <w:sz w:val="20"/>
          <w:szCs w:val="20"/>
          <w:lang w:bidi="ar-SA"/>
        </w:rPr>
        <w:t xml:space="preserve">5 </w:t>
      </w:r>
      <w:r w:rsidR="00236BCA" w:rsidRPr="00287F1B">
        <w:rPr>
          <w:sz w:val="20"/>
          <w:szCs w:val="20"/>
          <w:lang w:bidi="ar-SA"/>
        </w:rPr>
        <w:t>cm from anal verge</w:t>
      </w:r>
      <w:r w:rsidR="00A07692" w:rsidRPr="00287F1B">
        <w:rPr>
          <w:sz w:val="20"/>
          <w:szCs w:val="20"/>
          <w:lang w:bidi="ar-SA"/>
        </w:rPr>
        <w:t xml:space="preserve"> versus </w:t>
      </w:r>
      <w:r w:rsidR="00E751C8" w:rsidRPr="00287F1B">
        <w:rPr>
          <w:sz w:val="20"/>
          <w:szCs w:val="20"/>
          <w:lang w:bidi="ar-SA"/>
        </w:rPr>
        <w:t xml:space="preserve">37% in </w:t>
      </w:r>
      <w:proofErr w:type="spellStart"/>
      <w:r w:rsidR="0046227A" w:rsidRPr="00287F1B">
        <w:rPr>
          <w:sz w:val="20"/>
          <w:szCs w:val="20"/>
          <w:lang w:bidi="ar-SA"/>
        </w:rPr>
        <w:t>Koeberle</w:t>
      </w:r>
      <w:proofErr w:type="spellEnd"/>
      <w:r w:rsidR="0046227A" w:rsidRPr="00287F1B">
        <w:rPr>
          <w:sz w:val="20"/>
          <w:szCs w:val="20"/>
        </w:rPr>
        <w:t xml:space="preserve"> et al</w:t>
      </w:r>
      <w:r w:rsidR="0021171C" w:rsidRPr="00287F1B">
        <w:rPr>
          <w:sz w:val="20"/>
          <w:szCs w:val="20"/>
        </w:rPr>
        <w:t>.</w:t>
      </w:r>
      <w:r w:rsidR="0046227A" w:rsidRPr="00287F1B">
        <w:rPr>
          <w:b/>
          <w:bCs/>
          <w:sz w:val="20"/>
          <w:szCs w:val="20"/>
        </w:rPr>
        <w:t xml:space="preserve"> </w:t>
      </w:r>
      <w:r w:rsidR="0046227A" w:rsidRPr="00287F1B">
        <w:rPr>
          <w:b/>
          <w:bCs/>
          <w:sz w:val="20"/>
          <w:szCs w:val="20"/>
          <w:lang w:bidi="ar-SA"/>
        </w:rPr>
        <w:t>[20]</w:t>
      </w:r>
      <w:r w:rsidR="009B74C4" w:rsidRPr="00287F1B">
        <w:rPr>
          <w:sz w:val="20"/>
          <w:szCs w:val="20"/>
          <w:lang w:bidi="ar-SA"/>
        </w:rPr>
        <w:t xml:space="preserve"> study</w:t>
      </w:r>
      <w:r w:rsidR="00CA1C5E" w:rsidRPr="00287F1B">
        <w:rPr>
          <w:sz w:val="20"/>
          <w:szCs w:val="20"/>
          <w:lang w:bidi="ar-SA"/>
        </w:rPr>
        <w:t>.</w:t>
      </w:r>
    </w:p>
    <w:p w:rsidR="00447C41" w:rsidRPr="00287F1B" w:rsidRDefault="001B71EF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87F1B">
        <w:rPr>
          <w:sz w:val="20"/>
          <w:szCs w:val="20"/>
          <w:lang w:bidi="ar-SA"/>
        </w:rPr>
        <w:t xml:space="preserve">In </w:t>
      </w:r>
      <w:r w:rsidR="00E41576" w:rsidRPr="00287F1B">
        <w:rPr>
          <w:sz w:val="20"/>
          <w:szCs w:val="20"/>
          <w:lang w:bidi="ar-SA"/>
        </w:rPr>
        <w:t>this</w:t>
      </w:r>
      <w:r w:rsidRPr="00287F1B">
        <w:rPr>
          <w:sz w:val="20"/>
          <w:szCs w:val="20"/>
          <w:lang w:bidi="ar-SA"/>
        </w:rPr>
        <w:t xml:space="preserve"> study</w:t>
      </w:r>
      <w:r w:rsidR="00652B96" w:rsidRPr="00287F1B">
        <w:rPr>
          <w:sz w:val="20"/>
          <w:szCs w:val="20"/>
          <w:lang w:bidi="ar-SA"/>
        </w:rPr>
        <w:t>, the</w:t>
      </w:r>
      <w:r w:rsidRPr="00287F1B">
        <w:rPr>
          <w:sz w:val="20"/>
          <w:szCs w:val="20"/>
        </w:rPr>
        <w:t xml:space="preserve"> </w:t>
      </w:r>
      <w:r w:rsidRPr="00287F1B">
        <w:rPr>
          <w:sz w:val="20"/>
          <w:szCs w:val="20"/>
          <w:lang w:bidi="ar-SA"/>
        </w:rPr>
        <w:t>o</w:t>
      </w:r>
      <w:r w:rsidRPr="00287F1B">
        <w:rPr>
          <w:rFonts w:eastAsia="OfficinaSansLT-Book"/>
          <w:sz w:val="20"/>
          <w:szCs w:val="20"/>
          <w:lang w:bidi="ar-SA"/>
        </w:rPr>
        <w:t>bjective response</w:t>
      </w:r>
      <w:r w:rsidR="00E41576" w:rsidRPr="00287F1B">
        <w:rPr>
          <w:sz w:val="20"/>
          <w:szCs w:val="20"/>
          <w:lang w:bidi="ar-SA"/>
        </w:rPr>
        <w:t xml:space="preserve"> rate</w:t>
      </w:r>
      <w:r w:rsidRPr="00287F1B">
        <w:rPr>
          <w:sz w:val="20"/>
          <w:szCs w:val="20"/>
          <w:lang w:bidi="ar-SA"/>
        </w:rPr>
        <w:t xml:space="preserve"> </w:t>
      </w:r>
      <w:r w:rsidR="00652B96" w:rsidRPr="00287F1B">
        <w:rPr>
          <w:sz w:val="20"/>
          <w:szCs w:val="20"/>
          <w:lang w:bidi="ar-SA"/>
        </w:rPr>
        <w:t>had</w:t>
      </w:r>
      <w:r w:rsidRPr="00287F1B">
        <w:rPr>
          <w:sz w:val="20"/>
          <w:szCs w:val="20"/>
          <w:lang w:bidi="ar-SA"/>
        </w:rPr>
        <w:t xml:space="preserve"> achieved</w:t>
      </w:r>
      <w:r w:rsidRPr="00287F1B">
        <w:rPr>
          <w:sz w:val="20"/>
          <w:szCs w:val="20"/>
        </w:rPr>
        <w:t xml:space="preserve"> in 54.8% of all patients </w:t>
      </w:r>
      <w:r w:rsidR="00652B96" w:rsidRPr="00287F1B">
        <w:rPr>
          <w:sz w:val="20"/>
          <w:szCs w:val="20"/>
        </w:rPr>
        <w:t>that</w:t>
      </w:r>
      <w:r w:rsidRPr="00287F1B">
        <w:rPr>
          <w:sz w:val="20"/>
          <w:szCs w:val="20"/>
        </w:rPr>
        <w:t xml:space="preserve"> was lower than</w:t>
      </w:r>
      <w:r w:rsidR="00E41576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652B96" w:rsidRPr="00287F1B">
        <w:rPr>
          <w:rFonts w:eastAsia="OfficinaSansLT-Book"/>
          <w:sz w:val="20"/>
          <w:szCs w:val="20"/>
          <w:lang w:bidi="ar-SA"/>
        </w:rPr>
        <w:t>t</w:t>
      </w:r>
      <w:r w:rsidR="00E41576" w:rsidRPr="00287F1B">
        <w:rPr>
          <w:sz w:val="20"/>
          <w:szCs w:val="20"/>
        </w:rPr>
        <w:t>hat reported by</w:t>
      </w:r>
      <w:r w:rsidR="00E41576" w:rsidRPr="00287F1B">
        <w:rPr>
          <w:rFonts w:eastAsia="OfficinaSansLT-Book"/>
          <w:b/>
          <w:bCs/>
          <w:sz w:val="20"/>
          <w:szCs w:val="20"/>
          <w:lang w:bidi="ar-SA"/>
        </w:rPr>
        <w:t xml:space="preserve"> </w:t>
      </w:r>
      <w:r w:rsidR="00E41576" w:rsidRPr="00287F1B">
        <w:rPr>
          <w:rFonts w:eastAsia="OfficinaSansLT-Book"/>
          <w:sz w:val="20"/>
          <w:szCs w:val="20"/>
          <w:lang w:bidi="ar-SA"/>
        </w:rPr>
        <w:t>Fernandez-</w:t>
      </w:r>
      <w:proofErr w:type="spellStart"/>
      <w:r w:rsidR="00E41576" w:rsidRPr="00287F1B">
        <w:rPr>
          <w:rFonts w:eastAsia="OfficinaSansLT-Book"/>
          <w:sz w:val="20"/>
          <w:szCs w:val="20"/>
          <w:lang w:bidi="ar-SA"/>
        </w:rPr>
        <w:t>Martos</w:t>
      </w:r>
      <w:proofErr w:type="spellEnd"/>
      <w:r w:rsidR="00E41576" w:rsidRPr="00287F1B">
        <w:rPr>
          <w:rFonts w:eastAsia="OfficinaSansLT-Book"/>
          <w:sz w:val="20"/>
          <w:szCs w:val="20"/>
          <w:lang w:bidi="ar-SA"/>
        </w:rPr>
        <w:t xml:space="preserve"> </w:t>
      </w:r>
      <w:r w:rsidR="00E41576" w:rsidRPr="00287F1B">
        <w:rPr>
          <w:sz w:val="20"/>
          <w:szCs w:val="20"/>
        </w:rPr>
        <w:t>et al</w:t>
      </w:r>
      <w:r w:rsidR="0021171C" w:rsidRPr="00287F1B">
        <w:rPr>
          <w:sz w:val="20"/>
          <w:szCs w:val="20"/>
        </w:rPr>
        <w:t>.</w:t>
      </w:r>
      <w:r w:rsidR="00E41576" w:rsidRPr="00287F1B">
        <w:rPr>
          <w:b/>
          <w:bCs/>
          <w:sz w:val="20"/>
          <w:szCs w:val="20"/>
        </w:rPr>
        <w:t xml:space="preserve"> </w:t>
      </w:r>
      <w:r w:rsidR="00E41576" w:rsidRPr="00287F1B">
        <w:rPr>
          <w:b/>
          <w:bCs/>
          <w:sz w:val="20"/>
          <w:szCs w:val="20"/>
          <w:lang w:bidi="ar-SA"/>
        </w:rPr>
        <w:t>[21]</w:t>
      </w:r>
      <w:r w:rsidRPr="00287F1B">
        <w:rPr>
          <w:sz w:val="20"/>
          <w:szCs w:val="20"/>
        </w:rPr>
        <w:t xml:space="preserve"> </w:t>
      </w:r>
      <w:r w:rsidR="00BA23B2" w:rsidRPr="00287F1B">
        <w:rPr>
          <w:sz w:val="20"/>
          <w:szCs w:val="20"/>
        </w:rPr>
        <w:t xml:space="preserve">who reported 89%, </w:t>
      </w:r>
      <w:r w:rsidRPr="00287F1B">
        <w:rPr>
          <w:sz w:val="20"/>
          <w:szCs w:val="20"/>
        </w:rPr>
        <w:t xml:space="preserve">making in consideration that CAPOX </w:t>
      </w:r>
      <w:r w:rsidR="002F0F63" w:rsidRPr="00287F1B">
        <w:rPr>
          <w:sz w:val="20"/>
          <w:szCs w:val="20"/>
        </w:rPr>
        <w:t>induction</w:t>
      </w:r>
      <w:r w:rsidRPr="00287F1B">
        <w:rPr>
          <w:sz w:val="20"/>
          <w:szCs w:val="20"/>
        </w:rPr>
        <w:t xml:space="preserve"> CT had administer</w:t>
      </w:r>
      <w:r w:rsidR="00652B96" w:rsidRPr="00287F1B">
        <w:rPr>
          <w:sz w:val="20"/>
          <w:szCs w:val="20"/>
        </w:rPr>
        <w:t>e</w:t>
      </w:r>
      <w:r w:rsidRPr="00287F1B">
        <w:rPr>
          <w:sz w:val="20"/>
          <w:szCs w:val="20"/>
        </w:rPr>
        <w:t>d for 4 cycles</w:t>
      </w:r>
      <w:r w:rsidR="00E41576" w:rsidRPr="00287F1B">
        <w:rPr>
          <w:sz w:val="20"/>
          <w:szCs w:val="20"/>
        </w:rPr>
        <w:t xml:space="preserve"> versus 2 cycles in our study</w:t>
      </w:r>
      <w:r w:rsidR="00070043" w:rsidRPr="00287F1B">
        <w:rPr>
          <w:sz w:val="20"/>
          <w:szCs w:val="20"/>
        </w:rPr>
        <w:t>.</w:t>
      </w:r>
    </w:p>
    <w:p w:rsidR="001407D0" w:rsidRPr="00287F1B" w:rsidRDefault="001407D0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87F1B">
        <w:rPr>
          <w:sz w:val="20"/>
          <w:szCs w:val="20"/>
          <w:lang w:bidi="ar-SA"/>
        </w:rPr>
        <w:t>In this study,</w:t>
      </w:r>
      <w:r w:rsidRPr="00287F1B">
        <w:rPr>
          <w:rFonts w:eastAsia="OfficinaSansLT-Book"/>
          <w:sz w:val="20"/>
          <w:szCs w:val="20"/>
          <w:lang w:bidi="ar-SA"/>
        </w:rPr>
        <w:t xml:space="preserve"> t</w:t>
      </w:r>
      <w:r w:rsidRPr="00287F1B">
        <w:rPr>
          <w:sz w:val="20"/>
          <w:szCs w:val="20"/>
          <w:lang w:bidi="ar-SA"/>
        </w:rPr>
        <w:t xml:space="preserve">umor and LNs </w:t>
      </w:r>
      <w:proofErr w:type="spellStart"/>
      <w:r w:rsidRPr="00287F1B">
        <w:rPr>
          <w:sz w:val="20"/>
          <w:szCs w:val="20"/>
          <w:lang w:bidi="ar-SA"/>
        </w:rPr>
        <w:t>downstaging</w:t>
      </w:r>
      <w:proofErr w:type="spellEnd"/>
      <w:r w:rsidRPr="00287F1B">
        <w:rPr>
          <w:sz w:val="20"/>
          <w:szCs w:val="20"/>
          <w:lang w:bidi="ar-SA"/>
        </w:rPr>
        <w:t xml:space="preserve"> had achieved in</w:t>
      </w:r>
      <w:r w:rsidRPr="00287F1B">
        <w:rPr>
          <w:sz w:val="20"/>
          <w:szCs w:val="20"/>
        </w:rPr>
        <w:t xml:space="preserve"> 61.3</w:t>
      </w:r>
      <w:r w:rsidRPr="00287F1B">
        <w:rPr>
          <w:sz w:val="20"/>
          <w:szCs w:val="20"/>
          <w:lang w:bidi="ar-SA"/>
        </w:rPr>
        <w:t>% and</w:t>
      </w:r>
      <w:r w:rsidRPr="00287F1B">
        <w:rPr>
          <w:rFonts w:eastAsia="OfficinaSansLT-Book"/>
          <w:sz w:val="20"/>
          <w:szCs w:val="20"/>
          <w:lang w:bidi="ar-SA"/>
        </w:rPr>
        <w:t xml:space="preserve"> 5</w:t>
      </w:r>
      <w:r w:rsidRPr="00287F1B">
        <w:rPr>
          <w:sz w:val="20"/>
          <w:szCs w:val="20"/>
        </w:rPr>
        <w:t>1.6</w:t>
      </w:r>
      <w:r w:rsidRPr="00287F1B">
        <w:rPr>
          <w:sz w:val="20"/>
          <w:szCs w:val="20"/>
          <w:lang w:bidi="ar-SA"/>
        </w:rPr>
        <w:t>%</w:t>
      </w:r>
      <w:r w:rsidRPr="00287F1B">
        <w:rPr>
          <w:sz w:val="20"/>
          <w:szCs w:val="20"/>
        </w:rPr>
        <w:t xml:space="preserve"> of patients </w:t>
      </w:r>
      <w:r w:rsidRPr="00287F1B">
        <w:rPr>
          <w:rFonts w:eastAsia="OfficinaSansLT-Book"/>
          <w:sz w:val="20"/>
          <w:szCs w:val="20"/>
          <w:lang w:bidi="ar-SA"/>
        </w:rPr>
        <w:t xml:space="preserve">respectively and this was comparable with the percent of tumor or nodal </w:t>
      </w:r>
      <w:proofErr w:type="spellStart"/>
      <w:r w:rsidRPr="00287F1B">
        <w:rPr>
          <w:rFonts w:eastAsia="OfficinaSansLT-Book"/>
          <w:sz w:val="20"/>
          <w:szCs w:val="20"/>
          <w:lang w:bidi="ar-SA"/>
        </w:rPr>
        <w:t>downstaging</w:t>
      </w:r>
      <w:proofErr w:type="spellEnd"/>
      <w:r w:rsidRPr="00287F1B">
        <w:rPr>
          <w:rFonts w:eastAsia="OfficinaSansLT-Book"/>
          <w:sz w:val="20"/>
          <w:szCs w:val="20"/>
          <w:lang w:bidi="ar-SA"/>
        </w:rPr>
        <w:t xml:space="preserve"> that ranged between 43% to 69% in other trials used CAPOX regimen as induction CT before neoadjuvant concomitant CRT for rectal cancer</w:t>
      </w:r>
      <w:r w:rsidRPr="00287F1B">
        <w:rPr>
          <w:rFonts w:eastAsia="OfficinaSansLT-Book"/>
          <w:b/>
          <w:bCs/>
          <w:sz w:val="20"/>
          <w:szCs w:val="20"/>
          <w:lang w:bidi="ar-SA"/>
        </w:rPr>
        <w:t xml:space="preserve"> </w:t>
      </w:r>
      <w:r w:rsidRPr="00287F1B">
        <w:rPr>
          <w:rFonts w:eastAsia="OfficinaSansLT-Book"/>
          <w:sz w:val="20"/>
          <w:szCs w:val="20"/>
          <w:lang w:bidi="ar-SA"/>
        </w:rPr>
        <w:t>patients</w:t>
      </w:r>
      <w:r w:rsidRPr="00287F1B">
        <w:rPr>
          <w:rFonts w:eastAsia="OfficinaSansLT-Book"/>
          <w:b/>
          <w:bCs/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</w:rPr>
        <w:t>[</w:t>
      </w:r>
      <w:r w:rsidRPr="00287F1B">
        <w:rPr>
          <w:rFonts w:eastAsia="OfficinaSansLT-Book"/>
          <w:b/>
          <w:bCs/>
          <w:sz w:val="20"/>
          <w:szCs w:val="20"/>
          <w:lang w:bidi="ar-SA"/>
        </w:rPr>
        <w:t>19</w:t>
      </w:r>
      <w:r w:rsidRPr="00287F1B">
        <w:rPr>
          <w:b/>
          <w:bCs/>
          <w:sz w:val="20"/>
          <w:szCs w:val="20"/>
          <w:lang w:bidi="ar-SA"/>
        </w:rPr>
        <w:t>, 20, 21]</w:t>
      </w:r>
      <w:r w:rsidRPr="00287F1B">
        <w:rPr>
          <w:sz w:val="20"/>
          <w:szCs w:val="20"/>
          <w:lang w:bidi="ar-SA"/>
        </w:rPr>
        <w:t>.</w:t>
      </w:r>
    </w:p>
    <w:p w:rsidR="00EE076B" w:rsidRPr="00287F1B" w:rsidRDefault="00EE076B" w:rsidP="00C76C9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proofErr w:type="spellStart"/>
      <w:r w:rsidRPr="00287F1B">
        <w:rPr>
          <w:sz w:val="20"/>
          <w:szCs w:val="20"/>
          <w:lang w:bidi="ar-SA"/>
        </w:rPr>
        <w:t>Chau</w:t>
      </w:r>
      <w:proofErr w:type="spellEnd"/>
      <w:r w:rsidRPr="00287F1B">
        <w:rPr>
          <w:sz w:val="20"/>
          <w:szCs w:val="20"/>
          <w:lang w:bidi="ar-SA"/>
        </w:rPr>
        <w:t xml:space="preserve"> et al</w:t>
      </w:r>
      <w:r w:rsidR="0021171C" w:rsidRPr="00287F1B">
        <w:rPr>
          <w:sz w:val="20"/>
          <w:szCs w:val="20"/>
          <w:lang w:bidi="ar-SA"/>
        </w:rPr>
        <w:t>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[11]</w:t>
      </w:r>
      <w:r w:rsidRPr="00287F1B">
        <w:rPr>
          <w:sz w:val="20"/>
          <w:szCs w:val="20"/>
          <w:lang w:bidi="ar-SA"/>
        </w:rPr>
        <w:t xml:space="preserve"> questioned the advantage of using </w:t>
      </w:r>
      <w:r w:rsidR="002F0F63" w:rsidRPr="00287F1B">
        <w:rPr>
          <w:sz w:val="20"/>
          <w:szCs w:val="20"/>
          <w:lang w:bidi="ar-SA"/>
        </w:rPr>
        <w:t>induction</w:t>
      </w:r>
      <w:r w:rsidRPr="00287F1B">
        <w:rPr>
          <w:sz w:val="20"/>
          <w:szCs w:val="20"/>
          <w:lang w:bidi="ar-SA"/>
        </w:rPr>
        <w:t xml:space="preserve"> CT prior to preoperative </w:t>
      </w:r>
      <w:r w:rsidR="006F65B9" w:rsidRPr="00287F1B">
        <w:rPr>
          <w:sz w:val="20"/>
          <w:szCs w:val="20"/>
          <w:lang w:bidi="ar-SA"/>
        </w:rPr>
        <w:t xml:space="preserve">concomitant </w:t>
      </w:r>
      <w:r w:rsidRPr="00287F1B">
        <w:rPr>
          <w:sz w:val="20"/>
          <w:szCs w:val="20"/>
          <w:lang w:bidi="ar-SA"/>
        </w:rPr>
        <w:t xml:space="preserve">CRT in rectal cancer patients by adding four cycles of </w:t>
      </w:r>
      <w:r w:rsidR="006F65B9" w:rsidRPr="00287F1B">
        <w:rPr>
          <w:sz w:val="20"/>
          <w:szCs w:val="20"/>
          <w:lang w:bidi="ar-SA"/>
        </w:rPr>
        <w:t>induction</w:t>
      </w:r>
      <w:r w:rsidRPr="00287F1B">
        <w:rPr>
          <w:sz w:val="20"/>
          <w:szCs w:val="20"/>
          <w:lang w:bidi="ar-SA"/>
        </w:rPr>
        <w:t xml:space="preserve"> CAPOX before </w:t>
      </w:r>
      <w:r w:rsidR="006F65B9" w:rsidRPr="00287F1B">
        <w:rPr>
          <w:sz w:val="20"/>
          <w:szCs w:val="20"/>
          <w:lang w:bidi="ar-SA"/>
        </w:rPr>
        <w:t xml:space="preserve">concomitant </w:t>
      </w:r>
      <w:r w:rsidRPr="00287F1B">
        <w:rPr>
          <w:sz w:val="20"/>
          <w:szCs w:val="20"/>
          <w:lang w:bidi="ar-SA"/>
        </w:rPr>
        <w:t xml:space="preserve">CRT. </w:t>
      </w:r>
      <w:r w:rsidR="00C76C98">
        <w:rPr>
          <w:sz w:val="20"/>
          <w:szCs w:val="20"/>
          <w:lang w:bidi="ar-SA"/>
        </w:rPr>
        <w:t>T</w:t>
      </w:r>
      <w:r w:rsidRPr="00287F1B">
        <w:rPr>
          <w:sz w:val="20"/>
          <w:szCs w:val="20"/>
          <w:lang w:bidi="ar-SA"/>
        </w:rPr>
        <w:t>umor</w:t>
      </w:r>
      <w:r w:rsidRPr="00E35F4D">
        <w:rPr>
          <w:sz w:val="20"/>
          <w:szCs w:val="20"/>
          <w:lang w:bidi="ar-SA"/>
        </w:rPr>
        <w:t xml:space="preserve"> </w:t>
      </w:r>
      <w:proofErr w:type="spellStart"/>
      <w:r w:rsidR="00C76C98">
        <w:rPr>
          <w:sz w:val="20"/>
          <w:szCs w:val="20"/>
          <w:lang w:bidi="ar-SA"/>
        </w:rPr>
        <w:t>pCR</w:t>
      </w:r>
      <w:proofErr w:type="spellEnd"/>
      <w:r w:rsidR="00C76C98">
        <w:rPr>
          <w:sz w:val="20"/>
          <w:szCs w:val="20"/>
          <w:lang w:bidi="ar-SA"/>
        </w:rPr>
        <w:t xml:space="preserve"> </w:t>
      </w:r>
      <w:r w:rsidRPr="00E35F4D">
        <w:rPr>
          <w:sz w:val="20"/>
          <w:szCs w:val="20"/>
          <w:lang w:bidi="ar-SA"/>
        </w:rPr>
        <w:t xml:space="preserve">was </w:t>
      </w:r>
      <w:r w:rsidR="00C76C98">
        <w:rPr>
          <w:sz w:val="20"/>
          <w:szCs w:val="20"/>
          <w:lang w:bidi="ar-SA"/>
        </w:rPr>
        <w:t xml:space="preserve">recorded </w:t>
      </w:r>
      <w:r w:rsidRPr="00E35F4D">
        <w:rPr>
          <w:sz w:val="20"/>
          <w:szCs w:val="20"/>
          <w:lang w:bidi="ar-SA"/>
        </w:rPr>
        <w:t xml:space="preserve">in 24% of </w:t>
      </w:r>
      <w:r w:rsidR="00C76C98">
        <w:rPr>
          <w:sz w:val="20"/>
          <w:szCs w:val="20"/>
          <w:lang w:bidi="ar-SA"/>
        </w:rPr>
        <w:t>cases and</w:t>
      </w:r>
      <w:r w:rsidRPr="00E35F4D">
        <w:rPr>
          <w:sz w:val="20"/>
          <w:szCs w:val="20"/>
          <w:lang w:bidi="ar-SA"/>
        </w:rPr>
        <w:t xml:space="preserve"> </w:t>
      </w:r>
      <w:r w:rsidR="00C76C98">
        <w:rPr>
          <w:sz w:val="20"/>
          <w:szCs w:val="20"/>
          <w:lang w:bidi="ar-SA"/>
        </w:rPr>
        <w:t xml:space="preserve">that </w:t>
      </w:r>
      <w:r w:rsidRPr="00E35F4D">
        <w:rPr>
          <w:sz w:val="20"/>
          <w:szCs w:val="20"/>
          <w:lang w:bidi="ar-SA"/>
        </w:rPr>
        <w:t xml:space="preserve">was </w:t>
      </w:r>
      <w:r w:rsidR="00C76C98">
        <w:rPr>
          <w:sz w:val="20"/>
          <w:szCs w:val="20"/>
          <w:lang w:bidi="ar-SA"/>
        </w:rPr>
        <w:t>higher (</w:t>
      </w:r>
      <w:r w:rsidRPr="00E35F4D">
        <w:rPr>
          <w:sz w:val="20"/>
          <w:szCs w:val="20"/>
          <w:lang w:bidi="ar-SA"/>
        </w:rPr>
        <w:t>19.4%</w:t>
      </w:r>
      <w:r w:rsidR="00C76C98">
        <w:rPr>
          <w:sz w:val="20"/>
          <w:szCs w:val="20"/>
          <w:lang w:bidi="ar-SA"/>
        </w:rPr>
        <w:t>) than recorded among our patients</w:t>
      </w:r>
      <w:r w:rsidRPr="00287F1B">
        <w:rPr>
          <w:sz w:val="20"/>
          <w:szCs w:val="20"/>
          <w:lang w:bidi="ar-SA"/>
        </w:rPr>
        <w:t>. Also</w:t>
      </w:r>
      <w:r w:rsidR="00BB61C3" w:rsidRPr="00287F1B">
        <w:rPr>
          <w:sz w:val="20"/>
          <w:szCs w:val="20"/>
          <w:lang w:bidi="ar-SA"/>
        </w:rPr>
        <w:t>,</w:t>
      </w:r>
      <w:r w:rsidRPr="00287F1B">
        <w:rPr>
          <w:sz w:val="20"/>
          <w:szCs w:val="20"/>
          <w:lang w:bidi="ar-SA"/>
        </w:rPr>
        <w:t xml:space="preserve"> </w:t>
      </w:r>
      <w:proofErr w:type="spellStart"/>
      <w:r w:rsidRPr="00287F1B">
        <w:rPr>
          <w:sz w:val="20"/>
          <w:szCs w:val="20"/>
          <w:lang w:bidi="ar-SA"/>
        </w:rPr>
        <w:t>Schou</w:t>
      </w:r>
      <w:proofErr w:type="spellEnd"/>
      <w:r w:rsidRPr="00287F1B">
        <w:rPr>
          <w:sz w:val="20"/>
          <w:szCs w:val="20"/>
        </w:rPr>
        <w:t xml:space="preserve"> et al</w:t>
      </w:r>
      <w:r w:rsidR="0021171C" w:rsidRPr="00287F1B">
        <w:rPr>
          <w:sz w:val="20"/>
          <w:szCs w:val="20"/>
        </w:rPr>
        <w:t>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[19]</w:t>
      </w:r>
      <w:r w:rsidRPr="00287F1B">
        <w:rPr>
          <w:sz w:val="20"/>
          <w:szCs w:val="20"/>
          <w:lang w:bidi="ar-SA"/>
        </w:rPr>
        <w:t xml:space="preserve"> reported a </w:t>
      </w:r>
      <w:proofErr w:type="spellStart"/>
      <w:r w:rsidRPr="00287F1B">
        <w:rPr>
          <w:sz w:val="20"/>
          <w:szCs w:val="20"/>
          <w:lang w:bidi="ar-SA"/>
        </w:rPr>
        <w:t>pCR</w:t>
      </w:r>
      <w:proofErr w:type="spellEnd"/>
      <w:r w:rsidRPr="00287F1B">
        <w:rPr>
          <w:sz w:val="20"/>
          <w:szCs w:val="20"/>
          <w:lang w:bidi="ar-SA"/>
        </w:rPr>
        <w:t xml:space="preserve"> rate of 23%.</w:t>
      </w:r>
      <w:r w:rsidRPr="00287F1B">
        <w:rPr>
          <w:rFonts w:eastAsia="OfficinaSansLT-Book"/>
          <w:sz w:val="20"/>
          <w:szCs w:val="20"/>
          <w:lang w:bidi="ar-SA"/>
        </w:rPr>
        <w:t xml:space="preserve"> </w:t>
      </w:r>
      <w:proofErr w:type="gramStart"/>
      <w:r w:rsidR="001407D0" w:rsidRPr="00287F1B">
        <w:rPr>
          <w:rFonts w:eastAsia="OfficinaSansLT-Book"/>
          <w:sz w:val="20"/>
          <w:szCs w:val="20"/>
          <w:lang w:bidi="ar-SA"/>
        </w:rPr>
        <w:t>While</w:t>
      </w:r>
      <w:r w:rsidR="00B51ABC" w:rsidRPr="00287F1B">
        <w:rPr>
          <w:rFonts w:eastAsia="OfficinaSansLT-Book"/>
          <w:sz w:val="20"/>
          <w:szCs w:val="20"/>
          <w:lang w:bidi="ar-SA"/>
        </w:rPr>
        <w:t>,</w:t>
      </w:r>
      <w:r w:rsidRPr="00287F1B">
        <w:rPr>
          <w:rFonts w:eastAsia="OfficinaSansLT-Book"/>
          <w:sz w:val="20"/>
          <w:szCs w:val="20"/>
          <w:lang w:bidi="ar-SA"/>
        </w:rPr>
        <w:t xml:space="preserve"> Fernandez-</w:t>
      </w:r>
      <w:proofErr w:type="spellStart"/>
      <w:r w:rsidRPr="00287F1B">
        <w:rPr>
          <w:rFonts w:eastAsia="OfficinaSansLT-Book"/>
          <w:sz w:val="20"/>
          <w:szCs w:val="20"/>
          <w:lang w:bidi="ar-SA"/>
        </w:rPr>
        <w:t>Martos</w:t>
      </w:r>
      <w:proofErr w:type="spellEnd"/>
      <w:r w:rsidRPr="00287F1B">
        <w:rPr>
          <w:rFonts w:eastAsia="OfficinaSansLT-Book"/>
          <w:sz w:val="20"/>
          <w:szCs w:val="20"/>
          <w:lang w:bidi="ar-SA"/>
        </w:rPr>
        <w:t xml:space="preserve"> </w:t>
      </w:r>
      <w:r w:rsidRPr="00287F1B">
        <w:rPr>
          <w:sz w:val="20"/>
          <w:szCs w:val="20"/>
        </w:rPr>
        <w:t>et al</w:t>
      </w:r>
      <w:r w:rsidR="0021171C" w:rsidRPr="00287F1B">
        <w:rPr>
          <w:sz w:val="20"/>
          <w:szCs w:val="20"/>
        </w:rPr>
        <w:t>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[21]</w:t>
      </w:r>
      <w:r w:rsidRPr="00287F1B">
        <w:rPr>
          <w:sz w:val="20"/>
          <w:szCs w:val="20"/>
          <w:lang w:bidi="ar-SA"/>
        </w:rPr>
        <w:t xml:space="preserve"> </w:t>
      </w:r>
      <w:r w:rsidR="001407D0" w:rsidRPr="00287F1B">
        <w:rPr>
          <w:sz w:val="20"/>
          <w:szCs w:val="20"/>
          <w:lang w:bidi="ar-SA"/>
        </w:rPr>
        <w:t>recor</w:t>
      </w:r>
      <w:bookmarkStart w:id="0" w:name="_GoBack"/>
      <w:bookmarkEnd w:id="0"/>
      <w:r w:rsidR="001407D0" w:rsidRPr="00287F1B">
        <w:rPr>
          <w:sz w:val="20"/>
          <w:szCs w:val="20"/>
          <w:lang w:bidi="ar-SA"/>
        </w:rPr>
        <w:t xml:space="preserve">ded 14.3% </w:t>
      </w:r>
      <w:proofErr w:type="spellStart"/>
      <w:r w:rsidR="001407D0" w:rsidRPr="00287F1B">
        <w:rPr>
          <w:sz w:val="20"/>
          <w:szCs w:val="20"/>
          <w:lang w:bidi="ar-SA"/>
        </w:rPr>
        <w:t>pCR</w:t>
      </w:r>
      <w:proofErr w:type="spellEnd"/>
      <w:r w:rsidR="001407D0" w:rsidRPr="00287F1B">
        <w:rPr>
          <w:sz w:val="20"/>
          <w:szCs w:val="20"/>
          <w:lang w:bidi="ar-SA"/>
        </w:rPr>
        <w:t xml:space="preserve"> rate.</w:t>
      </w:r>
      <w:proofErr w:type="gramEnd"/>
    </w:p>
    <w:p w:rsidR="001407D0" w:rsidRPr="00287F1B" w:rsidRDefault="00491EAF" w:rsidP="002B2928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87F1B">
        <w:rPr>
          <w:sz w:val="20"/>
          <w:szCs w:val="20"/>
        </w:rPr>
        <w:lastRenderedPageBreak/>
        <w:t xml:space="preserve">Patients in our study had </w:t>
      </w:r>
      <w:r w:rsidR="00E75D16" w:rsidRPr="00287F1B">
        <w:rPr>
          <w:sz w:val="20"/>
          <w:szCs w:val="20"/>
        </w:rPr>
        <w:t>2</w:t>
      </w:r>
      <w:r w:rsidRPr="00287F1B">
        <w:rPr>
          <w:sz w:val="20"/>
          <w:szCs w:val="20"/>
        </w:rPr>
        <w:t>-year OS and DFS rate</w:t>
      </w:r>
      <w:r w:rsidR="005B675E" w:rsidRPr="00287F1B">
        <w:rPr>
          <w:sz w:val="20"/>
          <w:szCs w:val="20"/>
        </w:rPr>
        <w:t>s, 83% and</w:t>
      </w:r>
      <w:r w:rsidRPr="00287F1B">
        <w:rPr>
          <w:sz w:val="20"/>
          <w:szCs w:val="20"/>
        </w:rPr>
        <w:t xml:space="preserve"> 67.4% </w:t>
      </w:r>
      <w:r w:rsidR="005B675E" w:rsidRPr="00287F1B">
        <w:rPr>
          <w:sz w:val="20"/>
          <w:szCs w:val="20"/>
        </w:rPr>
        <w:t>respective</w:t>
      </w:r>
      <w:r w:rsidR="00267B35" w:rsidRPr="00287F1B">
        <w:rPr>
          <w:sz w:val="20"/>
          <w:szCs w:val="20"/>
        </w:rPr>
        <w:t>l</w:t>
      </w:r>
      <w:r w:rsidR="005B675E" w:rsidRPr="00287F1B">
        <w:rPr>
          <w:sz w:val="20"/>
          <w:szCs w:val="20"/>
        </w:rPr>
        <w:t xml:space="preserve">y </w:t>
      </w:r>
      <w:r w:rsidRPr="00287F1B">
        <w:rPr>
          <w:sz w:val="20"/>
          <w:szCs w:val="20"/>
        </w:rPr>
        <w:t>and this result was comparable with results from Chua et al</w:t>
      </w:r>
      <w:r w:rsidR="0021171C" w:rsidRPr="00287F1B">
        <w:rPr>
          <w:sz w:val="20"/>
          <w:szCs w:val="20"/>
        </w:rPr>
        <w:t>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[12].</w:t>
      </w:r>
      <w:r w:rsidRPr="00287F1B">
        <w:rPr>
          <w:sz w:val="20"/>
          <w:szCs w:val="20"/>
        </w:rPr>
        <w:t xml:space="preserve"> </w:t>
      </w:r>
      <w:proofErr w:type="spellStart"/>
      <w:r w:rsidR="001407D0" w:rsidRPr="00287F1B">
        <w:rPr>
          <w:sz w:val="20"/>
          <w:szCs w:val="20"/>
        </w:rPr>
        <w:t>Schou</w:t>
      </w:r>
      <w:proofErr w:type="spellEnd"/>
      <w:r w:rsidR="001407D0" w:rsidRPr="00287F1B">
        <w:rPr>
          <w:sz w:val="20"/>
          <w:szCs w:val="20"/>
        </w:rPr>
        <w:t xml:space="preserve"> et al. </w:t>
      </w:r>
      <w:r w:rsidR="001407D0" w:rsidRPr="00287F1B">
        <w:rPr>
          <w:b/>
          <w:bCs/>
          <w:sz w:val="20"/>
          <w:szCs w:val="20"/>
        </w:rPr>
        <w:t>[19]</w:t>
      </w:r>
      <w:r w:rsidR="001407D0" w:rsidRPr="00287F1B">
        <w:rPr>
          <w:sz w:val="20"/>
          <w:szCs w:val="20"/>
        </w:rPr>
        <w:t xml:space="preserve"> reported that the OS and DFS rates at 5-years were 67% and 63%, respectively. </w:t>
      </w:r>
      <w:r w:rsidR="001407D0" w:rsidRPr="00287F1B">
        <w:rPr>
          <w:rFonts w:eastAsia="OfficinaSansLT-Book"/>
          <w:sz w:val="20"/>
          <w:szCs w:val="20"/>
        </w:rPr>
        <w:t>Fernandez-</w:t>
      </w:r>
      <w:proofErr w:type="spellStart"/>
      <w:r w:rsidR="001407D0" w:rsidRPr="00287F1B">
        <w:rPr>
          <w:rFonts w:eastAsia="OfficinaSansLT-Book"/>
          <w:sz w:val="20"/>
          <w:szCs w:val="20"/>
        </w:rPr>
        <w:t>Martos</w:t>
      </w:r>
      <w:proofErr w:type="spellEnd"/>
      <w:r w:rsidR="001407D0" w:rsidRPr="00287F1B">
        <w:rPr>
          <w:rFonts w:eastAsia="OfficinaSansLT-Book"/>
          <w:sz w:val="20"/>
          <w:szCs w:val="20"/>
        </w:rPr>
        <w:t xml:space="preserve"> </w:t>
      </w:r>
      <w:r w:rsidR="001407D0" w:rsidRPr="00287F1B">
        <w:rPr>
          <w:sz w:val="20"/>
          <w:szCs w:val="20"/>
        </w:rPr>
        <w:t xml:space="preserve">et al. </w:t>
      </w:r>
      <w:r w:rsidR="001407D0" w:rsidRPr="00287F1B">
        <w:rPr>
          <w:b/>
          <w:bCs/>
          <w:sz w:val="20"/>
          <w:szCs w:val="20"/>
        </w:rPr>
        <w:t>[21]</w:t>
      </w:r>
      <w:r w:rsidR="001407D0" w:rsidRPr="00287F1B">
        <w:rPr>
          <w:sz w:val="20"/>
          <w:szCs w:val="20"/>
        </w:rPr>
        <w:t xml:space="preserve"> reported that the 18-month OS and DFS rates were 91% and 76% respectively in the studied arm treated with induction CAPOX followed by CRT and surgery.</w:t>
      </w:r>
    </w:p>
    <w:p w:rsidR="00D25558" w:rsidRPr="00287F1B" w:rsidRDefault="00D25558" w:rsidP="000F6225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87F1B">
        <w:rPr>
          <w:sz w:val="20"/>
          <w:szCs w:val="20"/>
        </w:rPr>
        <w:t xml:space="preserve">Overall survival is the main end point in most trials, but the exact evaluation of OS may require </w:t>
      </w:r>
      <w:r w:rsidR="003C3A57">
        <w:rPr>
          <w:sz w:val="20"/>
          <w:szCs w:val="20"/>
        </w:rPr>
        <w:t>prolonged</w:t>
      </w:r>
      <w:r w:rsidRPr="00287F1B">
        <w:rPr>
          <w:sz w:val="20"/>
          <w:szCs w:val="20"/>
        </w:rPr>
        <w:t xml:space="preserve"> follow-up. To </w:t>
      </w:r>
      <w:r w:rsidR="00487166">
        <w:rPr>
          <w:sz w:val="20"/>
          <w:szCs w:val="20"/>
        </w:rPr>
        <w:t>resolve</w:t>
      </w:r>
      <w:r w:rsidRPr="00287F1B">
        <w:rPr>
          <w:sz w:val="20"/>
          <w:szCs w:val="20"/>
        </w:rPr>
        <w:t xml:space="preserve"> this problem, a</w:t>
      </w:r>
      <w:r w:rsidR="00487166">
        <w:rPr>
          <w:sz w:val="20"/>
          <w:szCs w:val="20"/>
        </w:rPr>
        <w:t>n</w:t>
      </w:r>
      <w:r w:rsidRPr="00287F1B">
        <w:rPr>
          <w:sz w:val="20"/>
          <w:szCs w:val="20"/>
        </w:rPr>
        <w:t xml:space="preserve"> </w:t>
      </w:r>
      <w:r w:rsidR="00487166" w:rsidRPr="00287F1B">
        <w:rPr>
          <w:sz w:val="20"/>
          <w:szCs w:val="20"/>
        </w:rPr>
        <w:t>alternate</w:t>
      </w:r>
      <w:r w:rsidRPr="00287F1B">
        <w:rPr>
          <w:sz w:val="20"/>
          <w:szCs w:val="20"/>
        </w:rPr>
        <w:t xml:space="preserve"> </w:t>
      </w:r>
      <w:r w:rsidR="00487166">
        <w:rPr>
          <w:sz w:val="20"/>
          <w:szCs w:val="20"/>
        </w:rPr>
        <w:t xml:space="preserve">parameter such as </w:t>
      </w:r>
      <w:proofErr w:type="spellStart"/>
      <w:r w:rsidRPr="00287F1B">
        <w:rPr>
          <w:sz w:val="20"/>
          <w:szCs w:val="20"/>
        </w:rPr>
        <w:t>pCR</w:t>
      </w:r>
      <w:proofErr w:type="spellEnd"/>
      <w:r w:rsidR="00487166">
        <w:rPr>
          <w:sz w:val="20"/>
          <w:szCs w:val="20"/>
        </w:rPr>
        <w:t xml:space="preserve"> </w:t>
      </w:r>
      <w:r w:rsidR="003C3A57">
        <w:rPr>
          <w:sz w:val="20"/>
          <w:szCs w:val="20"/>
        </w:rPr>
        <w:t>was</w:t>
      </w:r>
      <w:r w:rsidR="00487166">
        <w:rPr>
          <w:sz w:val="20"/>
          <w:szCs w:val="20"/>
        </w:rPr>
        <w:t xml:space="preserve"> suggested</w:t>
      </w:r>
      <w:r w:rsidRPr="00287F1B">
        <w:rPr>
          <w:sz w:val="20"/>
          <w:szCs w:val="20"/>
        </w:rPr>
        <w:t xml:space="preserve">. </w:t>
      </w:r>
      <w:r w:rsidR="00D57AE4">
        <w:rPr>
          <w:sz w:val="20"/>
          <w:szCs w:val="20"/>
        </w:rPr>
        <w:t xml:space="preserve">However, there is a </w:t>
      </w:r>
      <w:r w:rsidR="00D57AE4" w:rsidRPr="00287F1B">
        <w:rPr>
          <w:sz w:val="20"/>
          <w:szCs w:val="20"/>
        </w:rPr>
        <w:t xml:space="preserve">controversy about the use of </w:t>
      </w:r>
      <w:proofErr w:type="spellStart"/>
      <w:r w:rsidR="00D57AE4" w:rsidRPr="00287F1B">
        <w:rPr>
          <w:sz w:val="20"/>
          <w:szCs w:val="20"/>
        </w:rPr>
        <w:t>pCR</w:t>
      </w:r>
      <w:proofErr w:type="spellEnd"/>
      <w:r w:rsidR="00D57AE4" w:rsidRPr="00287F1B">
        <w:rPr>
          <w:sz w:val="20"/>
          <w:szCs w:val="20"/>
        </w:rPr>
        <w:t xml:space="preserve"> for outcome evaluation</w:t>
      </w:r>
      <w:r w:rsidR="00D57AE4">
        <w:rPr>
          <w:sz w:val="20"/>
          <w:szCs w:val="20"/>
        </w:rPr>
        <w:t xml:space="preserve"> as the addition of CT in many trials had no good impact on OS although it produced higher rate of </w:t>
      </w:r>
      <w:proofErr w:type="spellStart"/>
      <w:r w:rsidR="00D57AE4">
        <w:rPr>
          <w:sz w:val="20"/>
          <w:szCs w:val="20"/>
        </w:rPr>
        <w:t>pCR</w:t>
      </w:r>
      <w:proofErr w:type="spellEnd"/>
      <w:r w:rsidR="00D57AE4">
        <w:rPr>
          <w:sz w:val="20"/>
          <w:szCs w:val="20"/>
        </w:rPr>
        <w:t xml:space="preserve"> </w:t>
      </w:r>
      <w:r w:rsidRPr="00287F1B">
        <w:rPr>
          <w:b/>
          <w:bCs/>
          <w:sz w:val="20"/>
          <w:szCs w:val="20"/>
        </w:rPr>
        <w:t>[5, 6]</w:t>
      </w:r>
      <w:r w:rsidRPr="00287F1B">
        <w:rPr>
          <w:sz w:val="20"/>
          <w:szCs w:val="20"/>
        </w:rPr>
        <w:t xml:space="preserve">. </w:t>
      </w:r>
      <w:r w:rsidRPr="00675788">
        <w:rPr>
          <w:sz w:val="20"/>
          <w:szCs w:val="20"/>
        </w:rPr>
        <w:t xml:space="preserve">In the present study, </w:t>
      </w:r>
      <w:proofErr w:type="spellStart"/>
      <w:r w:rsidRPr="00675788">
        <w:rPr>
          <w:sz w:val="20"/>
          <w:szCs w:val="20"/>
        </w:rPr>
        <w:t>pCR</w:t>
      </w:r>
      <w:proofErr w:type="spellEnd"/>
      <w:r w:rsidRPr="00675788">
        <w:rPr>
          <w:sz w:val="20"/>
          <w:szCs w:val="20"/>
        </w:rPr>
        <w:t xml:space="preserve"> did not significantly improve the OS and this may be explained by the relatively short duration</w:t>
      </w:r>
      <w:r w:rsidRPr="00287F1B">
        <w:rPr>
          <w:sz w:val="20"/>
          <w:szCs w:val="20"/>
        </w:rPr>
        <w:t xml:space="preserve"> of patients follow and the small number of patients. However, among 6 patients who achieved </w:t>
      </w:r>
      <w:proofErr w:type="spellStart"/>
      <w:r w:rsidRPr="00287F1B">
        <w:rPr>
          <w:sz w:val="20"/>
          <w:szCs w:val="20"/>
        </w:rPr>
        <w:t>pCR</w:t>
      </w:r>
      <w:proofErr w:type="spellEnd"/>
      <w:r w:rsidRPr="00287F1B">
        <w:rPr>
          <w:sz w:val="20"/>
          <w:szCs w:val="20"/>
        </w:rPr>
        <w:t xml:space="preserve">, none of them had failed locally or distantly nor died during the follow-up period. </w:t>
      </w:r>
      <w:r w:rsidR="00F410B2" w:rsidRPr="00287F1B">
        <w:rPr>
          <w:sz w:val="20"/>
          <w:szCs w:val="20"/>
        </w:rPr>
        <w:t xml:space="preserve">Maas et al. </w:t>
      </w:r>
      <w:r w:rsidR="00F410B2" w:rsidRPr="00287F1B">
        <w:rPr>
          <w:b/>
          <w:bCs/>
          <w:sz w:val="20"/>
          <w:szCs w:val="20"/>
        </w:rPr>
        <w:t>[22]</w:t>
      </w:r>
      <w:r w:rsidR="00F410B2">
        <w:rPr>
          <w:b/>
          <w:bCs/>
          <w:sz w:val="20"/>
          <w:szCs w:val="20"/>
        </w:rPr>
        <w:t xml:space="preserve"> </w:t>
      </w:r>
      <w:r w:rsidR="00F410B2" w:rsidRPr="000F6225">
        <w:rPr>
          <w:sz w:val="20"/>
          <w:szCs w:val="20"/>
        </w:rPr>
        <w:t xml:space="preserve">reported a better 5-year DFS (83.3%) for patients who achieved </w:t>
      </w:r>
      <w:proofErr w:type="spellStart"/>
      <w:r w:rsidR="00F410B2" w:rsidRPr="000F6225">
        <w:rPr>
          <w:sz w:val="20"/>
          <w:szCs w:val="20"/>
        </w:rPr>
        <w:t>pCR</w:t>
      </w:r>
      <w:proofErr w:type="spellEnd"/>
      <w:r w:rsidR="00F410B2" w:rsidRPr="000F6225">
        <w:rPr>
          <w:sz w:val="20"/>
          <w:szCs w:val="20"/>
        </w:rPr>
        <w:t xml:space="preserve"> after concomitant CRT compared with </w:t>
      </w:r>
      <w:r w:rsidR="000F6225" w:rsidRPr="000F6225">
        <w:rPr>
          <w:sz w:val="20"/>
          <w:szCs w:val="20"/>
        </w:rPr>
        <w:t xml:space="preserve">65.6% for those who did not achieved </w:t>
      </w:r>
      <w:proofErr w:type="spellStart"/>
      <w:r w:rsidR="000F6225" w:rsidRPr="000F6225">
        <w:rPr>
          <w:sz w:val="20"/>
          <w:szCs w:val="20"/>
        </w:rPr>
        <w:t>pCR</w:t>
      </w:r>
      <w:proofErr w:type="spellEnd"/>
      <w:r w:rsidR="000F6225" w:rsidRPr="000F6225">
        <w:rPr>
          <w:sz w:val="20"/>
          <w:szCs w:val="20"/>
        </w:rPr>
        <w:t>.</w:t>
      </w:r>
      <w:r w:rsidR="000F6225">
        <w:rPr>
          <w:b/>
          <w:bCs/>
          <w:sz w:val="20"/>
          <w:szCs w:val="20"/>
        </w:rPr>
        <w:t xml:space="preserve"> </w:t>
      </w:r>
      <w:r w:rsidR="000F6225">
        <w:rPr>
          <w:sz w:val="20"/>
          <w:szCs w:val="20"/>
        </w:rPr>
        <w:t>In addition,</w:t>
      </w:r>
      <w:r w:rsidRPr="00287F1B">
        <w:rPr>
          <w:sz w:val="20"/>
          <w:szCs w:val="20"/>
        </w:rPr>
        <w:t xml:space="preserve"> </w:t>
      </w:r>
      <w:proofErr w:type="spellStart"/>
      <w:r w:rsidRPr="00287F1B">
        <w:rPr>
          <w:sz w:val="20"/>
          <w:szCs w:val="20"/>
        </w:rPr>
        <w:t>Valentini</w:t>
      </w:r>
      <w:proofErr w:type="spellEnd"/>
      <w:r w:rsidRPr="00287F1B">
        <w:rPr>
          <w:sz w:val="20"/>
          <w:szCs w:val="20"/>
        </w:rPr>
        <w:t xml:space="preserve"> et al. </w:t>
      </w:r>
      <w:r w:rsidRPr="00287F1B">
        <w:rPr>
          <w:b/>
          <w:bCs/>
          <w:sz w:val="20"/>
          <w:szCs w:val="20"/>
        </w:rPr>
        <w:t>[23]</w:t>
      </w:r>
      <w:r w:rsidRPr="00287F1B">
        <w:rPr>
          <w:sz w:val="20"/>
          <w:szCs w:val="20"/>
        </w:rPr>
        <w:t xml:space="preserve"> </w:t>
      </w:r>
      <w:r w:rsidR="000F6225">
        <w:rPr>
          <w:sz w:val="20"/>
          <w:szCs w:val="20"/>
        </w:rPr>
        <w:t xml:space="preserve">reported that </w:t>
      </w:r>
      <w:proofErr w:type="spellStart"/>
      <w:r w:rsidR="000F6225">
        <w:rPr>
          <w:sz w:val="20"/>
          <w:szCs w:val="20"/>
        </w:rPr>
        <w:t>pCR</w:t>
      </w:r>
      <w:proofErr w:type="spellEnd"/>
      <w:r w:rsidR="000F6225">
        <w:rPr>
          <w:sz w:val="20"/>
          <w:szCs w:val="20"/>
        </w:rPr>
        <w:t xml:space="preserve"> is commonly associated with low rate of distant metastases</w:t>
      </w:r>
      <w:r w:rsidRPr="00287F1B">
        <w:rPr>
          <w:sz w:val="20"/>
          <w:szCs w:val="20"/>
        </w:rPr>
        <w:t>.</w:t>
      </w:r>
    </w:p>
    <w:p w:rsidR="001C74D4" w:rsidRPr="00E35F4D" w:rsidRDefault="001C74D4" w:rsidP="00AD48B2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 xml:space="preserve">It </w:t>
      </w:r>
      <w:r w:rsidR="005A2486">
        <w:rPr>
          <w:sz w:val="20"/>
          <w:szCs w:val="20"/>
        </w:rPr>
        <w:t>was</w:t>
      </w:r>
      <w:r w:rsidRPr="00E35F4D">
        <w:rPr>
          <w:sz w:val="20"/>
          <w:szCs w:val="20"/>
        </w:rPr>
        <w:t xml:space="preserve"> </w:t>
      </w:r>
      <w:r w:rsidR="005A2486" w:rsidRPr="00E35F4D">
        <w:rPr>
          <w:sz w:val="20"/>
          <w:szCs w:val="20"/>
        </w:rPr>
        <w:t>proposed</w:t>
      </w:r>
      <w:r w:rsidRPr="00E35F4D">
        <w:rPr>
          <w:sz w:val="20"/>
          <w:szCs w:val="20"/>
        </w:rPr>
        <w:t xml:space="preserve"> that </w:t>
      </w:r>
      <w:proofErr w:type="spellStart"/>
      <w:r w:rsidR="005A2486">
        <w:rPr>
          <w:sz w:val="20"/>
          <w:szCs w:val="20"/>
        </w:rPr>
        <w:t>pCR</w:t>
      </w:r>
      <w:proofErr w:type="spellEnd"/>
      <w:r w:rsidR="005A2486">
        <w:rPr>
          <w:sz w:val="20"/>
          <w:szCs w:val="20"/>
        </w:rPr>
        <w:t xml:space="preserve"> usually associated</w:t>
      </w:r>
      <w:r w:rsidR="00844963">
        <w:rPr>
          <w:sz w:val="20"/>
          <w:szCs w:val="20"/>
        </w:rPr>
        <w:t xml:space="preserve"> with</w:t>
      </w:r>
      <w:r w:rsidRPr="00E35F4D">
        <w:rPr>
          <w:sz w:val="20"/>
          <w:szCs w:val="20"/>
        </w:rPr>
        <w:t xml:space="preserve"> tumors </w:t>
      </w:r>
      <w:r w:rsidR="00720EEC" w:rsidRPr="00E35F4D">
        <w:rPr>
          <w:sz w:val="20"/>
          <w:szCs w:val="20"/>
        </w:rPr>
        <w:t>≤</w:t>
      </w:r>
      <w:r w:rsidRPr="00E35F4D">
        <w:rPr>
          <w:sz w:val="20"/>
          <w:szCs w:val="20"/>
        </w:rPr>
        <w:t xml:space="preserve">5 cm </w:t>
      </w:r>
      <w:r w:rsidRPr="00E35F4D">
        <w:rPr>
          <w:b/>
          <w:bCs/>
          <w:sz w:val="20"/>
          <w:szCs w:val="20"/>
        </w:rPr>
        <w:t>[</w:t>
      </w:r>
      <w:r w:rsidR="00720EEC" w:rsidRPr="00E35F4D">
        <w:rPr>
          <w:b/>
          <w:bCs/>
          <w:sz w:val="20"/>
          <w:szCs w:val="20"/>
          <w:lang w:bidi="ar-SA"/>
        </w:rPr>
        <w:t>24</w:t>
      </w:r>
      <w:r w:rsidRPr="00E35F4D">
        <w:rPr>
          <w:b/>
          <w:bCs/>
          <w:sz w:val="20"/>
          <w:szCs w:val="20"/>
        </w:rPr>
        <w:t>]</w:t>
      </w:r>
      <w:r w:rsidRPr="00E35F4D">
        <w:rPr>
          <w:sz w:val="20"/>
          <w:szCs w:val="20"/>
        </w:rPr>
        <w:t xml:space="preserve"> </w:t>
      </w:r>
      <w:r w:rsidR="00AD48B2">
        <w:rPr>
          <w:sz w:val="20"/>
          <w:szCs w:val="20"/>
        </w:rPr>
        <w:t xml:space="preserve">and our results was in agreement with this fact as </w:t>
      </w:r>
      <w:r w:rsidR="00720EEC" w:rsidRPr="00E35F4D">
        <w:rPr>
          <w:sz w:val="20"/>
          <w:szCs w:val="20"/>
        </w:rPr>
        <w:t>out o</w:t>
      </w:r>
      <w:r w:rsidRPr="00E35F4D">
        <w:rPr>
          <w:sz w:val="20"/>
          <w:szCs w:val="20"/>
        </w:rPr>
        <w:t xml:space="preserve">f the </w:t>
      </w:r>
      <w:r w:rsidR="00441EB2" w:rsidRPr="00E35F4D">
        <w:rPr>
          <w:sz w:val="20"/>
          <w:szCs w:val="20"/>
        </w:rPr>
        <w:t>6</w:t>
      </w:r>
      <w:r w:rsidRPr="00E35F4D">
        <w:rPr>
          <w:sz w:val="20"/>
          <w:szCs w:val="20"/>
        </w:rPr>
        <w:t xml:space="preserve"> patients </w:t>
      </w:r>
      <w:r w:rsidR="00AD48B2">
        <w:rPr>
          <w:sz w:val="20"/>
          <w:szCs w:val="20"/>
        </w:rPr>
        <w:t xml:space="preserve">who achieved </w:t>
      </w:r>
      <w:proofErr w:type="spellStart"/>
      <w:r w:rsidR="00AD48B2">
        <w:rPr>
          <w:sz w:val="20"/>
          <w:szCs w:val="20"/>
        </w:rPr>
        <w:t>pCR</w:t>
      </w:r>
      <w:proofErr w:type="spellEnd"/>
      <w:r w:rsidR="00AD48B2">
        <w:rPr>
          <w:sz w:val="20"/>
          <w:szCs w:val="20"/>
        </w:rPr>
        <w:t xml:space="preserve">, 5 of them were presented with </w:t>
      </w:r>
      <w:r w:rsidRPr="00E35F4D">
        <w:rPr>
          <w:sz w:val="20"/>
          <w:szCs w:val="20"/>
        </w:rPr>
        <w:t xml:space="preserve">tumor size </w:t>
      </w:r>
      <w:r w:rsidR="00AD48B2">
        <w:rPr>
          <w:sz w:val="20"/>
          <w:szCs w:val="20"/>
        </w:rPr>
        <w:t>≤5 cm</w:t>
      </w:r>
      <w:r w:rsidRPr="00E35F4D">
        <w:rPr>
          <w:sz w:val="20"/>
          <w:szCs w:val="20"/>
        </w:rPr>
        <w:t>.</w:t>
      </w:r>
    </w:p>
    <w:p w:rsidR="00287F1B" w:rsidRPr="00287F1B" w:rsidRDefault="00287F1B" w:rsidP="00957A3B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E35F4D">
        <w:rPr>
          <w:rFonts w:eastAsia="OfficinaSansLT-Book"/>
          <w:color w:val="000000"/>
          <w:sz w:val="20"/>
          <w:szCs w:val="20"/>
          <w:lang w:bidi="ar-SA"/>
        </w:rPr>
        <w:t>In our study, no treatment-related death had been recorded.</w:t>
      </w:r>
      <w:r w:rsidRPr="00E35F4D">
        <w:rPr>
          <w:color w:val="000000"/>
          <w:sz w:val="20"/>
          <w:szCs w:val="20"/>
          <w:lang w:bidi="ar-SA"/>
        </w:rPr>
        <w:t xml:space="preserve"> Grade 3/4 toxicity was seen in 19.4%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of patients</w:t>
      </w:r>
      <w:r w:rsidRPr="00E35F4D">
        <w:rPr>
          <w:color w:val="000000"/>
          <w:sz w:val="20"/>
          <w:szCs w:val="20"/>
          <w:lang w:bidi="ar-SA"/>
        </w:rPr>
        <w:t xml:space="preserve"> and the most common non-hematological toxicity was grade 3 diarrhea (9.7% during CAPOX and 16.1% during concomitant CRT).</w:t>
      </w:r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Fernandez-</w:t>
      </w:r>
      <w:proofErr w:type="spellStart"/>
      <w:r w:rsidRPr="00E35F4D">
        <w:rPr>
          <w:rFonts w:eastAsia="OfficinaSansLT-Book"/>
          <w:color w:val="000000"/>
          <w:sz w:val="20"/>
          <w:szCs w:val="20"/>
          <w:lang w:bidi="ar-SA"/>
        </w:rPr>
        <w:t>Martos</w:t>
      </w:r>
      <w:proofErr w:type="spellEnd"/>
      <w:r w:rsidRPr="00E35F4D">
        <w:rPr>
          <w:rFonts w:eastAsia="OfficinaSansLT-Book"/>
          <w:color w:val="000000"/>
          <w:sz w:val="20"/>
          <w:szCs w:val="20"/>
          <w:lang w:bidi="ar-SA"/>
        </w:rPr>
        <w:t xml:space="preserve"> </w:t>
      </w:r>
      <w:r w:rsidRPr="00E35F4D">
        <w:rPr>
          <w:color w:val="000000"/>
          <w:sz w:val="20"/>
          <w:szCs w:val="20"/>
        </w:rPr>
        <w:t>et al.</w:t>
      </w:r>
      <w:r w:rsidRPr="00E35F4D">
        <w:rPr>
          <w:color w:val="000000"/>
          <w:sz w:val="20"/>
          <w:szCs w:val="20"/>
          <w:lang w:bidi="ar-SA"/>
        </w:rPr>
        <w:t xml:space="preserve"> </w:t>
      </w:r>
      <w:r w:rsidRPr="00E35F4D">
        <w:rPr>
          <w:b/>
          <w:bCs/>
          <w:color w:val="000000"/>
          <w:sz w:val="20"/>
          <w:szCs w:val="20"/>
          <w:lang w:bidi="ar-SA"/>
        </w:rPr>
        <w:t>[21]</w:t>
      </w:r>
      <w:r w:rsidRPr="00E35F4D">
        <w:rPr>
          <w:color w:val="000000"/>
          <w:sz w:val="20"/>
          <w:szCs w:val="20"/>
          <w:lang w:bidi="ar-SA"/>
        </w:rPr>
        <w:t xml:space="preserve"> reported that 23% of patients </w:t>
      </w:r>
      <w:r w:rsidRPr="00E35F4D">
        <w:rPr>
          <w:sz w:val="20"/>
          <w:szCs w:val="20"/>
          <w:lang w:bidi="ar-SA"/>
        </w:rPr>
        <w:t xml:space="preserve">experienced grades 3-4 toxicity, with 5% grade 3 diarrheas. </w:t>
      </w:r>
      <w:proofErr w:type="spellStart"/>
      <w:r w:rsidRPr="00E35F4D">
        <w:rPr>
          <w:sz w:val="20"/>
          <w:szCs w:val="20"/>
          <w:lang w:bidi="ar-SA"/>
        </w:rPr>
        <w:t>Koeberle</w:t>
      </w:r>
      <w:proofErr w:type="spellEnd"/>
      <w:r w:rsidRPr="00E35F4D">
        <w:rPr>
          <w:sz w:val="20"/>
          <w:szCs w:val="20"/>
        </w:rPr>
        <w:t xml:space="preserve"> et al.</w:t>
      </w:r>
      <w:r w:rsidRPr="00E35F4D">
        <w:rPr>
          <w:sz w:val="20"/>
          <w:szCs w:val="20"/>
          <w:lang w:bidi="ar-SA"/>
        </w:rPr>
        <w:t xml:space="preserve"> </w:t>
      </w:r>
      <w:r w:rsidRPr="00E35F4D">
        <w:rPr>
          <w:b/>
          <w:bCs/>
          <w:sz w:val="20"/>
          <w:szCs w:val="20"/>
          <w:lang w:bidi="ar-SA"/>
        </w:rPr>
        <w:t>[20]</w:t>
      </w:r>
      <w:r w:rsidRPr="00E35F4D">
        <w:rPr>
          <w:color w:val="000000"/>
          <w:sz w:val="20"/>
          <w:szCs w:val="20"/>
          <w:lang w:bidi="ar-SA"/>
        </w:rPr>
        <w:t xml:space="preserve"> recorded the most common non-</w:t>
      </w:r>
      <w:r w:rsidRPr="00287F1B">
        <w:rPr>
          <w:sz w:val="20"/>
          <w:szCs w:val="20"/>
          <w:lang w:bidi="ar-SA"/>
        </w:rPr>
        <w:t xml:space="preserve">hematological toxicity were grade 3 or 4 diarrhea (20%) (10% during induction CAPOX and 10% during CAPOX-RT) and suggested </w:t>
      </w:r>
      <w:r w:rsidR="000F6225">
        <w:rPr>
          <w:sz w:val="20"/>
          <w:szCs w:val="20"/>
          <w:lang w:bidi="ar-SA"/>
        </w:rPr>
        <w:t>an increased adverse effects of the neoadjuvant CRT with the addition of more cycles of CAPOX regimen</w:t>
      </w:r>
      <w:r w:rsidRPr="00287F1B">
        <w:rPr>
          <w:sz w:val="20"/>
          <w:szCs w:val="20"/>
          <w:lang w:bidi="ar-SA"/>
        </w:rPr>
        <w:t xml:space="preserve">. </w:t>
      </w:r>
      <w:proofErr w:type="spellStart"/>
      <w:r w:rsidRPr="00287F1B">
        <w:rPr>
          <w:sz w:val="20"/>
          <w:szCs w:val="20"/>
          <w:lang w:bidi="ar-SA"/>
        </w:rPr>
        <w:t>Schou</w:t>
      </w:r>
      <w:proofErr w:type="spellEnd"/>
      <w:r w:rsidRPr="00287F1B">
        <w:rPr>
          <w:sz w:val="20"/>
          <w:szCs w:val="20"/>
        </w:rPr>
        <w:t xml:space="preserve"> et al.</w:t>
      </w:r>
      <w:r w:rsidRPr="00287F1B">
        <w:rPr>
          <w:sz w:val="20"/>
          <w:szCs w:val="20"/>
          <w:lang w:bidi="ar-SA"/>
        </w:rPr>
        <w:t xml:space="preserve"> </w:t>
      </w:r>
      <w:r w:rsidRPr="00287F1B">
        <w:rPr>
          <w:b/>
          <w:bCs/>
          <w:sz w:val="20"/>
          <w:szCs w:val="20"/>
          <w:lang w:bidi="ar-SA"/>
        </w:rPr>
        <w:t>[19]</w:t>
      </w:r>
      <w:r w:rsidRPr="00287F1B">
        <w:rPr>
          <w:sz w:val="20"/>
          <w:szCs w:val="20"/>
          <w:lang w:bidi="ar-SA"/>
        </w:rPr>
        <w:t xml:space="preserve"> found that ≥grade 3 toxicity was not</w:t>
      </w:r>
      <w:r w:rsidR="000F6225">
        <w:rPr>
          <w:sz w:val="20"/>
          <w:szCs w:val="20"/>
          <w:lang w:bidi="ar-SA"/>
        </w:rPr>
        <w:t>iced in 18% of patients, and ≥</w:t>
      </w:r>
      <w:r w:rsidRPr="00287F1B">
        <w:rPr>
          <w:sz w:val="20"/>
          <w:szCs w:val="20"/>
          <w:lang w:bidi="ar-SA"/>
        </w:rPr>
        <w:t>grade 3 diarrhea was observed in 7% of patients during induction CT and in 5% during CRT.</w:t>
      </w:r>
    </w:p>
    <w:p w:rsidR="00287F1B" w:rsidRPr="00287F1B" w:rsidRDefault="00287F1B" w:rsidP="0050654B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87F1B">
        <w:rPr>
          <w:sz w:val="20"/>
          <w:szCs w:val="20"/>
          <w:lang w:bidi="ar-SA"/>
        </w:rPr>
        <w:t xml:space="preserve">In conclusion, our results demonstrated that induction CT with CAPOX followed by </w:t>
      </w:r>
      <w:r w:rsidRPr="00287F1B">
        <w:rPr>
          <w:sz w:val="20"/>
          <w:szCs w:val="20"/>
        </w:rPr>
        <w:t>concomitant</w:t>
      </w:r>
      <w:r w:rsidRPr="00287F1B">
        <w:rPr>
          <w:sz w:val="20"/>
          <w:szCs w:val="20"/>
          <w:lang w:bidi="ar-SA"/>
        </w:rPr>
        <w:t xml:space="preserve"> RT plus </w:t>
      </w:r>
      <w:proofErr w:type="spellStart"/>
      <w:r w:rsidRPr="00287F1B">
        <w:rPr>
          <w:sz w:val="20"/>
          <w:szCs w:val="20"/>
          <w:lang w:bidi="ar-SA"/>
        </w:rPr>
        <w:t>capecitabine</w:t>
      </w:r>
      <w:proofErr w:type="spellEnd"/>
      <w:r w:rsidRPr="00287F1B">
        <w:rPr>
          <w:sz w:val="20"/>
          <w:szCs w:val="20"/>
          <w:lang w:bidi="ar-SA"/>
        </w:rPr>
        <w:t xml:space="preserve"> is effective with tolerable side effects. Greater exposure to systemic treatment results in </w:t>
      </w:r>
      <w:r w:rsidR="0050654B">
        <w:rPr>
          <w:sz w:val="20"/>
          <w:szCs w:val="20"/>
          <w:lang w:bidi="ar-SA"/>
        </w:rPr>
        <w:t xml:space="preserve">high </w:t>
      </w:r>
      <w:r w:rsidRPr="00287F1B">
        <w:rPr>
          <w:sz w:val="20"/>
          <w:szCs w:val="20"/>
          <w:lang w:bidi="ar-SA"/>
        </w:rPr>
        <w:t xml:space="preserve">rates of tumor </w:t>
      </w:r>
      <w:proofErr w:type="spellStart"/>
      <w:r w:rsidRPr="00287F1B">
        <w:rPr>
          <w:sz w:val="20"/>
          <w:szCs w:val="20"/>
          <w:lang w:bidi="ar-SA"/>
        </w:rPr>
        <w:t>downstaging</w:t>
      </w:r>
      <w:proofErr w:type="spellEnd"/>
      <w:r w:rsidRPr="00287F1B">
        <w:rPr>
          <w:sz w:val="20"/>
          <w:szCs w:val="20"/>
          <w:lang w:bidi="ar-SA"/>
        </w:rPr>
        <w:t xml:space="preserve">, </w:t>
      </w:r>
      <w:proofErr w:type="spellStart"/>
      <w:r w:rsidRPr="00287F1B">
        <w:rPr>
          <w:sz w:val="20"/>
          <w:szCs w:val="20"/>
          <w:lang w:bidi="ar-SA"/>
        </w:rPr>
        <w:t>pCR</w:t>
      </w:r>
      <w:proofErr w:type="spellEnd"/>
      <w:r w:rsidRPr="00287F1B">
        <w:rPr>
          <w:sz w:val="20"/>
          <w:szCs w:val="20"/>
          <w:lang w:bidi="ar-SA"/>
        </w:rPr>
        <w:t>, R0 resection</w:t>
      </w:r>
      <w:r w:rsidR="0050654B">
        <w:rPr>
          <w:sz w:val="20"/>
          <w:szCs w:val="20"/>
          <w:lang w:bidi="ar-SA"/>
        </w:rPr>
        <w:t>,</w:t>
      </w:r>
      <w:r w:rsidRPr="00287F1B">
        <w:rPr>
          <w:sz w:val="20"/>
          <w:szCs w:val="20"/>
          <w:lang w:bidi="ar-SA"/>
        </w:rPr>
        <w:t xml:space="preserve"> </w:t>
      </w:r>
      <w:r w:rsidR="0050654B" w:rsidRPr="00287F1B">
        <w:rPr>
          <w:sz w:val="20"/>
          <w:szCs w:val="20"/>
          <w:lang w:bidi="ar-SA"/>
        </w:rPr>
        <w:t xml:space="preserve">and anal sphincter </w:t>
      </w:r>
      <w:r w:rsidR="0050654B">
        <w:rPr>
          <w:sz w:val="20"/>
          <w:szCs w:val="20"/>
          <w:lang w:bidi="ar-SA"/>
        </w:rPr>
        <w:t>sparing</w:t>
      </w:r>
      <w:r w:rsidR="0050654B" w:rsidRPr="00287F1B">
        <w:rPr>
          <w:sz w:val="20"/>
          <w:szCs w:val="20"/>
          <w:lang w:bidi="ar-SA"/>
        </w:rPr>
        <w:t xml:space="preserve"> </w:t>
      </w:r>
      <w:r w:rsidRPr="00287F1B">
        <w:rPr>
          <w:sz w:val="20"/>
          <w:szCs w:val="20"/>
          <w:lang w:bidi="ar-SA"/>
        </w:rPr>
        <w:t xml:space="preserve">in LARC </w:t>
      </w:r>
      <w:r w:rsidRPr="00287F1B">
        <w:rPr>
          <w:sz w:val="20"/>
          <w:szCs w:val="20"/>
          <w:lang w:bidi="ar-SA"/>
        </w:rPr>
        <w:lastRenderedPageBreak/>
        <w:t>patients. Additional larger studies of this approach to investigate more optimal regimens are needed.</w:t>
      </w:r>
    </w:p>
    <w:p w:rsidR="00491C76" w:rsidRPr="00287F1B" w:rsidRDefault="00491C76" w:rsidP="002B292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D6537E" w:rsidRPr="00E35F4D" w:rsidRDefault="00D6537E" w:rsidP="002B2928">
      <w:pPr>
        <w:autoSpaceDE w:val="0"/>
        <w:autoSpaceDN w:val="0"/>
        <w:adjustRightInd w:val="0"/>
        <w:snapToGrid w:val="0"/>
        <w:jc w:val="both"/>
        <w:rPr>
          <w:rFonts w:eastAsia="Times New Roman+FPEF"/>
          <w:color w:val="000000"/>
          <w:sz w:val="20"/>
          <w:szCs w:val="20"/>
          <w:lang w:bidi="ar-SA"/>
        </w:rPr>
      </w:pPr>
      <w:r w:rsidRPr="00E35F4D">
        <w:rPr>
          <w:rFonts w:eastAsia="Times New Roman Bold+FPEF"/>
          <w:b/>
          <w:bCs/>
          <w:color w:val="000000"/>
          <w:sz w:val="20"/>
          <w:szCs w:val="20"/>
          <w:lang w:bidi="ar-SA"/>
        </w:rPr>
        <w:t xml:space="preserve">5. Conflict of Interest: </w:t>
      </w:r>
      <w:r w:rsidRPr="00E35F4D">
        <w:rPr>
          <w:rFonts w:eastAsia="Times New Roman+FPEF"/>
          <w:color w:val="000000"/>
          <w:sz w:val="20"/>
          <w:szCs w:val="20"/>
          <w:lang w:bidi="ar-SA"/>
        </w:rPr>
        <w:t>None</w:t>
      </w:r>
    </w:p>
    <w:p w:rsidR="00D6537E" w:rsidRPr="00E35F4D" w:rsidRDefault="00D6537E" w:rsidP="002B2928">
      <w:pPr>
        <w:autoSpaceDE w:val="0"/>
        <w:autoSpaceDN w:val="0"/>
        <w:adjustRightInd w:val="0"/>
        <w:snapToGrid w:val="0"/>
        <w:ind w:firstLine="425"/>
        <w:jc w:val="both"/>
        <w:rPr>
          <w:rFonts w:eastAsia="Times New Roman Bold+FPEF"/>
          <w:b/>
          <w:bCs/>
          <w:color w:val="000000"/>
          <w:sz w:val="20"/>
          <w:szCs w:val="20"/>
          <w:lang w:bidi="ar-SA"/>
        </w:rPr>
      </w:pPr>
    </w:p>
    <w:p w:rsidR="002B2928" w:rsidRPr="00E35F4D" w:rsidRDefault="00D57AE4" w:rsidP="00D57AE4">
      <w:pPr>
        <w:snapToGri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287F1B">
        <w:rPr>
          <w:b/>
          <w:bCs/>
          <w:sz w:val="20"/>
          <w:szCs w:val="20"/>
        </w:rPr>
        <w:t xml:space="preserve">. </w:t>
      </w:r>
      <w:r w:rsidR="00BD3FF3" w:rsidRPr="00E35F4D">
        <w:rPr>
          <w:b/>
          <w:bCs/>
          <w:sz w:val="20"/>
          <w:szCs w:val="20"/>
        </w:rPr>
        <w:t>References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B</w:t>
      </w:r>
      <w:r w:rsidR="008B54A8" w:rsidRPr="00E35F4D">
        <w:rPr>
          <w:sz w:val="20"/>
          <w:szCs w:val="20"/>
          <w:lang w:bidi="ar-SA"/>
        </w:rPr>
        <w:t>rown</w:t>
      </w:r>
      <w:r w:rsidR="005352D5" w:rsidRPr="00E35F4D">
        <w:rPr>
          <w:sz w:val="20"/>
          <w:szCs w:val="20"/>
          <w:lang w:bidi="ar-SA"/>
        </w:rPr>
        <w:t xml:space="preserve"> G</w:t>
      </w:r>
      <w:r w:rsidR="00A40C88" w:rsidRPr="00E35F4D">
        <w:rPr>
          <w:sz w:val="20"/>
          <w:szCs w:val="20"/>
          <w:lang w:bidi="ar-SA"/>
        </w:rPr>
        <w:t>:</w:t>
      </w:r>
      <w:r w:rsidR="008B54A8" w:rsidRPr="00E35F4D">
        <w:rPr>
          <w:sz w:val="20"/>
          <w:szCs w:val="20"/>
          <w:lang w:bidi="ar-SA"/>
        </w:rPr>
        <w:t xml:space="preserve"> Diagnostic accuracy of preoperative magnetic</w:t>
      </w:r>
      <w:r w:rsidR="005352D5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resonance imaging in predicting curative resection of rectal</w:t>
      </w:r>
      <w:r w:rsidR="005352D5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cancer: prospective observational study</w:t>
      </w:r>
      <w:r w:rsidR="002160E9" w:rsidRPr="00E35F4D">
        <w:rPr>
          <w:sz w:val="20"/>
          <w:szCs w:val="20"/>
          <w:lang w:bidi="ar-SA"/>
        </w:rPr>
        <w:t xml:space="preserve">. </w:t>
      </w:r>
      <w:r w:rsidR="008B54A8" w:rsidRPr="00E35F4D">
        <w:rPr>
          <w:sz w:val="20"/>
          <w:szCs w:val="20"/>
          <w:lang w:bidi="ar-SA"/>
        </w:rPr>
        <w:t>BMJ</w:t>
      </w:r>
      <w:r w:rsidR="00935A1F" w:rsidRPr="00E35F4D">
        <w:rPr>
          <w:sz w:val="20"/>
          <w:szCs w:val="20"/>
          <w:lang w:bidi="ar-SA"/>
        </w:rPr>
        <w:t>,</w:t>
      </w:r>
      <w:r w:rsidR="00BC6D02" w:rsidRPr="00E35F4D">
        <w:rPr>
          <w:sz w:val="20"/>
          <w:szCs w:val="20"/>
          <w:lang w:bidi="ar-SA"/>
        </w:rPr>
        <w:t xml:space="preserve"> </w:t>
      </w:r>
      <w:r w:rsidR="005352D5" w:rsidRPr="00E35F4D">
        <w:rPr>
          <w:sz w:val="20"/>
          <w:szCs w:val="20"/>
          <w:lang w:bidi="ar-SA"/>
        </w:rPr>
        <w:t>2006</w:t>
      </w:r>
      <w:r w:rsidR="00E465C7" w:rsidRPr="00E35F4D">
        <w:rPr>
          <w:sz w:val="20"/>
          <w:szCs w:val="20"/>
          <w:lang w:bidi="ar-SA"/>
        </w:rPr>
        <w:t xml:space="preserve">; </w:t>
      </w:r>
      <w:r w:rsidR="008B54A8" w:rsidRPr="00E35F4D">
        <w:rPr>
          <w:sz w:val="20"/>
          <w:szCs w:val="20"/>
          <w:lang w:bidi="ar-SA"/>
        </w:rPr>
        <w:t>333</w:t>
      </w:r>
      <w:r w:rsidR="00BC6D02" w:rsidRPr="00E35F4D">
        <w:rPr>
          <w:sz w:val="20"/>
          <w:szCs w:val="20"/>
          <w:lang w:bidi="ar-SA"/>
        </w:rPr>
        <w:t>(</w:t>
      </w:r>
      <w:r w:rsidR="008B54A8" w:rsidRPr="00E35F4D">
        <w:rPr>
          <w:sz w:val="20"/>
          <w:szCs w:val="20"/>
          <w:lang w:bidi="ar-SA"/>
        </w:rPr>
        <w:t>7572</w:t>
      </w:r>
      <w:r w:rsidR="00E465C7" w:rsidRPr="00E35F4D">
        <w:rPr>
          <w:sz w:val="20"/>
          <w:szCs w:val="20"/>
          <w:lang w:bidi="ar-SA"/>
        </w:rPr>
        <w:t>):</w:t>
      </w:r>
      <w:r w:rsidR="008B54A8" w:rsidRPr="00E35F4D">
        <w:rPr>
          <w:sz w:val="20"/>
          <w:szCs w:val="20"/>
          <w:lang w:bidi="ar-SA"/>
        </w:rPr>
        <w:t xml:space="preserve"> 779–82</w:t>
      </w:r>
      <w:r w:rsidR="00E465C7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935A1F" w:rsidRPr="00E35F4D">
        <w:rPr>
          <w:color w:val="000000"/>
          <w:sz w:val="20"/>
          <w:szCs w:val="20"/>
        </w:rPr>
        <w:t>ödel</w:t>
      </w:r>
      <w:proofErr w:type="spellEnd"/>
      <w:r w:rsidR="00935A1F" w:rsidRPr="00E35F4D">
        <w:rPr>
          <w:color w:val="000000"/>
          <w:sz w:val="20"/>
          <w:szCs w:val="20"/>
        </w:rPr>
        <w:t xml:space="preserve"> C,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r w:rsidR="00935A1F" w:rsidRPr="00E35F4D">
        <w:rPr>
          <w:color w:val="000000"/>
          <w:sz w:val="20"/>
          <w:szCs w:val="20"/>
        </w:rPr>
        <w:t>Arnold D,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r w:rsidR="00935A1F" w:rsidRPr="00E35F4D">
        <w:rPr>
          <w:color w:val="000000"/>
          <w:sz w:val="20"/>
          <w:szCs w:val="20"/>
        </w:rPr>
        <w:t>Becker H,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935A1F" w:rsidRPr="00E35F4D">
        <w:rPr>
          <w:color w:val="000000"/>
          <w:sz w:val="20"/>
          <w:szCs w:val="20"/>
        </w:rPr>
        <w:t>Fietkau</w:t>
      </w:r>
      <w:proofErr w:type="spellEnd"/>
      <w:r w:rsidR="00935A1F" w:rsidRPr="00E35F4D">
        <w:rPr>
          <w:color w:val="000000"/>
          <w:sz w:val="20"/>
          <w:szCs w:val="20"/>
        </w:rPr>
        <w:t xml:space="preserve"> R,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935A1F" w:rsidRPr="00E35F4D">
        <w:rPr>
          <w:color w:val="000000"/>
          <w:sz w:val="20"/>
          <w:szCs w:val="20"/>
        </w:rPr>
        <w:t>Ghadimi</w:t>
      </w:r>
      <w:proofErr w:type="spellEnd"/>
      <w:r w:rsidR="00935A1F" w:rsidRPr="00E35F4D">
        <w:rPr>
          <w:color w:val="000000"/>
          <w:sz w:val="20"/>
          <w:szCs w:val="20"/>
        </w:rPr>
        <w:t xml:space="preserve"> M,</w:t>
      </w:r>
      <w:r w:rsidR="00935A1F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="00935A1F" w:rsidRPr="00E35F4D">
        <w:rPr>
          <w:color w:val="000000"/>
          <w:sz w:val="20"/>
          <w:szCs w:val="20"/>
        </w:rPr>
        <w:t>Graeven</w:t>
      </w:r>
      <w:proofErr w:type="spellEnd"/>
      <w:proofErr w:type="gramEnd"/>
      <w:r w:rsidR="00935A1F" w:rsidRPr="00E35F4D">
        <w:rPr>
          <w:color w:val="000000"/>
          <w:sz w:val="20"/>
          <w:szCs w:val="20"/>
        </w:rPr>
        <w:t xml:space="preserve"> U,</w:t>
      </w:r>
      <w:r w:rsidR="00935A1F" w:rsidRPr="00E35F4D">
        <w:rPr>
          <w:rStyle w:val="apple-converted-space"/>
          <w:color w:val="000000"/>
          <w:sz w:val="20"/>
          <w:szCs w:val="20"/>
        </w:rPr>
        <w:t xml:space="preserve"> et al.: </w:t>
      </w:r>
      <w:r w:rsidR="008B54A8" w:rsidRPr="00E35F4D">
        <w:rPr>
          <w:sz w:val="20"/>
          <w:szCs w:val="20"/>
          <w:lang w:bidi="ar-SA"/>
        </w:rPr>
        <w:t>Induction chemotherapy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before chemoradiotherapy and surgery for locally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>advanced rectal cancer</w:t>
      </w:r>
      <w:r w:rsidR="00935A1F" w:rsidRPr="00E35F4D">
        <w:rPr>
          <w:sz w:val="20"/>
          <w:szCs w:val="20"/>
          <w:lang w:bidi="ar-SA"/>
        </w:rPr>
        <w:t>:</w:t>
      </w:r>
      <w:r w:rsidR="008B54A8" w:rsidRPr="00E35F4D">
        <w:rPr>
          <w:sz w:val="20"/>
          <w:szCs w:val="20"/>
          <w:lang w:bidi="ar-SA"/>
        </w:rPr>
        <w:t xml:space="preserve"> </w:t>
      </w:r>
      <w:r w:rsidR="00935A1F" w:rsidRPr="00E35F4D">
        <w:rPr>
          <w:sz w:val="20"/>
          <w:szCs w:val="20"/>
          <w:lang w:bidi="ar-SA"/>
        </w:rPr>
        <w:t>I</w:t>
      </w:r>
      <w:r w:rsidR="008B54A8" w:rsidRPr="00E35F4D">
        <w:rPr>
          <w:sz w:val="20"/>
          <w:szCs w:val="20"/>
          <w:lang w:bidi="ar-SA"/>
        </w:rPr>
        <w:t>s it time for a randomized phase</w:t>
      </w:r>
      <w:r w:rsidR="00BC6D02" w:rsidRPr="00E35F4D">
        <w:rPr>
          <w:sz w:val="20"/>
          <w:szCs w:val="20"/>
          <w:lang w:bidi="ar-SA"/>
        </w:rPr>
        <w:t xml:space="preserve"> </w:t>
      </w:r>
      <w:r w:rsidR="008B54A8" w:rsidRPr="00E35F4D">
        <w:rPr>
          <w:sz w:val="20"/>
          <w:szCs w:val="20"/>
          <w:lang w:bidi="ar-SA"/>
        </w:rPr>
        <w:t xml:space="preserve">III trial? </w:t>
      </w:r>
      <w:proofErr w:type="spellStart"/>
      <w:r w:rsidR="008B54A8" w:rsidRPr="00E35F4D">
        <w:rPr>
          <w:sz w:val="20"/>
          <w:szCs w:val="20"/>
          <w:lang w:bidi="ar-SA"/>
        </w:rPr>
        <w:t>Strahlenther</w:t>
      </w:r>
      <w:proofErr w:type="spellEnd"/>
      <w:r w:rsidR="008B54A8" w:rsidRPr="00E35F4D">
        <w:rPr>
          <w:sz w:val="20"/>
          <w:szCs w:val="20"/>
          <w:lang w:bidi="ar-SA"/>
        </w:rPr>
        <w:t xml:space="preserve"> </w:t>
      </w:r>
      <w:proofErr w:type="spellStart"/>
      <w:r w:rsidR="008B54A8" w:rsidRPr="00E35F4D">
        <w:rPr>
          <w:sz w:val="20"/>
          <w:szCs w:val="20"/>
          <w:lang w:bidi="ar-SA"/>
        </w:rPr>
        <w:t>Onkol</w:t>
      </w:r>
      <w:proofErr w:type="spellEnd"/>
      <w:r w:rsidR="008B54A8" w:rsidRPr="00E35F4D">
        <w:rPr>
          <w:sz w:val="20"/>
          <w:szCs w:val="20"/>
          <w:lang w:bidi="ar-SA"/>
        </w:rPr>
        <w:t>,</w:t>
      </w:r>
      <w:r w:rsidR="00BC6D02" w:rsidRPr="00E35F4D">
        <w:rPr>
          <w:sz w:val="20"/>
          <w:szCs w:val="20"/>
          <w:lang w:bidi="ar-SA"/>
        </w:rPr>
        <w:t xml:space="preserve"> 2010</w:t>
      </w:r>
      <w:r w:rsidR="00935A1F" w:rsidRPr="00E35F4D">
        <w:rPr>
          <w:sz w:val="20"/>
          <w:szCs w:val="20"/>
          <w:lang w:bidi="ar-SA"/>
        </w:rPr>
        <w:t>;</w:t>
      </w:r>
      <w:r w:rsidR="008B54A8" w:rsidRPr="00E35F4D">
        <w:rPr>
          <w:sz w:val="20"/>
          <w:szCs w:val="20"/>
          <w:lang w:bidi="ar-SA"/>
        </w:rPr>
        <w:t xml:space="preserve"> </w:t>
      </w:r>
      <w:r w:rsidR="00935A1F" w:rsidRPr="00E35F4D">
        <w:rPr>
          <w:sz w:val="20"/>
          <w:szCs w:val="20"/>
          <w:lang w:bidi="ar-SA"/>
        </w:rPr>
        <w:t>186(12): 658-64</w:t>
      </w:r>
      <w:r w:rsidR="008B54A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S</w:t>
      </w:r>
      <w:r w:rsidR="008370A1" w:rsidRPr="00E35F4D">
        <w:rPr>
          <w:sz w:val="20"/>
          <w:szCs w:val="20"/>
          <w:lang w:bidi="ar-SA"/>
        </w:rPr>
        <w:t>auer</w:t>
      </w:r>
      <w:r w:rsidR="00C02C1F" w:rsidRPr="00E35F4D">
        <w:rPr>
          <w:sz w:val="20"/>
          <w:szCs w:val="20"/>
          <w:lang w:bidi="ar-SA"/>
        </w:rPr>
        <w:t xml:space="preserve"> </w:t>
      </w:r>
      <w:r w:rsidR="008370A1" w:rsidRPr="00E35F4D">
        <w:rPr>
          <w:sz w:val="20"/>
          <w:szCs w:val="20"/>
          <w:lang w:bidi="ar-SA"/>
        </w:rPr>
        <w:t xml:space="preserve">R, Becker H, </w:t>
      </w:r>
      <w:proofErr w:type="spellStart"/>
      <w:r w:rsidR="008370A1" w:rsidRPr="00E35F4D">
        <w:rPr>
          <w:sz w:val="20"/>
          <w:szCs w:val="20"/>
          <w:lang w:bidi="ar-SA"/>
        </w:rPr>
        <w:t>Hohenberger</w:t>
      </w:r>
      <w:proofErr w:type="spellEnd"/>
      <w:r w:rsidR="008370A1" w:rsidRPr="00E35F4D">
        <w:rPr>
          <w:sz w:val="20"/>
          <w:szCs w:val="20"/>
          <w:lang w:bidi="ar-SA"/>
        </w:rPr>
        <w:t xml:space="preserve"> W</w:t>
      </w:r>
      <w:r w:rsidR="00451314" w:rsidRPr="00E35F4D">
        <w:rPr>
          <w:sz w:val="20"/>
          <w:szCs w:val="20"/>
          <w:lang w:bidi="ar-SA"/>
        </w:rPr>
        <w:t>,</w:t>
      </w:r>
      <w:r w:rsidR="008370A1" w:rsidRPr="00E35F4D">
        <w:rPr>
          <w:sz w:val="20"/>
          <w:szCs w:val="20"/>
          <w:lang w:bidi="ar-SA"/>
        </w:rPr>
        <w:t xml:space="preserve"> </w:t>
      </w:r>
      <w:proofErr w:type="spellStart"/>
      <w:r w:rsidR="00451314" w:rsidRPr="00E35F4D">
        <w:rPr>
          <w:color w:val="000000"/>
          <w:sz w:val="20"/>
          <w:szCs w:val="20"/>
        </w:rPr>
        <w:t>Rödel</w:t>
      </w:r>
      <w:proofErr w:type="spellEnd"/>
      <w:r w:rsidR="00451314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451314" w:rsidRPr="00E35F4D">
        <w:rPr>
          <w:color w:val="000000"/>
          <w:sz w:val="20"/>
          <w:szCs w:val="20"/>
        </w:rPr>
        <w:t>Wittekind</w:t>
      </w:r>
      <w:proofErr w:type="spellEnd"/>
      <w:r w:rsidR="00451314" w:rsidRPr="00E35F4D">
        <w:rPr>
          <w:color w:val="000000"/>
          <w:sz w:val="20"/>
          <w:szCs w:val="20"/>
        </w:rPr>
        <w:t xml:space="preserve"> C,</w:t>
      </w:r>
      <w:r w:rsidR="00451314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451314" w:rsidRPr="00E35F4D">
        <w:rPr>
          <w:color w:val="000000"/>
          <w:sz w:val="20"/>
          <w:szCs w:val="20"/>
        </w:rPr>
        <w:t>Fietkau</w:t>
      </w:r>
      <w:proofErr w:type="spellEnd"/>
      <w:r w:rsidR="00451314" w:rsidRPr="00E35F4D">
        <w:rPr>
          <w:color w:val="000000"/>
          <w:sz w:val="20"/>
          <w:szCs w:val="20"/>
        </w:rPr>
        <w:t xml:space="preserve"> R,</w:t>
      </w:r>
      <w:r w:rsidR="00451314" w:rsidRPr="00E35F4D">
        <w:rPr>
          <w:rStyle w:val="apple-converted-space"/>
          <w:color w:val="000000"/>
          <w:sz w:val="20"/>
          <w:szCs w:val="20"/>
        </w:rPr>
        <w:t> </w:t>
      </w:r>
      <w:r w:rsidR="008370A1" w:rsidRPr="00E35F4D">
        <w:rPr>
          <w:sz w:val="20"/>
          <w:szCs w:val="20"/>
          <w:lang w:bidi="ar-SA"/>
        </w:rPr>
        <w:t>et al. Preoperative versus postoperative chemoradiotherapy for rectal cancer. N</w:t>
      </w:r>
      <w:r w:rsidR="00451314" w:rsidRPr="00E35F4D">
        <w:rPr>
          <w:sz w:val="20"/>
          <w:szCs w:val="20"/>
          <w:lang w:bidi="ar-SA"/>
        </w:rPr>
        <w:t xml:space="preserve"> </w:t>
      </w:r>
      <w:proofErr w:type="spellStart"/>
      <w:r w:rsidR="008370A1" w:rsidRPr="00E35F4D">
        <w:rPr>
          <w:sz w:val="20"/>
          <w:szCs w:val="20"/>
          <w:lang w:bidi="ar-SA"/>
        </w:rPr>
        <w:t>Engl</w:t>
      </w:r>
      <w:proofErr w:type="spellEnd"/>
      <w:r w:rsidR="008370A1" w:rsidRPr="00E35F4D">
        <w:rPr>
          <w:sz w:val="20"/>
          <w:szCs w:val="20"/>
          <w:lang w:bidi="ar-SA"/>
        </w:rPr>
        <w:t xml:space="preserve"> J Med</w:t>
      </w:r>
      <w:r w:rsidR="00451314" w:rsidRPr="00E35F4D">
        <w:rPr>
          <w:sz w:val="20"/>
          <w:szCs w:val="20"/>
          <w:lang w:bidi="ar-SA"/>
        </w:rPr>
        <w:t xml:space="preserve">, </w:t>
      </w:r>
      <w:r w:rsidR="008370A1" w:rsidRPr="00E35F4D">
        <w:rPr>
          <w:sz w:val="20"/>
          <w:szCs w:val="20"/>
          <w:lang w:bidi="ar-SA"/>
        </w:rPr>
        <w:t>2004; 351(17):</w:t>
      </w:r>
      <w:r w:rsidR="00935A1F" w:rsidRPr="00E35F4D">
        <w:rPr>
          <w:sz w:val="20"/>
          <w:szCs w:val="20"/>
          <w:lang w:bidi="ar-SA"/>
        </w:rPr>
        <w:t xml:space="preserve"> </w:t>
      </w:r>
      <w:r w:rsidR="008370A1" w:rsidRPr="00E35F4D">
        <w:rPr>
          <w:sz w:val="20"/>
          <w:szCs w:val="20"/>
          <w:lang w:bidi="ar-SA"/>
        </w:rPr>
        <w:t>1731–</w:t>
      </w:r>
      <w:r w:rsidR="00451314" w:rsidRPr="00E35F4D">
        <w:rPr>
          <w:sz w:val="20"/>
          <w:szCs w:val="20"/>
          <w:lang w:bidi="ar-SA"/>
        </w:rPr>
        <w:t>40</w:t>
      </w:r>
      <w:r w:rsidR="008370A1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A40C88" w:rsidRPr="00E35F4D">
        <w:rPr>
          <w:color w:val="000000"/>
          <w:sz w:val="20"/>
          <w:szCs w:val="20"/>
        </w:rPr>
        <w:t>oh</w:t>
      </w:r>
      <w:proofErr w:type="spellEnd"/>
      <w:r w:rsidR="00A40C88" w:rsidRPr="00E35F4D">
        <w:rPr>
          <w:color w:val="000000"/>
          <w:sz w:val="20"/>
          <w:szCs w:val="20"/>
        </w:rPr>
        <w:t xml:space="preserve"> MS,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Colangelo</w:t>
      </w:r>
      <w:proofErr w:type="spellEnd"/>
      <w:r w:rsidR="00A40C88" w:rsidRPr="00E35F4D">
        <w:rPr>
          <w:color w:val="000000"/>
          <w:sz w:val="20"/>
          <w:szCs w:val="20"/>
        </w:rPr>
        <w:t xml:space="preserve"> LH,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r w:rsidR="00A40C88" w:rsidRPr="00E35F4D">
        <w:rPr>
          <w:color w:val="000000"/>
          <w:sz w:val="20"/>
          <w:szCs w:val="20"/>
        </w:rPr>
        <w:t>O'Connell MJ,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Yothers</w:t>
      </w:r>
      <w:proofErr w:type="spellEnd"/>
      <w:r w:rsidR="00A40C88" w:rsidRPr="00E35F4D">
        <w:rPr>
          <w:color w:val="000000"/>
          <w:sz w:val="20"/>
          <w:szCs w:val="20"/>
        </w:rPr>
        <w:t xml:space="preserve"> G,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A40C88" w:rsidRPr="00E35F4D">
        <w:rPr>
          <w:color w:val="000000"/>
          <w:sz w:val="20"/>
          <w:szCs w:val="20"/>
        </w:rPr>
        <w:t>Deutsch M,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gramStart"/>
      <w:r w:rsidR="00A40C88" w:rsidRPr="00E35F4D">
        <w:rPr>
          <w:color w:val="000000"/>
          <w:sz w:val="20"/>
          <w:szCs w:val="20"/>
        </w:rPr>
        <w:t>Allegra</w:t>
      </w:r>
      <w:proofErr w:type="gramEnd"/>
      <w:r w:rsidR="00A40C88" w:rsidRPr="00E35F4D">
        <w:rPr>
          <w:color w:val="000000"/>
          <w:sz w:val="20"/>
          <w:szCs w:val="20"/>
        </w:rPr>
        <w:t xml:space="preserve"> CJ,</w:t>
      </w:r>
      <w:r w:rsidR="00A40C88" w:rsidRPr="00E35F4D">
        <w:rPr>
          <w:rStyle w:val="apple-converted-space"/>
          <w:color w:val="000000"/>
          <w:sz w:val="20"/>
          <w:szCs w:val="20"/>
        </w:rPr>
        <w:t xml:space="preserve"> et al.: </w:t>
      </w:r>
      <w:r w:rsidR="00F36342" w:rsidRPr="00E35F4D">
        <w:rPr>
          <w:sz w:val="20"/>
          <w:szCs w:val="20"/>
          <w:lang w:bidi="ar-SA"/>
        </w:rPr>
        <w:t xml:space="preserve">Preoperative multimodality therapy improves disease-free survival in patients with carcinoma of the rectum: NSABP R-03. J </w:t>
      </w:r>
      <w:proofErr w:type="spellStart"/>
      <w:r w:rsidR="00F36342" w:rsidRPr="00E35F4D">
        <w:rPr>
          <w:sz w:val="20"/>
          <w:szCs w:val="20"/>
          <w:lang w:bidi="ar-SA"/>
        </w:rPr>
        <w:t>Clin</w:t>
      </w:r>
      <w:proofErr w:type="spellEnd"/>
      <w:r w:rsidR="00F36342" w:rsidRPr="00E35F4D">
        <w:rPr>
          <w:sz w:val="20"/>
          <w:szCs w:val="20"/>
          <w:lang w:bidi="ar-SA"/>
        </w:rPr>
        <w:t xml:space="preserve"> </w:t>
      </w:r>
      <w:proofErr w:type="spellStart"/>
      <w:r w:rsidR="00F36342" w:rsidRPr="00E35F4D">
        <w:rPr>
          <w:sz w:val="20"/>
          <w:szCs w:val="20"/>
          <w:lang w:bidi="ar-SA"/>
        </w:rPr>
        <w:t>Oncol</w:t>
      </w:r>
      <w:proofErr w:type="spellEnd"/>
      <w:r w:rsidR="00935A1F" w:rsidRPr="00E35F4D">
        <w:rPr>
          <w:sz w:val="20"/>
          <w:szCs w:val="20"/>
          <w:lang w:bidi="ar-SA"/>
        </w:rPr>
        <w:t>,</w:t>
      </w:r>
      <w:r w:rsidR="00F36342" w:rsidRPr="00E35F4D">
        <w:rPr>
          <w:sz w:val="20"/>
          <w:szCs w:val="20"/>
          <w:lang w:bidi="ar-SA"/>
        </w:rPr>
        <w:t xml:space="preserve"> 2009; 27(31): 5124–30.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color w:val="000000"/>
          <w:sz w:val="20"/>
          <w:szCs w:val="20"/>
        </w:rPr>
        <w:t>G</w:t>
      </w:r>
      <w:r w:rsidR="00A40C88" w:rsidRPr="00E35F4D">
        <w:rPr>
          <w:color w:val="000000"/>
          <w:sz w:val="20"/>
          <w:szCs w:val="20"/>
        </w:rPr>
        <w:t>érard JP,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r w:rsidR="00A40C88" w:rsidRPr="00E35F4D">
        <w:rPr>
          <w:color w:val="000000"/>
          <w:sz w:val="20"/>
          <w:szCs w:val="20"/>
        </w:rPr>
        <w:t>Conroy T,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Bonnetain</w:t>
      </w:r>
      <w:proofErr w:type="spellEnd"/>
      <w:r w:rsidR="00A40C88" w:rsidRPr="00E35F4D">
        <w:rPr>
          <w:color w:val="000000"/>
          <w:sz w:val="20"/>
          <w:szCs w:val="20"/>
        </w:rPr>
        <w:t xml:space="preserve"> F,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Bouché</w:t>
      </w:r>
      <w:proofErr w:type="spellEnd"/>
      <w:r w:rsidR="00A40C88" w:rsidRPr="00E35F4D">
        <w:rPr>
          <w:color w:val="000000"/>
          <w:sz w:val="20"/>
          <w:szCs w:val="20"/>
        </w:rPr>
        <w:t xml:space="preserve"> O,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A40C88" w:rsidRPr="00E35F4D">
        <w:rPr>
          <w:color w:val="000000"/>
          <w:sz w:val="20"/>
          <w:szCs w:val="20"/>
        </w:rPr>
        <w:t>Chapet</w:t>
      </w:r>
      <w:proofErr w:type="spellEnd"/>
      <w:r w:rsidR="00A40C88" w:rsidRPr="00E35F4D">
        <w:rPr>
          <w:color w:val="000000"/>
          <w:sz w:val="20"/>
          <w:szCs w:val="20"/>
        </w:rPr>
        <w:t xml:space="preserve"> O,</w:t>
      </w:r>
      <w:r w:rsidR="00A40C88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A40C88" w:rsidRPr="00E35F4D">
        <w:rPr>
          <w:color w:val="000000"/>
          <w:sz w:val="20"/>
          <w:szCs w:val="20"/>
        </w:rPr>
        <w:t>Closon-Dejardin</w:t>
      </w:r>
      <w:proofErr w:type="spellEnd"/>
      <w:r w:rsidR="00A40C88" w:rsidRPr="00E35F4D">
        <w:rPr>
          <w:color w:val="000000"/>
          <w:sz w:val="20"/>
          <w:szCs w:val="20"/>
        </w:rPr>
        <w:t xml:space="preserve"> MT, et al.:</w:t>
      </w:r>
      <w:r w:rsidR="002B6CCB" w:rsidRPr="00E35F4D">
        <w:rPr>
          <w:sz w:val="20"/>
          <w:szCs w:val="20"/>
          <w:lang w:bidi="ar-SA"/>
        </w:rPr>
        <w:t xml:space="preserve"> Preoperative radiotherapy with or without concurrent fluorouracil and </w:t>
      </w:r>
      <w:proofErr w:type="spellStart"/>
      <w:r w:rsidR="002B6CCB" w:rsidRPr="00E35F4D">
        <w:rPr>
          <w:sz w:val="20"/>
          <w:szCs w:val="20"/>
          <w:lang w:bidi="ar-SA"/>
        </w:rPr>
        <w:t>leucovorin</w:t>
      </w:r>
      <w:proofErr w:type="spellEnd"/>
      <w:r w:rsidR="002B6CCB" w:rsidRPr="00E35F4D">
        <w:rPr>
          <w:sz w:val="20"/>
          <w:szCs w:val="20"/>
          <w:lang w:bidi="ar-SA"/>
        </w:rPr>
        <w:t xml:space="preserve"> in T3-4 rectal cancers: </w:t>
      </w:r>
      <w:r w:rsidR="00A40C88" w:rsidRPr="00E35F4D">
        <w:rPr>
          <w:sz w:val="20"/>
          <w:szCs w:val="20"/>
          <w:lang w:bidi="ar-SA"/>
        </w:rPr>
        <w:t>R</w:t>
      </w:r>
      <w:r w:rsidR="002B6CCB" w:rsidRPr="00E35F4D">
        <w:rPr>
          <w:sz w:val="20"/>
          <w:szCs w:val="20"/>
          <w:lang w:bidi="ar-SA"/>
        </w:rPr>
        <w:t xml:space="preserve">esults of FFCD 9203. J </w:t>
      </w:r>
      <w:proofErr w:type="spellStart"/>
      <w:r w:rsidR="002B6CCB" w:rsidRPr="00E35F4D">
        <w:rPr>
          <w:sz w:val="20"/>
          <w:szCs w:val="20"/>
          <w:lang w:bidi="ar-SA"/>
        </w:rPr>
        <w:t>Clin</w:t>
      </w:r>
      <w:proofErr w:type="spellEnd"/>
      <w:r w:rsidR="002B6CCB" w:rsidRPr="00E35F4D">
        <w:rPr>
          <w:sz w:val="20"/>
          <w:szCs w:val="20"/>
          <w:lang w:bidi="ar-SA"/>
        </w:rPr>
        <w:t xml:space="preserve"> </w:t>
      </w:r>
      <w:proofErr w:type="spellStart"/>
      <w:r w:rsidR="002B6CCB" w:rsidRPr="00E35F4D">
        <w:rPr>
          <w:sz w:val="20"/>
          <w:szCs w:val="20"/>
          <w:lang w:bidi="ar-SA"/>
        </w:rPr>
        <w:t>Oncol</w:t>
      </w:r>
      <w:proofErr w:type="spellEnd"/>
      <w:r w:rsidR="00A40C88" w:rsidRPr="00E35F4D">
        <w:rPr>
          <w:sz w:val="20"/>
          <w:szCs w:val="20"/>
          <w:lang w:bidi="ar-SA"/>
        </w:rPr>
        <w:t xml:space="preserve"> 2006; 24</w:t>
      </w:r>
      <w:r w:rsidR="002B6CCB" w:rsidRPr="00E35F4D">
        <w:rPr>
          <w:sz w:val="20"/>
          <w:szCs w:val="20"/>
          <w:lang w:bidi="ar-SA"/>
        </w:rPr>
        <w:t>(28): 4620–5</w:t>
      </w:r>
      <w:r w:rsidR="00445FB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color w:val="000000"/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B</w:t>
      </w:r>
      <w:r w:rsidR="008B53ED" w:rsidRPr="00E35F4D">
        <w:rPr>
          <w:color w:val="000000"/>
          <w:sz w:val="20"/>
          <w:szCs w:val="20"/>
        </w:rPr>
        <w:t>osset</w:t>
      </w:r>
      <w:proofErr w:type="spellEnd"/>
      <w:r w:rsidR="008B53ED" w:rsidRPr="00E35F4D">
        <w:rPr>
          <w:color w:val="000000"/>
          <w:sz w:val="20"/>
          <w:szCs w:val="20"/>
        </w:rPr>
        <w:t xml:space="preserve"> JF,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r w:rsidR="008B53ED" w:rsidRPr="00E35F4D">
        <w:rPr>
          <w:color w:val="000000"/>
          <w:sz w:val="20"/>
          <w:szCs w:val="20"/>
        </w:rPr>
        <w:t>Collette L,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r w:rsidR="008B53ED" w:rsidRPr="00E35F4D">
        <w:rPr>
          <w:color w:val="000000"/>
          <w:sz w:val="20"/>
          <w:szCs w:val="20"/>
        </w:rPr>
        <w:t>Calais G,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B53ED" w:rsidRPr="00E35F4D">
        <w:rPr>
          <w:color w:val="000000"/>
          <w:sz w:val="20"/>
          <w:szCs w:val="20"/>
        </w:rPr>
        <w:t>Mineur</w:t>
      </w:r>
      <w:proofErr w:type="spellEnd"/>
      <w:r w:rsidR="008B53ED" w:rsidRPr="00E35F4D">
        <w:rPr>
          <w:color w:val="000000"/>
          <w:sz w:val="20"/>
          <w:szCs w:val="20"/>
        </w:rPr>
        <w:t xml:space="preserve"> L,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B53ED" w:rsidRPr="00E35F4D">
        <w:rPr>
          <w:color w:val="000000"/>
          <w:sz w:val="20"/>
          <w:szCs w:val="20"/>
        </w:rPr>
        <w:t>Maingon</w:t>
      </w:r>
      <w:proofErr w:type="spellEnd"/>
      <w:r w:rsidR="008B53ED" w:rsidRPr="00E35F4D">
        <w:rPr>
          <w:color w:val="000000"/>
          <w:sz w:val="20"/>
          <w:szCs w:val="20"/>
        </w:rPr>
        <w:t xml:space="preserve"> P,</w:t>
      </w:r>
      <w:r w:rsidR="008B53ED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B53ED" w:rsidRPr="00E35F4D">
        <w:rPr>
          <w:color w:val="000000"/>
          <w:sz w:val="20"/>
          <w:szCs w:val="20"/>
        </w:rPr>
        <w:t>Radosevic-Jelic</w:t>
      </w:r>
      <w:proofErr w:type="spellEnd"/>
      <w:r w:rsidR="008B53ED" w:rsidRPr="00E35F4D">
        <w:rPr>
          <w:color w:val="000000"/>
          <w:sz w:val="20"/>
          <w:szCs w:val="20"/>
        </w:rPr>
        <w:t xml:space="preserve"> L,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8B53ED" w:rsidRPr="00E35F4D">
        <w:rPr>
          <w:rStyle w:val="apple-converted-space"/>
          <w:color w:val="000000"/>
          <w:sz w:val="20"/>
          <w:szCs w:val="20"/>
        </w:rPr>
        <w:t>et al.:</w:t>
      </w:r>
      <w:r w:rsidR="00445FB8" w:rsidRPr="00E35F4D">
        <w:rPr>
          <w:sz w:val="20"/>
          <w:szCs w:val="20"/>
          <w:lang w:bidi="ar-SA"/>
        </w:rPr>
        <w:t xml:space="preserve"> Chemotherapy with preoperative radiotherapy in rectal cancer. </w:t>
      </w:r>
      <w:r w:rsidR="008B53ED" w:rsidRPr="00E35F4D">
        <w:rPr>
          <w:sz w:val="20"/>
          <w:szCs w:val="20"/>
          <w:lang w:bidi="ar-SA"/>
        </w:rPr>
        <w:t xml:space="preserve">N </w:t>
      </w:r>
      <w:proofErr w:type="spellStart"/>
      <w:r w:rsidR="008B53ED" w:rsidRPr="00E35F4D">
        <w:rPr>
          <w:sz w:val="20"/>
          <w:szCs w:val="20"/>
          <w:lang w:bidi="ar-SA"/>
        </w:rPr>
        <w:t>Engl</w:t>
      </w:r>
      <w:proofErr w:type="spellEnd"/>
      <w:r w:rsidR="008B53ED" w:rsidRPr="00E35F4D">
        <w:rPr>
          <w:sz w:val="20"/>
          <w:szCs w:val="20"/>
          <w:lang w:bidi="ar-SA"/>
        </w:rPr>
        <w:t xml:space="preserve"> J Med, </w:t>
      </w:r>
      <w:r w:rsidR="00445FB8" w:rsidRPr="00E35F4D">
        <w:rPr>
          <w:sz w:val="20"/>
          <w:szCs w:val="20"/>
          <w:lang w:bidi="ar-SA"/>
        </w:rPr>
        <w:t>2006; 355</w:t>
      </w:r>
      <w:r w:rsidR="008B53ED" w:rsidRPr="00E35F4D">
        <w:rPr>
          <w:sz w:val="20"/>
          <w:szCs w:val="20"/>
          <w:lang w:bidi="ar-SA"/>
        </w:rPr>
        <w:t>(11): 1114–</w:t>
      </w:r>
      <w:r w:rsidR="00445FB8" w:rsidRPr="00E35F4D">
        <w:rPr>
          <w:sz w:val="20"/>
          <w:szCs w:val="20"/>
          <w:lang w:bidi="ar-SA"/>
        </w:rPr>
        <w:t>23.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color w:val="000000"/>
          <w:sz w:val="20"/>
          <w:szCs w:val="20"/>
        </w:rPr>
        <w:t>R</w:t>
      </w:r>
      <w:r w:rsidR="00895119" w:rsidRPr="00E35F4D">
        <w:rPr>
          <w:color w:val="000000"/>
          <w:sz w:val="20"/>
          <w:szCs w:val="20"/>
        </w:rPr>
        <w:t>ödel</w:t>
      </w:r>
      <w:proofErr w:type="spellEnd"/>
      <w:r w:rsidR="00895119" w:rsidRPr="00E35F4D">
        <w:rPr>
          <w:color w:val="000000"/>
          <w:sz w:val="20"/>
          <w:szCs w:val="20"/>
        </w:rPr>
        <w:t xml:space="preserve"> C,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95119" w:rsidRPr="00E35F4D">
        <w:rPr>
          <w:color w:val="000000"/>
          <w:sz w:val="20"/>
          <w:szCs w:val="20"/>
        </w:rPr>
        <w:t>Liersch</w:t>
      </w:r>
      <w:proofErr w:type="spellEnd"/>
      <w:r w:rsidR="00895119" w:rsidRPr="00E35F4D">
        <w:rPr>
          <w:color w:val="000000"/>
          <w:sz w:val="20"/>
          <w:szCs w:val="20"/>
        </w:rPr>
        <w:t xml:space="preserve"> T,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r w:rsidR="00895119" w:rsidRPr="00E35F4D">
        <w:rPr>
          <w:color w:val="000000"/>
          <w:sz w:val="20"/>
          <w:szCs w:val="20"/>
        </w:rPr>
        <w:t>Hermann RM,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r w:rsidR="00895119" w:rsidRPr="00E35F4D">
        <w:rPr>
          <w:color w:val="000000"/>
          <w:sz w:val="20"/>
          <w:szCs w:val="20"/>
        </w:rPr>
        <w:t>Arnold D,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895119" w:rsidRPr="00E35F4D">
        <w:rPr>
          <w:color w:val="000000"/>
          <w:sz w:val="20"/>
          <w:szCs w:val="20"/>
        </w:rPr>
        <w:t>Reese T,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proofErr w:type="gramStart"/>
      <w:r w:rsidR="00895119" w:rsidRPr="00E35F4D">
        <w:rPr>
          <w:color w:val="000000"/>
          <w:sz w:val="20"/>
          <w:szCs w:val="20"/>
        </w:rPr>
        <w:t>Hipp</w:t>
      </w:r>
      <w:proofErr w:type="spellEnd"/>
      <w:proofErr w:type="gramEnd"/>
      <w:r w:rsidR="00895119" w:rsidRPr="00E35F4D">
        <w:rPr>
          <w:color w:val="000000"/>
          <w:sz w:val="20"/>
          <w:szCs w:val="20"/>
        </w:rPr>
        <w:t xml:space="preserve"> M,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r w:rsidR="00895119" w:rsidRPr="00E35F4D">
        <w:rPr>
          <w:rStyle w:val="apple-converted-space"/>
          <w:color w:val="000000"/>
          <w:sz w:val="20"/>
          <w:szCs w:val="20"/>
        </w:rPr>
        <w:t xml:space="preserve">et al.: </w:t>
      </w:r>
      <w:r w:rsidR="00445FB8" w:rsidRPr="00E35F4D">
        <w:rPr>
          <w:sz w:val="20"/>
          <w:szCs w:val="20"/>
          <w:lang w:bidi="ar-SA"/>
        </w:rPr>
        <w:t xml:space="preserve">Multicenter phase II trial of chemoradiation with </w:t>
      </w:r>
      <w:proofErr w:type="spellStart"/>
      <w:r w:rsidR="00445FB8" w:rsidRPr="00E35F4D">
        <w:rPr>
          <w:sz w:val="20"/>
          <w:szCs w:val="20"/>
          <w:lang w:bidi="ar-SA"/>
        </w:rPr>
        <w:t>oxaliplatin</w:t>
      </w:r>
      <w:proofErr w:type="spellEnd"/>
      <w:r w:rsidR="00445FB8" w:rsidRPr="00E35F4D">
        <w:rPr>
          <w:sz w:val="20"/>
          <w:szCs w:val="20"/>
          <w:lang w:bidi="ar-SA"/>
        </w:rPr>
        <w:t xml:space="preserve"> for rectal cancer. J </w:t>
      </w:r>
      <w:proofErr w:type="spellStart"/>
      <w:r w:rsidR="00445FB8" w:rsidRPr="00E35F4D">
        <w:rPr>
          <w:sz w:val="20"/>
          <w:szCs w:val="20"/>
          <w:lang w:bidi="ar-SA"/>
        </w:rPr>
        <w:t>Clin</w:t>
      </w:r>
      <w:proofErr w:type="spellEnd"/>
      <w:r w:rsidR="00445FB8" w:rsidRPr="00E35F4D">
        <w:rPr>
          <w:sz w:val="20"/>
          <w:szCs w:val="20"/>
          <w:lang w:bidi="ar-SA"/>
        </w:rPr>
        <w:t xml:space="preserve"> </w:t>
      </w:r>
      <w:proofErr w:type="spellStart"/>
      <w:r w:rsidR="00445FB8" w:rsidRPr="00E35F4D">
        <w:rPr>
          <w:sz w:val="20"/>
          <w:szCs w:val="20"/>
          <w:lang w:bidi="ar-SA"/>
        </w:rPr>
        <w:t>Oncol</w:t>
      </w:r>
      <w:proofErr w:type="spellEnd"/>
      <w:r w:rsidR="00445FB8" w:rsidRPr="00E35F4D">
        <w:rPr>
          <w:sz w:val="20"/>
          <w:szCs w:val="20"/>
          <w:lang w:bidi="ar-SA"/>
        </w:rPr>
        <w:t xml:space="preserve"> 2007; 25(1): 110–7.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M</w:t>
      </w:r>
      <w:r w:rsidR="00F35A0F" w:rsidRPr="00E35F4D">
        <w:rPr>
          <w:sz w:val="20"/>
          <w:szCs w:val="20"/>
          <w:lang w:bidi="ar-SA"/>
        </w:rPr>
        <w:t>ilas</w:t>
      </w:r>
      <w:proofErr w:type="spellEnd"/>
      <w:r w:rsidR="00D65008" w:rsidRPr="00E35F4D">
        <w:rPr>
          <w:sz w:val="20"/>
          <w:szCs w:val="20"/>
          <w:lang w:bidi="ar-SA"/>
        </w:rPr>
        <w:t xml:space="preserve"> L</w:t>
      </w:r>
      <w:r w:rsidR="00F35A0F" w:rsidRPr="00E35F4D">
        <w:rPr>
          <w:sz w:val="20"/>
          <w:szCs w:val="20"/>
          <w:lang w:bidi="ar-SA"/>
        </w:rPr>
        <w:t>, Hunter</w:t>
      </w:r>
      <w:r w:rsidR="00D65008" w:rsidRPr="00E35F4D">
        <w:rPr>
          <w:sz w:val="20"/>
          <w:szCs w:val="20"/>
          <w:lang w:bidi="ar-SA"/>
        </w:rPr>
        <w:t xml:space="preserve"> NR</w:t>
      </w:r>
      <w:r w:rsidR="00F35A0F" w:rsidRPr="00E35F4D">
        <w:rPr>
          <w:sz w:val="20"/>
          <w:szCs w:val="20"/>
          <w:lang w:bidi="ar-SA"/>
        </w:rPr>
        <w:t>, Mason</w:t>
      </w:r>
      <w:r w:rsidR="00D65008" w:rsidRPr="00E35F4D">
        <w:rPr>
          <w:sz w:val="20"/>
          <w:szCs w:val="20"/>
          <w:lang w:bidi="ar-SA"/>
        </w:rPr>
        <w:t xml:space="preserve"> KA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Milross</w:t>
      </w:r>
      <w:proofErr w:type="spellEnd"/>
      <w:r w:rsidR="00D65008" w:rsidRPr="00E35F4D">
        <w:rPr>
          <w:sz w:val="20"/>
          <w:szCs w:val="20"/>
          <w:lang w:bidi="ar-SA"/>
        </w:rPr>
        <w:t xml:space="preserve"> CG</w:t>
      </w:r>
      <w:r w:rsidR="00F35A0F" w:rsidRPr="00E35F4D">
        <w:rPr>
          <w:sz w:val="20"/>
          <w:szCs w:val="20"/>
          <w:lang w:bidi="ar-SA"/>
        </w:rPr>
        <w:t>, Saito</w:t>
      </w:r>
      <w:r w:rsidR="00D65008" w:rsidRPr="00E35F4D">
        <w:rPr>
          <w:sz w:val="20"/>
          <w:szCs w:val="20"/>
          <w:lang w:bidi="ar-SA"/>
        </w:rPr>
        <w:t xml:space="preserve"> Y</w:t>
      </w:r>
      <w:r w:rsidR="000B2A5F" w:rsidRPr="00E35F4D">
        <w:rPr>
          <w:sz w:val="20"/>
          <w:szCs w:val="20"/>
          <w:lang w:bidi="ar-SA"/>
        </w:rPr>
        <w:t>,</w:t>
      </w:r>
      <w:r w:rsidR="00895119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Peters</w:t>
      </w:r>
      <w:r w:rsidR="00D65008" w:rsidRPr="00E35F4D">
        <w:rPr>
          <w:sz w:val="20"/>
          <w:szCs w:val="20"/>
          <w:lang w:bidi="ar-SA"/>
        </w:rPr>
        <w:t xml:space="preserve"> LJ</w:t>
      </w:r>
      <w:r w:rsidR="00895119" w:rsidRPr="00E35F4D">
        <w:rPr>
          <w:sz w:val="20"/>
          <w:szCs w:val="20"/>
          <w:lang w:bidi="ar-SA"/>
        </w:rPr>
        <w:t>:</w:t>
      </w:r>
      <w:r w:rsidR="00F35A0F" w:rsidRPr="00E35F4D">
        <w:rPr>
          <w:sz w:val="20"/>
          <w:szCs w:val="20"/>
          <w:lang w:bidi="ar-SA"/>
        </w:rPr>
        <w:t xml:space="preserve"> Role of </w:t>
      </w:r>
      <w:proofErr w:type="spellStart"/>
      <w:r w:rsidR="00F35A0F" w:rsidRPr="00E35F4D">
        <w:rPr>
          <w:sz w:val="20"/>
          <w:szCs w:val="20"/>
          <w:lang w:bidi="ar-SA"/>
        </w:rPr>
        <w:t>reoxygenation</w:t>
      </w:r>
      <w:proofErr w:type="spellEnd"/>
      <w:r w:rsidR="00F35A0F" w:rsidRPr="00E35F4D">
        <w:rPr>
          <w:sz w:val="20"/>
          <w:szCs w:val="20"/>
          <w:lang w:bidi="ar-SA"/>
        </w:rPr>
        <w:t xml:space="preserve"> in induction of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enhancement of tumor </w:t>
      </w:r>
      <w:proofErr w:type="spellStart"/>
      <w:r w:rsidR="00F35A0F" w:rsidRPr="00E35F4D">
        <w:rPr>
          <w:sz w:val="20"/>
          <w:szCs w:val="20"/>
          <w:lang w:bidi="ar-SA"/>
        </w:rPr>
        <w:t>radioresponse</w:t>
      </w:r>
      <w:proofErr w:type="spellEnd"/>
      <w:r w:rsidR="00F35A0F" w:rsidRPr="00E35F4D">
        <w:rPr>
          <w:sz w:val="20"/>
          <w:szCs w:val="20"/>
          <w:lang w:bidi="ar-SA"/>
        </w:rPr>
        <w:t xml:space="preserve"> by paclitaxel</w:t>
      </w:r>
      <w:r w:rsidR="00D65008" w:rsidRPr="00E35F4D">
        <w:rPr>
          <w:sz w:val="20"/>
          <w:szCs w:val="20"/>
          <w:lang w:bidi="ar-SA"/>
        </w:rPr>
        <w:t>.</w:t>
      </w:r>
      <w:r w:rsidR="00F35A0F" w:rsidRPr="00E35F4D">
        <w:rPr>
          <w:sz w:val="20"/>
          <w:szCs w:val="20"/>
          <w:lang w:bidi="ar-SA"/>
        </w:rPr>
        <w:t xml:space="preserve"> Cancer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Res</w:t>
      </w:r>
      <w:r w:rsidR="00895119" w:rsidRPr="00E35F4D">
        <w:rPr>
          <w:sz w:val="20"/>
          <w:szCs w:val="20"/>
          <w:lang w:bidi="ar-SA"/>
        </w:rPr>
        <w:t>,</w:t>
      </w:r>
      <w:r w:rsidR="00D65008" w:rsidRPr="00E35F4D">
        <w:rPr>
          <w:sz w:val="20"/>
          <w:szCs w:val="20"/>
          <w:lang w:bidi="ar-SA"/>
        </w:rPr>
        <w:t xml:space="preserve"> 1995; </w:t>
      </w:r>
      <w:r w:rsidR="00F35A0F" w:rsidRPr="00E35F4D">
        <w:rPr>
          <w:sz w:val="20"/>
          <w:szCs w:val="20"/>
          <w:lang w:bidi="ar-SA"/>
        </w:rPr>
        <w:t>55</w:t>
      </w:r>
      <w:r w:rsidR="00D65008" w:rsidRPr="00E35F4D">
        <w:rPr>
          <w:sz w:val="20"/>
          <w:szCs w:val="20"/>
          <w:lang w:bidi="ar-SA"/>
        </w:rPr>
        <w:t>(16):</w:t>
      </w:r>
      <w:r w:rsidR="00F35A0F" w:rsidRPr="00E35F4D">
        <w:rPr>
          <w:sz w:val="20"/>
          <w:szCs w:val="20"/>
          <w:lang w:bidi="ar-SA"/>
        </w:rPr>
        <w:t xml:space="preserve"> 3564–8.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T</w:t>
      </w:r>
      <w:r w:rsidR="00F35A0F" w:rsidRPr="00E35F4D">
        <w:rPr>
          <w:sz w:val="20"/>
          <w:szCs w:val="20"/>
          <w:lang w:bidi="ar-SA"/>
        </w:rPr>
        <w:t>aghian</w:t>
      </w:r>
      <w:proofErr w:type="spellEnd"/>
      <w:r w:rsidR="00D65008" w:rsidRPr="00E35F4D">
        <w:rPr>
          <w:sz w:val="20"/>
          <w:szCs w:val="20"/>
          <w:lang w:bidi="ar-SA"/>
        </w:rPr>
        <w:t xml:space="preserve"> AG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Abi-Raad</w:t>
      </w:r>
      <w:proofErr w:type="spellEnd"/>
      <w:r w:rsidR="00D65008" w:rsidRPr="00E35F4D">
        <w:rPr>
          <w:sz w:val="20"/>
          <w:szCs w:val="20"/>
          <w:lang w:bidi="ar-SA"/>
        </w:rPr>
        <w:t xml:space="preserve"> R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r w:rsidR="00F35A0F" w:rsidRPr="00E35F4D">
        <w:rPr>
          <w:sz w:val="20"/>
          <w:szCs w:val="20"/>
          <w:lang w:bidi="ar-SA"/>
        </w:rPr>
        <w:t>Assaad</w:t>
      </w:r>
      <w:proofErr w:type="spellEnd"/>
      <w:r w:rsidR="00D65008" w:rsidRPr="00E35F4D">
        <w:rPr>
          <w:sz w:val="20"/>
          <w:szCs w:val="20"/>
          <w:lang w:bidi="ar-SA"/>
        </w:rPr>
        <w:t xml:space="preserve"> SI</w:t>
      </w:r>
      <w:r w:rsidR="00895119" w:rsidRPr="00E35F4D">
        <w:rPr>
          <w:sz w:val="20"/>
          <w:szCs w:val="20"/>
          <w:lang w:bidi="ar-SA"/>
        </w:rPr>
        <w:t>,</w:t>
      </w:r>
      <w:r w:rsidR="00F35A0F" w:rsidRPr="00E35F4D">
        <w:rPr>
          <w:sz w:val="20"/>
          <w:szCs w:val="20"/>
          <w:lang w:bidi="ar-SA"/>
        </w:rPr>
        <w:t xml:space="preserve"> </w:t>
      </w:r>
      <w:proofErr w:type="spellStart"/>
      <w:r w:rsidR="00895119" w:rsidRPr="00E35F4D">
        <w:rPr>
          <w:color w:val="000000"/>
          <w:sz w:val="20"/>
          <w:szCs w:val="20"/>
        </w:rPr>
        <w:t>Casty</w:t>
      </w:r>
      <w:proofErr w:type="spellEnd"/>
      <w:r w:rsidR="00895119" w:rsidRPr="00E35F4D">
        <w:rPr>
          <w:color w:val="000000"/>
          <w:sz w:val="20"/>
          <w:szCs w:val="20"/>
        </w:rPr>
        <w:t xml:space="preserve"> A,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95119" w:rsidRPr="00E35F4D">
        <w:rPr>
          <w:color w:val="000000"/>
          <w:sz w:val="20"/>
          <w:szCs w:val="20"/>
        </w:rPr>
        <w:t>Ancukiewicz</w:t>
      </w:r>
      <w:proofErr w:type="spellEnd"/>
      <w:r w:rsidR="00895119" w:rsidRPr="00E35F4D">
        <w:rPr>
          <w:color w:val="000000"/>
          <w:sz w:val="20"/>
          <w:szCs w:val="20"/>
        </w:rPr>
        <w:t xml:space="preserve"> M,</w:t>
      </w:r>
      <w:r w:rsidR="00895119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="00895119" w:rsidRPr="00E35F4D">
        <w:rPr>
          <w:color w:val="000000"/>
          <w:sz w:val="20"/>
          <w:szCs w:val="20"/>
        </w:rPr>
        <w:t>Yeh</w:t>
      </w:r>
      <w:proofErr w:type="spellEnd"/>
      <w:proofErr w:type="gramEnd"/>
      <w:r w:rsidR="00895119" w:rsidRPr="00E35F4D">
        <w:rPr>
          <w:color w:val="000000"/>
          <w:sz w:val="20"/>
          <w:szCs w:val="20"/>
        </w:rPr>
        <w:t xml:space="preserve"> E,</w:t>
      </w:r>
      <w:r w:rsidR="00895119" w:rsidRPr="00E35F4D">
        <w:rPr>
          <w:rStyle w:val="apple-converted-space"/>
          <w:color w:val="000000"/>
          <w:sz w:val="20"/>
          <w:szCs w:val="20"/>
        </w:rPr>
        <w:t> et al.:</w:t>
      </w:r>
      <w:r w:rsidR="00F35A0F" w:rsidRPr="00E35F4D">
        <w:rPr>
          <w:sz w:val="20"/>
          <w:szCs w:val="20"/>
          <w:lang w:bidi="ar-SA"/>
        </w:rPr>
        <w:t xml:space="preserve"> Paclitaxel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decreases the interstitial fluid pressure and improves oxygenation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in breast cancers in patients treated with neoadjuvant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chemotherapy: </w:t>
      </w:r>
      <w:r w:rsidR="00895119" w:rsidRPr="00E35F4D">
        <w:rPr>
          <w:sz w:val="20"/>
          <w:szCs w:val="20"/>
          <w:lang w:bidi="ar-SA"/>
        </w:rPr>
        <w:t>C</w:t>
      </w:r>
      <w:r w:rsidR="00F35A0F" w:rsidRPr="00E35F4D">
        <w:rPr>
          <w:sz w:val="20"/>
          <w:szCs w:val="20"/>
          <w:lang w:bidi="ar-SA"/>
        </w:rPr>
        <w:t>linical implications</w:t>
      </w:r>
      <w:r w:rsidR="00D65008" w:rsidRPr="00E35F4D">
        <w:rPr>
          <w:sz w:val="20"/>
          <w:szCs w:val="20"/>
          <w:lang w:bidi="ar-SA"/>
        </w:rPr>
        <w:t>.</w:t>
      </w:r>
      <w:r w:rsidR="00F35A0F" w:rsidRPr="00E35F4D">
        <w:rPr>
          <w:sz w:val="20"/>
          <w:szCs w:val="20"/>
          <w:lang w:bidi="ar-SA"/>
        </w:rPr>
        <w:t xml:space="preserve"> J </w:t>
      </w:r>
      <w:proofErr w:type="spellStart"/>
      <w:r w:rsidR="00F35A0F" w:rsidRPr="00E35F4D">
        <w:rPr>
          <w:sz w:val="20"/>
          <w:szCs w:val="20"/>
          <w:lang w:bidi="ar-SA"/>
        </w:rPr>
        <w:t>Clin</w:t>
      </w:r>
      <w:proofErr w:type="spellEnd"/>
      <w:r w:rsidR="00086298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Oncol</w:t>
      </w:r>
      <w:proofErr w:type="spellEnd"/>
      <w:r w:rsidR="00D65008" w:rsidRPr="00E35F4D">
        <w:rPr>
          <w:sz w:val="20"/>
          <w:szCs w:val="20"/>
          <w:lang w:bidi="ar-SA"/>
        </w:rPr>
        <w:t xml:space="preserve"> 2005;</w:t>
      </w:r>
      <w:r w:rsidR="00F35A0F" w:rsidRPr="00E35F4D">
        <w:rPr>
          <w:sz w:val="20"/>
          <w:szCs w:val="20"/>
          <w:lang w:bidi="ar-SA"/>
        </w:rPr>
        <w:t xml:space="preserve"> 23</w:t>
      </w:r>
      <w:r w:rsidR="00D65008" w:rsidRPr="00E35F4D">
        <w:rPr>
          <w:sz w:val="20"/>
          <w:szCs w:val="20"/>
          <w:lang w:bidi="ar-SA"/>
        </w:rPr>
        <w:t>(9):</w:t>
      </w:r>
      <w:r w:rsidR="00F35A0F" w:rsidRPr="00E35F4D">
        <w:rPr>
          <w:sz w:val="20"/>
          <w:szCs w:val="20"/>
          <w:lang w:bidi="ar-SA"/>
        </w:rPr>
        <w:t xml:space="preserve"> 1951–61</w:t>
      </w:r>
      <w:r w:rsidR="00D65008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lastRenderedPageBreak/>
        <w:t>G</w:t>
      </w:r>
      <w:r w:rsidR="00F35A0F" w:rsidRPr="00E35F4D">
        <w:rPr>
          <w:sz w:val="20"/>
          <w:szCs w:val="20"/>
          <w:lang w:bidi="ar-SA"/>
        </w:rPr>
        <w:t>lynne</w:t>
      </w:r>
      <w:proofErr w:type="spellEnd"/>
      <w:r w:rsidR="00F35A0F" w:rsidRPr="00E35F4D">
        <w:rPr>
          <w:sz w:val="20"/>
          <w:szCs w:val="20"/>
          <w:lang w:bidi="ar-SA"/>
        </w:rPr>
        <w:t>-Jones</w:t>
      </w:r>
      <w:r w:rsidR="00ED2275" w:rsidRPr="00E35F4D">
        <w:rPr>
          <w:sz w:val="20"/>
          <w:szCs w:val="20"/>
          <w:lang w:bidi="ar-SA"/>
        </w:rPr>
        <w:t xml:space="preserve"> R</w:t>
      </w:r>
      <w:r w:rsidR="00F35A0F" w:rsidRPr="00E35F4D">
        <w:rPr>
          <w:sz w:val="20"/>
          <w:szCs w:val="20"/>
          <w:lang w:bidi="ar-SA"/>
        </w:rPr>
        <w:t>, Grainger</w:t>
      </w:r>
      <w:r w:rsidR="00ED2275" w:rsidRPr="00E35F4D">
        <w:rPr>
          <w:sz w:val="20"/>
          <w:szCs w:val="20"/>
          <w:lang w:bidi="ar-SA"/>
        </w:rPr>
        <w:t xml:space="preserve"> J</w:t>
      </w:r>
      <w:r w:rsidR="00F35A0F" w:rsidRPr="00E35F4D">
        <w:rPr>
          <w:sz w:val="20"/>
          <w:szCs w:val="20"/>
          <w:lang w:bidi="ar-SA"/>
        </w:rPr>
        <w:t>, Harrison</w:t>
      </w:r>
      <w:r w:rsidR="00ED2275" w:rsidRPr="00E35F4D">
        <w:rPr>
          <w:sz w:val="20"/>
          <w:szCs w:val="20"/>
          <w:lang w:bidi="ar-SA"/>
        </w:rPr>
        <w:t xml:space="preserve"> M</w:t>
      </w:r>
      <w:r w:rsidR="00F35A0F" w:rsidRPr="00E35F4D">
        <w:rPr>
          <w:sz w:val="20"/>
          <w:szCs w:val="20"/>
          <w:lang w:bidi="ar-SA"/>
        </w:rPr>
        <w:t xml:space="preserve">, </w:t>
      </w:r>
      <w:proofErr w:type="spellStart"/>
      <w:proofErr w:type="gramStart"/>
      <w:r w:rsidR="00F35A0F" w:rsidRPr="00E35F4D">
        <w:rPr>
          <w:sz w:val="20"/>
          <w:szCs w:val="20"/>
          <w:lang w:bidi="ar-SA"/>
        </w:rPr>
        <w:t>Ostler</w:t>
      </w:r>
      <w:proofErr w:type="spellEnd"/>
      <w:proofErr w:type="gramEnd"/>
      <w:r w:rsidR="00ED2275" w:rsidRPr="00E35F4D">
        <w:rPr>
          <w:sz w:val="20"/>
          <w:szCs w:val="20"/>
          <w:lang w:bidi="ar-SA"/>
        </w:rPr>
        <w:t xml:space="preserve"> P</w:t>
      </w:r>
      <w:r w:rsidR="000B2A5F" w:rsidRPr="00E35F4D">
        <w:rPr>
          <w:sz w:val="20"/>
          <w:szCs w:val="20"/>
          <w:lang w:bidi="ar-SA"/>
        </w:rPr>
        <w:t>,</w:t>
      </w:r>
      <w:r w:rsidR="00C34888" w:rsidRPr="00E35F4D">
        <w:rPr>
          <w:sz w:val="20"/>
          <w:szCs w:val="20"/>
          <w:lang w:bidi="ar-SA"/>
        </w:rPr>
        <w:t xml:space="preserve"> </w:t>
      </w:r>
      <w:proofErr w:type="spellStart"/>
      <w:r w:rsidR="00F35A0F" w:rsidRPr="00E35F4D">
        <w:rPr>
          <w:sz w:val="20"/>
          <w:szCs w:val="20"/>
          <w:lang w:bidi="ar-SA"/>
        </w:rPr>
        <w:t>Makris</w:t>
      </w:r>
      <w:proofErr w:type="spellEnd"/>
      <w:r w:rsidR="00ED2275" w:rsidRPr="00E35F4D">
        <w:rPr>
          <w:sz w:val="20"/>
          <w:szCs w:val="20"/>
          <w:lang w:bidi="ar-SA"/>
        </w:rPr>
        <w:t xml:space="preserve"> A</w:t>
      </w:r>
      <w:r w:rsidR="00895119" w:rsidRPr="00E35F4D">
        <w:rPr>
          <w:sz w:val="20"/>
          <w:szCs w:val="20"/>
          <w:lang w:bidi="ar-SA"/>
        </w:rPr>
        <w:t>:</w:t>
      </w:r>
      <w:r w:rsidR="00F35A0F" w:rsidRPr="00E35F4D">
        <w:rPr>
          <w:sz w:val="20"/>
          <w:szCs w:val="20"/>
          <w:lang w:bidi="ar-SA"/>
        </w:rPr>
        <w:t xml:space="preserve"> Neoadjuvant chemotherapy prior to preoperative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 xml:space="preserve">chemoradiation or radiation in rectal cancer: </w:t>
      </w:r>
      <w:r w:rsidR="00895119" w:rsidRPr="00E35F4D">
        <w:rPr>
          <w:sz w:val="20"/>
          <w:szCs w:val="20"/>
          <w:lang w:bidi="ar-SA"/>
        </w:rPr>
        <w:t>S</w:t>
      </w:r>
      <w:r w:rsidR="00F35A0F" w:rsidRPr="00E35F4D">
        <w:rPr>
          <w:sz w:val="20"/>
          <w:szCs w:val="20"/>
          <w:lang w:bidi="ar-SA"/>
        </w:rPr>
        <w:t>hould we be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more cautious? Br J Cancer</w:t>
      </w:r>
      <w:r w:rsidR="00895119" w:rsidRPr="00E35F4D">
        <w:rPr>
          <w:sz w:val="20"/>
          <w:szCs w:val="20"/>
          <w:lang w:bidi="ar-SA"/>
        </w:rPr>
        <w:t>,</w:t>
      </w:r>
      <w:r w:rsidR="00B421D4" w:rsidRPr="00E35F4D">
        <w:rPr>
          <w:sz w:val="20"/>
          <w:szCs w:val="20"/>
          <w:lang w:bidi="ar-SA"/>
        </w:rPr>
        <w:t xml:space="preserve"> 2006;</w:t>
      </w:r>
      <w:r w:rsidR="00F35A0F" w:rsidRPr="00E35F4D">
        <w:rPr>
          <w:sz w:val="20"/>
          <w:szCs w:val="20"/>
          <w:lang w:bidi="ar-SA"/>
        </w:rPr>
        <w:t xml:space="preserve"> 94</w:t>
      </w:r>
      <w:r w:rsidR="00B421D4" w:rsidRPr="00E35F4D">
        <w:rPr>
          <w:sz w:val="20"/>
          <w:szCs w:val="20"/>
          <w:lang w:bidi="ar-SA"/>
        </w:rPr>
        <w:t>(3):</w:t>
      </w:r>
      <w:r w:rsidR="00086298" w:rsidRPr="00E35F4D">
        <w:rPr>
          <w:sz w:val="20"/>
          <w:szCs w:val="20"/>
          <w:lang w:bidi="ar-SA"/>
        </w:rPr>
        <w:t xml:space="preserve"> </w:t>
      </w:r>
      <w:r w:rsidR="00F35A0F" w:rsidRPr="00E35F4D">
        <w:rPr>
          <w:sz w:val="20"/>
          <w:szCs w:val="20"/>
          <w:lang w:bidi="ar-SA"/>
        </w:rPr>
        <w:t>363–71</w:t>
      </w:r>
      <w:r w:rsidR="00B421D4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>hau</w:t>
      </w:r>
      <w:proofErr w:type="spellEnd"/>
      <w:r w:rsidR="00C54366" w:rsidRPr="00E35F4D">
        <w:rPr>
          <w:sz w:val="20"/>
          <w:szCs w:val="20"/>
          <w:lang w:bidi="ar-SA"/>
        </w:rPr>
        <w:t xml:space="preserve"> I, Brown G, Cunningham D, </w:t>
      </w:r>
      <w:proofErr w:type="spellStart"/>
      <w:r w:rsidR="00F6520F" w:rsidRPr="00E35F4D">
        <w:rPr>
          <w:color w:val="000000"/>
          <w:sz w:val="20"/>
          <w:szCs w:val="20"/>
        </w:rPr>
        <w:t>Tait</w:t>
      </w:r>
      <w:proofErr w:type="spellEnd"/>
      <w:r w:rsidR="00F6520F" w:rsidRPr="00E35F4D">
        <w:rPr>
          <w:color w:val="000000"/>
          <w:sz w:val="20"/>
          <w:szCs w:val="20"/>
        </w:rPr>
        <w:t xml:space="preserve"> D,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F6520F" w:rsidRPr="00E35F4D">
        <w:rPr>
          <w:color w:val="000000"/>
          <w:sz w:val="20"/>
          <w:szCs w:val="20"/>
        </w:rPr>
        <w:t>Wotherspoon</w:t>
      </w:r>
      <w:proofErr w:type="spellEnd"/>
      <w:r w:rsidR="00F6520F" w:rsidRPr="00E35F4D">
        <w:rPr>
          <w:color w:val="000000"/>
          <w:sz w:val="20"/>
          <w:szCs w:val="20"/>
        </w:rPr>
        <w:t xml:space="preserve"> A,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F6520F" w:rsidRPr="00E35F4D">
        <w:rPr>
          <w:color w:val="000000"/>
          <w:sz w:val="20"/>
          <w:szCs w:val="20"/>
        </w:rPr>
        <w:t>Norman AR,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F6520F" w:rsidRPr="00E35F4D">
        <w:rPr>
          <w:rStyle w:val="apple-converted-space"/>
          <w:color w:val="000000"/>
          <w:sz w:val="20"/>
          <w:szCs w:val="20"/>
        </w:rPr>
        <w:t xml:space="preserve">et al.: </w:t>
      </w:r>
      <w:r w:rsidR="00C54366" w:rsidRPr="00E35F4D">
        <w:rPr>
          <w:sz w:val="20"/>
          <w:szCs w:val="20"/>
          <w:lang w:bidi="ar-SA"/>
        </w:rPr>
        <w:t xml:space="preserve">Neoadjuvant </w:t>
      </w:r>
      <w:proofErr w:type="spellStart"/>
      <w:r w:rsidR="00F6520F"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>apecitabine</w:t>
      </w:r>
      <w:proofErr w:type="spellEnd"/>
      <w:r w:rsidR="00C54366" w:rsidRPr="00E35F4D">
        <w:rPr>
          <w:sz w:val="20"/>
          <w:szCs w:val="20"/>
          <w:lang w:bidi="ar-SA"/>
        </w:rPr>
        <w:t xml:space="preserve"> and </w:t>
      </w:r>
      <w:proofErr w:type="spellStart"/>
      <w:r w:rsidR="00F6520F" w:rsidRPr="00E35F4D">
        <w:rPr>
          <w:sz w:val="20"/>
          <w:szCs w:val="20"/>
          <w:lang w:bidi="ar-SA"/>
        </w:rPr>
        <w:t>oxaliplatin</w:t>
      </w:r>
      <w:proofErr w:type="spellEnd"/>
      <w:r w:rsidR="00F6520F" w:rsidRPr="00E35F4D">
        <w:rPr>
          <w:sz w:val="20"/>
          <w:szCs w:val="20"/>
          <w:lang w:bidi="ar-SA"/>
        </w:rPr>
        <w:t xml:space="preserve"> f</w:t>
      </w:r>
      <w:r w:rsidR="00C54366" w:rsidRPr="00E35F4D">
        <w:rPr>
          <w:sz w:val="20"/>
          <w:szCs w:val="20"/>
          <w:lang w:bidi="ar-SA"/>
        </w:rPr>
        <w:t xml:space="preserve">ollowed by </w:t>
      </w:r>
      <w:r w:rsidR="00F6520F" w:rsidRPr="00E35F4D">
        <w:rPr>
          <w:sz w:val="20"/>
          <w:szCs w:val="20"/>
          <w:lang w:bidi="ar-SA"/>
        </w:rPr>
        <w:t>s</w:t>
      </w:r>
      <w:r w:rsidR="00C54366" w:rsidRPr="00E35F4D">
        <w:rPr>
          <w:sz w:val="20"/>
          <w:szCs w:val="20"/>
          <w:lang w:bidi="ar-SA"/>
        </w:rPr>
        <w:t xml:space="preserve">ynchronous </w:t>
      </w:r>
      <w:r w:rsidR="00F6520F" w:rsidRPr="00E35F4D">
        <w:rPr>
          <w:sz w:val="20"/>
          <w:szCs w:val="20"/>
          <w:lang w:bidi="ar-SA"/>
        </w:rPr>
        <w:t>chemoradiation and t</w:t>
      </w:r>
      <w:r w:rsidR="00C54366" w:rsidRPr="00E35F4D">
        <w:rPr>
          <w:sz w:val="20"/>
          <w:szCs w:val="20"/>
          <w:lang w:bidi="ar-SA"/>
        </w:rPr>
        <w:t xml:space="preserve">otal </w:t>
      </w:r>
      <w:proofErr w:type="spellStart"/>
      <w:r w:rsidR="00F6520F" w:rsidRPr="00E35F4D">
        <w:rPr>
          <w:sz w:val="20"/>
          <w:szCs w:val="20"/>
          <w:lang w:bidi="ar-SA"/>
        </w:rPr>
        <w:t>m</w:t>
      </w:r>
      <w:r w:rsidR="00C54366" w:rsidRPr="00E35F4D">
        <w:rPr>
          <w:sz w:val="20"/>
          <w:szCs w:val="20"/>
          <w:lang w:bidi="ar-SA"/>
        </w:rPr>
        <w:t>esorectal</w:t>
      </w:r>
      <w:proofErr w:type="spellEnd"/>
      <w:r w:rsidR="00C54366" w:rsidRPr="00E35F4D">
        <w:rPr>
          <w:sz w:val="20"/>
          <w:szCs w:val="20"/>
          <w:lang w:bidi="ar-SA"/>
        </w:rPr>
        <w:t xml:space="preserve"> </w:t>
      </w:r>
      <w:r w:rsidR="00F6520F" w:rsidRPr="00E35F4D">
        <w:rPr>
          <w:sz w:val="20"/>
          <w:szCs w:val="20"/>
          <w:lang w:bidi="ar-SA"/>
        </w:rPr>
        <w:t>e</w:t>
      </w:r>
      <w:r w:rsidR="00C54366" w:rsidRPr="00E35F4D">
        <w:rPr>
          <w:sz w:val="20"/>
          <w:szCs w:val="20"/>
          <w:lang w:bidi="ar-SA"/>
        </w:rPr>
        <w:t xml:space="preserve">xcision in </w:t>
      </w:r>
      <w:r w:rsidR="00F6520F" w:rsidRPr="00E35F4D">
        <w:rPr>
          <w:sz w:val="20"/>
          <w:szCs w:val="20"/>
          <w:lang w:bidi="ar-SA"/>
        </w:rPr>
        <w:t>m</w:t>
      </w:r>
      <w:r w:rsidR="00C54366" w:rsidRPr="00E35F4D">
        <w:rPr>
          <w:sz w:val="20"/>
          <w:szCs w:val="20"/>
          <w:lang w:bidi="ar-SA"/>
        </w:rPr>
        <w:t xml:space="preserve">agnetic 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esonance </w:t>
      </w:r>
      <w:r w:rsidR="00F6520F" w:rsidRPr="00E35F4D">
        <w:rPr>
          <w:sz w:val="20"/>
          <w:szCs w:val="20"/>
          <w:lang w:bidi="ar-SA"/>
        </w:rPr>
        <w:t>i</w:t>
      </w:r>
      <w:r w:rsidR="00C54366" w:rsidRPr="00E35F4D">
        <w:rPr>
          <w:sz w:val="20"/>
          <w:szCs w:val="20"/>
          <w:lang w:bidi="ar-SA"/>
        </w:rPr>
        <w:t>maging–</w:t>
      </w:r>
      <w:r w:rsidR="00F6520F" w:rsidRPr="00E35F4D">
        <w:rPr>
          <w:sz w:val="20"/>
          <w:szCs w:val="20"/>
          <w:lang w:bidi="ar-SA"/>
        </w:rPr>
        <w:t>defined p</w:t>
      </w:r>
      <w:r w:rsidR="00C54366" w:rsidRPr="00E35F4D">
        <w:rPr>
          <w:sz w:val="20"/>
          <w:szCs w:val="20"/>
          <w:lang w:bidi="ar-SA"/>
        </w:rPr>
        <w:t>oor-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isk </w:t>
      </w:r>
      <w:r w:rsidR="00F6520F" w:rsidRPr="00E35F4D">
        <w:rPr>
          <w:sz w:val="20"/>
          <w:szCs w:val="20"/>
          <w:lang w:bidi="ar-SA"/>
        </w:rPr>
        <w:t>r</w:t>
      </w:r>
      <w:r w:rsidR="00C54366" w:rsidRPr="00E35F4D">
        <w:rPr>
          <w:sz w:val="20"/>
          <w:szCs w:val="20"/>
          <w:lang w:bidi="ar-SA"/>
        </w:rPr>
        <w:t xml:space="preserve">ectal </w:t>
      </w:r>
      <w:r w:rsidR="00F6520F" w:rsidRPr="00E35F4D">
        <w:rPr>
          <w:sz w:val="20"/>
          <w:szCs w:val="20"/>
          <w:lang w:bidi="ar-SA"/>
        </w:rPr>
        <w:t>c</w:t>
      </w:r>
      <w:r w:rsidR="00C54366" w:rsidRPr="00E35F4D">
        <w:rPr>
          <w:sz w:val="20"/>
          <w:szCs w:val="20"/>
          <w:lang w:bidi="ar-SA"/>
        </w:rPr>
        <w:t xml:space="preserve">ancer. J </w:t>
      </w:r>
      <w:proofErr w:type="spellStart"/>
      <w:r w:rsidR="00C54366" w:rsidRPr="00E35F4D">
        <w:rPr>
          <w:sz w:val="20"/>
          <w:szCs w:val="20"/>
          <w:lang w:bidi="ar-SA"/>
        </w:rPr>
        <w:t>Clin</w:t>
      </w:r>
      <w:proofErr w:type="spellEnd"/>
      <w:r w:rsidR="00C54366" w:rsidRPr="00E35F4D">
        <w:rPr>
          <w:sz w:val="20"/>
          <w:szCs w:val="20"/>
          <w:lang w:bidi="ar-SA"/>
        </w:rPr>
        <w:t xml:space="preserve"> </w:t>
      </w:r>
      <w:proofErr w:type="spellStart"/>
      <w:r w:rsidR="00C54366" w:rsidRPr="00E35F4D">
        <w:rPr>
          <w:sz w:val="20"/>
          <w:szCs w:val="20"/>
          <w:lang w:bidi="ar-SA"/>
        </w:rPr>
        <w:t>Oncol</w:t>
      </w:r>
      <w:proofErr w:type="spellEnd"/>
      <w:r w:rsidR="00C34888" w:rsidRPr="00E35F4D">
        <w:rPr>
          <w:sz w:val="20"/>
          <w:szCs w:val="20"/>
          <w:lang w:bidi="ar-SA"/>
        </w:rPr>
        <w:t>,</w:t>
      </w:r>
      <w:r w:rsidR="00C54366" w:rsidRPr="00E35F4D">
        <w:rPr>
          <w:sz w:val="20"/>
          <w:szCs w:val="20"/>
          <w:lang w:bidi="ar-SA"/>
        </w:rPr>
        <w:t xml:space="preserve"> 2006; 24</w:t>
      </w:r>
      <w:r w:rsidR="00F6520F" w:rsidRPr="00E35F4D">
        <w:rPr>
          <w:sz w:val="20"/>
          <w:szCs w:val="20"/>
          <w:lang w:bidi="ar-SA"/>
        </w:rPr>
        <w:t>(4)</w:t>
      </w:r>
      <w:r w:rsidR="00C54366" w:rsidRPr="00E35F4D">
        <w:rPr>
          <w:sz w:val="20"/>
          <w:szCs w:val="20"/>
          <w:lang w:bidi="ar-SA"/>
        </w:rPr>
        <w:t>:</w:t>
      </w:r>
      <w:r w:rsidR="0083443E" w:rsidRPr="00E35F4D">
        <w:rPr>
          <w:sz w:val="20"/>
          <w:szCs w:val="20"/>
          <w:lang w:bidi="ar-SA"/>
        </w:rPr>
        <w:t xml:space="preserve"> </w:t>
      </w:r>
      <w:r w:rsidR="00C54366" w:rsidRPr="00E35F4D">
        <w:rPr>
          <w:sz w:val="20"/>
          <w:szCs w:val="20"/>
          <w:lang w:bidi="ar-SA"/>
        </w:rPr>
        <w:t>668-74.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C</w:t>
      </w:r>
      <w:r w:rsidR="00991534" w:rsidRPr="00E35F4D">
        <w:rPr>
          <w:sz w:val="20"/>
          <w:szCs w:val="20"/>
          <w:lang w:bidi="ar-SA"/>
        </w:rPr>
        <w:t>hua</w:t>
      </w:r>
      <w:r w:rsidR="00C77C83" w:rsidRPr="00E35F4D">
        <w:rPr>
          <w:sz w:val="20"/>
          <w:szCs w:val="20"/>
          <w:lang w:bidi="ar-SA"/>
        </w:rPr>
        <w:t xml:space="preserve"> YJ</w:t>
      </w:r>
      <w:r w:rsidR="00991534" w:rsidRPr="00E35F4D">
        <w:rPr>
          <w:sz w:val="20"/>
          <w:szCs w:val="20"/>
          <w:lang w:bidi="ar-SA"/>
        </w:rPr>
        <w:t xml:space="preserve">, </w:t>
      </w:r>
      <w:proofErr w:type="spellStart"/>
      <w:r w:rsidR="00991534" w:rsidRPr="00E35F4D">
        <w:rPr>
          <w:sz w:val="20"/>
          <w:szCs w:val="20"/>
          <w:lang w:bidi="ar-SA"/>
        </w:rPr>
        <w:t>Barbachano</w:t>
      </w:r>
      <w:proofErr w:type="spellEnd"/>
      <w:r w:rsidR="00C77C83" w:rsidRPr="00E35F4D">
        <w:rPr>
          <w:sz w:val="20"/>
          <w:szCs w:val="20"/>
          <w:lang w:bidi="ar-SA"/>
        </w:rPr>
        <w:t xml:space="preserve"> Y</w:t>
      </w:r>
      <w:r w:rsidR="00991534" w:rsidRPr="00E35F4D">
        <w:rPr>
          <w:sz w:val="20"/>
          <w:szCs w:val="20"/>
          <w:lang w:bidi="ar-SA"/>
        </w:rPr>
        <w:t>, Cunningham</w:t>
      </w:r>
      <w:r w:rsidR="00C77C83" w:rsidRPr="00E35F4D">
        <w:rPr>
          <w:sz w:val="20"/>
          <w:szCs w:val="20"/>
          <w:lang w:bidi="ar-SA"/>
        </w:rPr>
        <w:t xml:space="preserve"> D</w:t>
      </w:r>
      <w:r w:rsidR="00C34888" w:rsidRPr="00E35F4D">
        <w:rPr>
          <w:sz w:val="20"/>
          <w:szCs w:val="20"/>
          <w:lang w:bidi="ar-SA"/>
        </w:rPr>
        <w:t>,</w:t>
      </w:r>
      <w:r w:rsidR="00991534" w:rsidRPr="00E35F4D">
        <w:rPr>
          <w:sz w:val="20"/>
          <w:szCs w:val="20"/>
          <w:lang w:bidi="ar-SA"/>
        </w:rPr>
        <w:t xml:space="preserve"> </w:t>
      </w:r>
      <w:r w:rsidR="00C34888" w:rsidRPr="00E35F4D">
        <w:rPr>
          <w:color w:val="000000"/>
          <w:sz w:val="20"/>
          <w:szCs w:val="20"/>
        </w:rPr>
        <w:t>Oates JR,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C34888" w:rsidRPr="00E35F4D">
        <w:rPr>
          <w:color w:val="000000"/>
          <w:sz w:val="20"/>
          <w:szCs w:val="20"/>
        </w:rPr>
        <w:t>Brown G,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C34888" w:rsidRPr="00E35F4D">
        <w:rPr>
          <w:color w:val="000000"/>
          <w:sz w:val="20"/>
          <w:szCs w:val="20"/>
        </w:rPr>
        <w:t>Wotherspoon</w:t>
      </w:r>
      <w:proofErr w:type="spellEnd"/>
      <w:r w:rsidR="00C34888" w:rsidRPr="00E35F4D">
        <w:rPr>
          <w:color w:val="000000"/>
          <w:sz w:val="20"/>
          <w:szCs w:val="20"/>
        </w:rPr>
        <w:t xml:space="preserve"> A,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r w:rsidR="00C34888" w:rsidRPr="00E35F4D">
        <w:rPr>
          <w:rStyle w:val="apple-converted-space"/>
          <w:color w:val="000000"/>
          <w:sz w:val="20"/>
          <w:szCs w:val="20"/>
        </w:rPr>
        <w:t>et al</w:t>
      </w:r>
      <w:r w:rsidR="00C34888" w:rsidRPr="00E35F4D">
        <w:rPr>
          <w:color w:val="000000"/>
          <w:sz w:val="20"/>
          <w:szCs w:val="20"/>
        </w:rPr>
        <w:t xml:space="preserve">.: </w:t>
      </w:r>
      <w:r w:rsidR="00991534" w:rsidRPr="00E35F4D">
        <w:rPr>
          <w:sz w:val="20"/>
          <w:szCs w:val="20"/>
          <w:lang w:bidi="ar-SA"/>
        </w:rPr>
        <w:t xml:space="preserve">Neoadjuvant </w:t>
      </w:r>
      <w:proofErr w:type="spellStart"/>
      <w:r w:rsidR="00991534" w:rsidRPr="00E35F4D">
        <w:rPr>
          <w:sz w:val="20"/>
          <w:szCs w:val="20"/>
          <w:lang w:bidi="ar-SA"/>
        </w:rPr>
        <w:t>capecitabine</w:t>
      </w:r>
      <w:proofErr w:type="spellEnd"/>
      <w:r w:rsidR="00991534" w:rsidRPr="00E35F4D">
        <w:rPr>
          <w:sz w:val="20"/>
          <w:szCs w:val="20"/>
          <w:lang w:bidi="ar-SA"/>
        </w:rPr>
        <w:t xml:space="preserve"> and </w:t>
      </w:r>
      <w:proofErr w:type="spellStart"/>
      <w:r w:rsidR="00991534" w:rsidRPr="00E35F4D">
        <w:rPr>
          <w:sz w:val="20"/>
          <w:szCs w:val="20"/>
          <w:lang w:bidi="ar-SA"/>
        </w:rPr>
        <w:t>oxaliplatin</w:t>
      </w:r>
      <w:proofErr w:type="spellEnd"/>
      <w:r w:rsidR="00991534" w:rsidRPr="00E35F4D">
        <w:rPr>
          <w:sz w:val="20"/>
          <w:szCs w:val="20"/>
          <w:lang w:bidi="ar-SA"/>
        </w:rPr>
        <w:t xml:space="preserve"> before chemoradiotherapy and total </w:t>
      </w:r>
      <w:proofErr w:type="spellStart"/>
      <w:r w:rsidR="00991534" w:rsidRPr="00E35F4D">
        <w:rPr>
          <w:sz w:val="20"/>
          <w:szCs w:val="20"/>
          <w:lang w:bidi="ar-SA"/>
        </w:rPr>
        <w:t>mesorectal</w:t>
      </w:r>
      <w:proofErr w:type="spellEnd"/>
      <w:r w:rsidR="00991534" w:rsidRPr="00E35F4D">
        <w:rPr>
          <w:sz w:val="20"/>
          <w:szCs w:val="20"/>
          <w:lang w:bidi="ar-SA"/>
        </w:rPr>
        <w:t xml:space="preserve"> excision in MRI-defined poor-risk rectal cancer: a phase 2 trial</w:t>
      </w:r>
      <w:r w:rsidR="00C77C83" w:rsidRPr="00E35F4D">
        <w:rPr>
          <w:sz w:val="20"/>
          <w:szCs w:val="20"/>
          <w:lang w:bidi="ar-SA"/>
        </w:rPr>
        <w:t>.</w:t>
      </w:r>
      <w:r w:rsidR="00991534" w:rsidRPr="00E35F4D">
        <w:rPr>
          <w:sz w:val="20"/>
          <w:szCs w:val="20"/>
          <w:lang w:bidi="ar-SA"/>
        </w:rPr>
        <w:t xml:space="preserve"> Lancet </w:t>
      </w:r>
      <w:proofErr w:type="spellStart"/>
      <w:r w:rsidR="00991534" w:rsidRPr="00E35F4D">
        <w:rPr>
          <w:sz w:val="20"/>
          <w:szCs w:val="20"/>
          <w:lang w:bidi="ar-SA"/>
        </w:rPr>
        <w:t>Oncol</w:t>
      </w:r>
      <w:proofErr w:type="spellEnd"/>
      <w:r w:rsidR="00C34888" w:rsidRPr="00E35F4D">
        <w:rPr>
          <w:sz w:val="20"/>
          <w:szCs w:val="20"/>
          <w:lang w:bidi="ar-SA"/>
        </w:rPr>
        <w:t>,</w:t>
      </w:r>
      <w:r w:rsidR="00C77C83" w:rsidRPr="00E35F4D">
        <w:rPr>
          <w:sz w:val="20"/>
          <w:szCs w:val="20"/>
          <w:lang w:bidi="ar-SA"/>
        </w:rPr>
        <w:t xml:space="preserve"> 2010;</w:t>
      </w:r>
      <w:r w:rsidR="00991534" w:rsidRPr="00E35F4D">
        <w:rPr>
          <w:sz w:val="20"/>
          <w:szCs w:val="20"/>
          <w:lang w:bidi="ar-SA"/>
        </w:rPr>
        <w:t xml:space="preserve"> 11</w:t>
      </w:r>
      <w:r w:rsidR="00C77C83" w:rsidRPr="00E35F4D">
        <w:rPr>
          <w:sz w:val="20"/>
          <w:szCs w:val="20"/>
          <w:lang w:bidi="ar-SA"/>
        </w:rPr>
        <w:t>(3):</w:t>
      </w:r>
      <w:r w:rsidR="00C34888" w:rsidRPr="00E35F4D">
        <w:rPr>
          <w:sz w:val="20"/>
          <w:szCs w:val="20"/>
          <w:lang w:bidi="ar-SA"/>
        </w:rPr>
        <w:t xml:space="preserve"> 241–</w:t>
      </w:r>
      <w:r w:rsidR="00991534" w:rsidRPr="00E35F4D">
        <w:rPr>
          <w:sz w:val="20"/>
          <w:szCs w:val="20"/>
          <w:lang w:bidi="ar-SA"/>
        </w:rPr>
        <w:t>8</w:t>
      </w:r>
      <w:r w:rsidR="00C77C83" w:rsidRPr="00E35F4D">
        <w:rPr>
          <w:sz w:val="20"/>
          <w:szCs w:val="20"/>
          <w:lang w:bidi="ar-SA"/>
        </w:rPr>
        <w:t>.</w:t>
      </w:r>
    </w:p>
    <w:p w:rsidR="002B2928" w:rsidRPr="00E35F4D" w:rsidRDefault="002B2928" w:rsidP="002B2928">
      <w:pPr>
        <w:pStyle w:val="Heading1"/>
        <w:keepNext w:val="0"/>
        <w:numPr>
          <w:ilvl w:val="1"/>
          <w:numId w:val="16"/>
        </w:numPr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E</w:t>
      </w:r>
      <w:r w:rsidR="004D4284" w:rsidRPr="00E35F4D">
        <w:rPr>
          <w:sz w:val="20"/>
          <w:szCs w:val="20"/>
        </w:rPr>
        <w:t>dge SB</w:t>
      </w:r>
      <w:r w:rsidR="000B2A5F" w:rsidRPr="00E35F4D">
        <w:rPr>
          <w:sz w:val="20"/>
          <w:szCs w:val="20"/>
        </w:rPr>
        <w:t xml:space="preserve">, </w:t>
      </w:r>
      <w:r w:rsidR="004D4284" w:rsidRPr="00E35F4D">
        <w:rPr>
          <w:sz w:val="20"/>
          <w:szCs w:val="20"/>
        </w:rPr>
        <w:t>Compton CC</w:t>
      </w:r>
      <w:r w:rsidR="00C34888" w:rsidRPr="00E35F4D">
        <w:rPr>
          <w:sz w:val="20"/>
          <w:szCs w:val="20"/>
        </w:rPr>
        <w:t>:</w:t>
      </w:r>
      <w:r w:rsidR="004D4284" w:rsidRPr="00E35F4D">
        <w:rPr>
          <w:sz w:val="20"/>
          <w:szCs w:val="20"/>
        </w:rPr>
        <w:t xml:space="preserve"> The American Joint Committee on Cancer: the 7th edition of the AJCC cancer staging manual and the future of TNM.</w:t>
      </w:r>
      <w:r w:rsidR="00555A07" w:rsidRPr="00E35F4D">
        <w:rPr>
          <w:sz w:val="20"/>
          <w:szCs w:val="20"/>
        </w:rPr>
        <w:t xml:space="preserve"> Ann </w:t>
      </w:r>
      <w:proofErr w:type="spellStart"/>
      <w:r w:rsidR="00555A07" w:rsidRPr="00E35F4D">
        <w:rPr>
          <w:sz w:val="20"/>
          <w:szCs w:val="20"/>
        </w:rPr>
        <w:t>Surg</w:t>
      </w:r>
      <w:proofErr w:type="spellEnd"/>
      <w:r w:rsidR="00555A07" w:rsidRPr="00E35F4D">
        <w:rPr>
          <w:sz w:val="20"/>
          <w:szCs w:val="20"/>
        </w:rPr>
        <w:t xml:space="preserve"> </w:t>
      </w:r>
      <w:proofErr w:type="spellStart"/>
      <w:r w:rsidR="00555A07" w:rsidRPr="00E35F4D">
        <w:rPr>
          <w:sz w:val="20"/>
          <w:szCs w:val="20"/>
        </w:rPr>
        <w:t>Oncol</w:t>
      </w:r>
      <w:proofErr w:type="spellEnd"/>
      <w:r w:rsidR="00C34888" w:rsidRPr="00E35F4D">
        <w:rPr>
          <w:sz w:val="20"/>
          <w:szCs w:val="20"/>
        </w:rPr>
        <w:t>,</w:t>
      </w:r>
      <w:r w:rsidR="00555A07" w:rsidRPr="00E35F4D">
        <w:rPr>
          <w:sz w:val="20"/>
          <w:szCs w:val="20"/>
        </w:rPr>
        <w:t xml:space="preserve"> 2010; 17(6):</w:t>
      </w:r>
      <w:r w:rsidR="0083443E" w:rsidRPr="00E35F4D">
        <w:rPr>
          <w:sz w:val="20"/>
          <w:szCs w:val="20"/>
        </w:rPr>
        <w:t xml:space="preserve"> </w:t>
      </w:r>
      <w:r w:rsidR="00555A07" w:rsidRPr="00E35F4D">
        <w:rPr>
          <w:sz w:val="20"/>
          <w:szCs w:val="20"/>
        </w:rPr>
        <w:t>1471-4.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color w:val="231F20"/>
          <w:sz w:val="20"/>
          <w:szCs w:val="20"/>
          <w:lang w:bidi="ar-SA"/>
        </w:rPr>
        <w:t>H</w:t>
      </w:r>
      <w:r w:rsidR="00A24423" w:rsidRPr="00E35F4D">
        <w:rPr>
          <w:color w:val="231F20"/>
          <w:sz w:val="20"/>
          <w:szCs w:val="20"/>
          <w:lang w:bidi="ar-SA"/>
        </w:rPr>
        <w:t>amilton SR</w:t>
      </w:r>
      <w:r w:rsidR="006D4118" w:rsidRPr="00E35F4D">
        <w:rPr>
          <w:color w:val="231F20"/>
          <w:sz w:val="20"/>
          <w:szCs w:val="20"/>
          <w:lang w:bidi="ar-SA"/>
        </w:rPr>
        <w:t>,</w:t>
      </w:r>
      <w:r w:rsidR="00A24423" w:rsidRPr="00E35F4D">
        <w:rPr>
          <w:color w:val="231F20"/>
          <w:sz w:val="20"/>
          <w:szCs w:val="20"/>
          <w:lang w:bidi="ar-SA"/>
        </w:rPr>
        <w:t xml:space="preserve"> </w:t>
      </w:r>
      <w:proofErr w:type="spellStart"/>
      <w:r w:rsidR="006D4118" w:rsidRPr="00E35F4D">
        <w:rPr>
          <w:sz w:val="20"/>
          <w:szCs w:val="20"/>
          <w:lang w:bidi="ar-SA"/>
        </w:rPr>
        <w:t>Aaltonen</w:t>
      </w:r>
      <w:proofErr w:type="spellEnd"/>
      <w:r w:rsidR="006D4118" w:rsidRPr="00E35F4D">
        <w:rPr>
          <w:sz w:val="20"/>
          <w:szCs w:val="20"/>
          <w:lang w:bidi="ar-SA"/>
        </w:rPr>
        <w:t xml:space="preserve"> LA</w:t>
      </w:r>
      <w:r w:rsidR="00A24423" w:rsidRPr="00E35F4D">
        <w:rPr>
          <w:color w:val="231F20"/>
          <w:sz w:val="20"/>
          <w:szCs w:val="20"/>
          <w:lang w:bidi="ar-SA"/>
        </w:rPr>
        <w:t>.</w:t>
      </w:r>
      <w:r w:rsidR="000B2A5F" w:rsidRPr="00E35F4D">
        <w:rPr>
          <w:color w:val="231F20"/>
          <w:sz w:val="20"/>
          <w:szCs w:val="20"/>
          <w:lang w:bidi="ar-SA"/>
        </w:rPr>
        <w:t>:</w:t>
      </w:r>
      <w:r w:rsidR="00A24423" w:rsidRPr="00E35F4D">
        <w:rPr>
          <w:color w:val="231F20"/>
          <w:sz w:val="20"/>
          <w:szCs w:val="20"/>
          <w:lang w:bidi="ar-SA"/>
        </w:rPr>
        <w:t xml:space="preserve"> Pathology and genetics; tumors of the digestive system. IARC 2000; 110-111.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</w:rPr>
        <w:t>T</w:t>
      </w:r>
      <w:r w:rsidR="00940393" w:rsidRPr="00E35F4D">
        <w:rPr>
          <w:sz w:val="20"/>
          <w:szCs w:val="20"/>
        </w:rPr>
        <w:t>rotti</w:t>
      </w:r>
      <w:proofErr w:type="spellEnd"/>
      <w:r w:rsidR="00940393" w:rsidRPr="00E35F4D">
        <w:rPr>
          <w:sz w:val="20"/>
          <w:szCs w:val="20"/>
        </w:rPr>
        <w:t xml:space="preserve"> A, </w:t>
      </w:r>
      <w:proofErr w:type="spellStart"/>
      <w:r w:rsidR="00940393" w:rsidRPr="00E35F4D">
        <w:rPr>
          <w:sz w:val="20"/>
          <w:szCs w:val="20"/>
        </w:rPr>
        <w:t>Colevas</w:t>
      </w:r>
      <w:proofErr w:type="spellEnd"/>
      <w:r w:rsidR="00940393" w:rsidRPr="00E35F4D">
        <w:rPr>
          <w:sz w:val="20"/>
          <w:szCs w:val="20"/>
        </w:rPr>
        <w:t xml:space="preserve"> AD, </w:t>
      </w:r>
      <w:proofErr w:type="spellStart"/>
      <w:r w:rsidR="00940393" w:rsidRPr="00E35F4D">
        <w:rPr>
          <w:sz w:val="20"/>
          <w:szCs w:val="20"/>
        </w:rPr>
        <w:t>Setser</w:t>
      </w:r>
      <w:proofErr w:type="spellEnd"/>
      <w:r w:rsidR="00940393" w:rsidRPr="00E35F4D">
        <w:rPr>
          <w:sz w:val="20"/>
          <w:szCs w:val="20"/>
        </w:rPr>
        <w:t xml:space="preserve"> A, </w:t>
      </w:r>
      <w:proofErr w:type="spellStart"/>
      <w:r w:rsidR="00940393" w:rsidRPr="00E35F4D">
        <w:rPr>
          <w:sz w:val="20"/>
          <w:szCs w:val="20"/>
        </w:rPr>
        <w:t>Rusch</w:t>
      </w:r>
      <w:proofErr w:type="spellEnd"/>
      <w:r w:rsidR="00940393" w:rsidRPr="00E35F4D">
        <w:rPr>
          <w:sz w:val="20"/>
          <w:szCs w:val="20"/>
        </w:rPr>
        <w:t xml:space="preserve"> V, </w:t>
      </w:r>
      <w:proofErr w:type="spellStart"/>
      <w:r w:rsidR="00940393" w:rsidRPr="00E35F4D">
        <w:rPr>
          <w:sz w:val="20"/>
          <w:szCs w:val="20"/>
        </w:rPr>
        <w:t>Jaques</w:t>
      </w:r>
      <w:proofErr w:type="spellEnd"/>
      <w:r w:rsidR="00940393" w:rsidRPr="00E35F4D">
        <w:rPr>
          <w:sz w:val="20"/>
          <w:szCs w:val="20"/>
        </w:rPr>
        <w:t xml:space="preserve"> D, </w:t>
      </w:r>
      <w:proofErr w:type="spellStart"/>
      <w:r w:rsidR="00940393" w:rsidRPr="00E35F4D">
        <w:rPr>
          <w:sz w:val="20"/>
          <w:szCs w:val="20"/>
        </w:rPr>
        <w:t>Budach</w:t>
      </w:r>
      <w:proofErr w:type="spellEnd"/>
      <w:r w:rsidR="00940393" w:rsidRPr="00E35F4D">
        <w:rPr>
          <w:sz w:val="20"/>
          <w:szCs w:val="20"/>
        </w:rPr>
        <w:t xml:space="preserve"> V, et al.</w:t>
      </w:r>
      <w:r w:rsidR="004A5DB1" w:rsidRPr="00E35F4D">
        <w:rPr>
          <w:sz w:val="20"/>
          <w:szCs w:val="20"/>
        </w:rPr>
        <w:t>:</w:t>
      </w:r>
      <w:r w:rsidR="00940393" w:rsidRPr="00E35F4D">
        <w:rPr>
          <w:sz w:val="20"/>
          <w:szCs w:val="20"/>
        </w:rPr>
        <w:t xml:space="preserve"> CTCAE v3.0: development of a comprehensive grading system for the adverse effects of cancer treatment. </w:t>
      </w:r>
      <w:proofErr w:type="spellStart"/>
      <w:r w:rsidR="00940393" w:rsidRPr="00E35F4D">
        <w:rPr>
          <w:sz w:val="20"/>
          <w:szCs w:val="20"/>
        </w:rPr>
        <w:t>Semin</w:t>
      </w:r>
      <w:proofErr w:type="spellEnd"/>
      <w:r w:rsidR="00940393" w:rsidRPr="00E35F4D">
        <w:rPr>
          <w:sz w:val="20"/>
          <w:szCs w:val="20"/>
        </w:rPr>
        <w:t xml:space="preserve"> </w:t>
      </w:r>
      <w:proofErr w:type="spellStart"/>
      <w:r w:rsidR="00940393" w:rsidRPr="00E35F4D">
        <w:rPr>
          <w:sz w:val="20"/>
          <w:szCs w:val="20"/>
        </w:rPr>
        <w:t>Radia</w:t>
      </w:r>
      <w:r w:rsidR="004A5DB1" w:rsidRPr="00E35F4D">
        <w:rPr>
          <w:sz w:val="20"/>
          <w:szCs w:val="20"/>
        </w:rPr>
        <w:t>t</w:t>
      </w:r>
      <w:proofErr w:type="spellEnd"/>
      <w:r w:rsidR="004A5DB1" w:rsidRPr="00E35F4D">
        <w:rPr>
          <w:sz w:val="20"/>
          <w:szCs w:val="20"/>
        </w:rPr>
        <w:t xml:space="preserve"> </w:t>
      </w:r>
      <w:proofErr w:type="spellStart"/>
      <w:r w:rsidR="004A5DB1" w:rsidRPr="00E35F4D">
        <w:rPr>
          <w:sz w:val="20"/>
          <w:szCs w:val="20"/>
        </w:rPr>
        <w:t>Oncol</w:t>
      </w:r>
      <w:proofErr w:type="spellEnd"/>
      <w:r w:rsidR="004A5DB1" w:rsidRPr="00E35F4D">
        <w:rPr>
          <w:sz w:val="20"/>
          <w:szCs w:val="20"/>
        </w:rPr>
        <w:t xml:space="preserve">, </w:t>
      </w:r>
      <w:r w:rsidR="00940393" w:rsidRPr="00E35F4D">
        <w:rPr>
          <w:sz w:val="20"/>
          <w:szCs w:val="20"/>
        </w:rPr>
        <w:t>2003; 13</w:t>
      </w:r>
      <w:r w:rsidR="004A5DB1" w:rsidRPr="00E35F4D">
        <w:rPr>
          <w:sz w:val="20"/>
          <w:szCs w:val="20"/>
        </w:rPr>
        <w:t>(3)</w:t>
      </w:r>
      <w:r w:rsidR="00940393" w:rsidRPr="00E35F4D">
        <w:rPr>
          <w:sz w:val="20"/>
          <w:szCs w:val="20"/>
        </w:rPr>
        <w:t>:</w:t>
      </w:r>
      <w:r w:rsidR="0083443E" w:rsidRPr="00E35F4D">
        <w:rPr>
          <w:sz w:val="20"/>
          <w:szCs w:val="20"/>
        </w:rPr>
        <w:t xml:space="preserve"> </w:t>
      </w:r>
      <w:r w:rsidR="00940393" w:rsidRPr="00E35F4D">
        <w:rPr>
          <w:sz w:val="20"/>
          <w:szCs w:val="20"/>
        </w:rPr>
        <w:t>176-81.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E</w:t>
      </w:r>
      <w:r w:rsidR="00461C99" w:rsidRPr="00E35F4D">
        <w:rPr>
          <w:sz w:val="20"/>
          <w:szCs w:val="20"/>
          <w:lang w:bidi="ar-SA"/>
        </w:rPr>
        <w:t>isenhauer</w:t>
      </w:r>
      <w:proofErr w:type="spellEnd"/>
      <w:r w:rsidR="00461C99" w:rsidRPr="00E35F4D">
        <w:rPr>
          <w:sz w:val="20"/>
          <w:szCs w:val="20"/>
          <w:lang w:bidi="ar-SA"/>
        </w:rPr>
        <w:t xml:space="preserve"> EA, </w:t>
      </w:r>
      <w:proofErr w:type="spellStart"/>
      <w:r w:rsidR="00461C99" w:rsidRPr="00E35F4D">
        <w:rPr>
          <w:sz w:val="20"/>
          <w:szCs w:val="20"/>
          <w:lang w:bidi="ar-SA"/>
        </w:rPr>
        <w:t>Therasse</w:t>
      </w:r>
      <w:proofErr w:type="spellEnd"/>
      <w:r w:rsidR="00461C99" w:rsidRPr="00E35F4D">
        <w:rPr>
          <w:sz w:val="20"/>
          <w:szCs w:val="20"/>
          <w:lang w:bidi="ar-SA"/>
        </w:rPr>
        <w:t xml:space="preserve"> P, </w:t>
      </w:r>
      <w:proofErr w:type="spellStart"/>
      <w:r w:rsidR="00461C99" w:rsidRPr="00E35F4D">
        <w:rPr>
          <w:sz w:val="20"/>
          <w:szCs w:val="20"/>
          <w:lang w:bidi="ar-SA"/>
        </w:rPr>
        <w:t>Bogaerts</w:t>
      </w:r>
      <w:proofErr w:type="spellEnd"/>
      <w:r w:rsidR="00461C99" w:rsidRPr="00E35F4D">
        <w:rPr>
          <w:sz w:val="20"/>
          <w:szCs w:val="20"/>
          <w:lang w:bidi="ar-SA"/>
        </w:rPr>
        <w:t xml:space="preserve"> J, </w:t>
      </w:r>
      <w:r w:rsidR="005A0320" w:rsidRPr="00E35F4D">
        <w:rPr>
          <w:color w:val="000000"/>
          <w:sz w:val="20"/>
          <w:szCs w:val="20"/>
        </w:rPr>
        <w:t>Schwartz LH,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r w:rsidR="005A0320" w:rsidRPr="00E35F4D">
        <w:rPr>
          <w:color w:val="000000"/>
          <w:sz w:val="20"/>
          <w:szCs w:val="20"/>
        </w:rPr>
        <w:t>Sargent D,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proofErr w:type="gramStart"/>
      <w:r w:rsidR="005A0320" w:rsidRPr="00E35F4D">
        <w:rPr>
          <w:color w:val="000000"/>
          <w:sz w:val="20"/>
          <w:szCs w:val="20"/>
        </w:rPr>
        <w:t>Ford</w:t>
      </w:r>
      <w:proofErr w:type="gramEnd"/>
      <w:r w:rsidR="005A0320" w:rsidRPr="00E35F4D">
        <w:rPr>
          <w:color w:val="000000"/>
          <w:sz w:val="20"/>
          <w:szCs w:val="20"/>
        </w:rPr>
        <w:t xml:space="preserve"> R,</w:t>
      </w:r>
      <w:r w:rsidR="005A0320" w:rsidRPr="00E35F4D">
        <w:rPr>
          <w:rStyle w:val="apple-converted-space"/>
          <w:color w:val="000000"/>
          <w:sz w:val="20"/>
          <w:szCs w:val="20"/>
        </w:rPr>
        <w:t> </w:t>
      </w:r>
      <w:r w:rsidR="00461C99" w:rsidRPr="00E35F4D">
        <w:rPr>
          <w:sz w:val="20"/>
          <w:szCs w:val="20"/>
          <w:lang w:bidi="ar-SA"/>
        </w:rPr>
        <w:t>et al.</w:t>
      </w:r>
      <w:r w:rsidR="005A0320" w:rsidRPr="00E35F4D">
        <w:rPr>
          <w:sz w:val="20"/>
          <w:szCs w:val="20"/>
          <w:lang w:bidi="ar-SA"/>
        </w:rPr>
        <w:t>:</w:t>
      </w:r>
      <w:r w:rsidR="00461C99" w:rsidRPr="00E35F4D">
        <w:rPr>
          <w:sz w:val="20"/>
          <w:szCs w:val="20"/>
          <w:lang w:bidi="ar-SA"/>
        </w:rPr>
        <w:t xml:space="preserve"> New response evaluation criteria in solid </w:t>
      </w:r>
      <w:proofErr w:type="spellStart"/>
      <w:r w:rsidR="00461C99" w:rsidRPr="00E35F4D">
        <w:rPr>
          <w:sz w:val="20"/>
          <w:szCs w:val="20"/>
          <w:lang w:bidi="ar-SA"/>
        </w:rPr>
        <w:t>tumours</w:t>
      </w:r>
      <w:proofErr w:type="spellEnd"/>
      <w:r w:rsidR="00461C99" w:rsidRPr="00E35F4D">
        <w:rPr>
          <w:sz w:val="20"/>
          <w:szCs w:val="20"/>
          <w:lang w:bidi="ar-SA"/>
        </w:rPr>
        <w:t xml:space="preserve">: revised RECIST guideline (version 1.1). </w:t>
      </w:r>
      <w:proofErr w:type="spellStart"/>
      <w:r w:rsidR="00461C99" w:rsidRPr="00E35F4D">
        <w:rPr>
          <w:sz w:val="20"/>
          <w:szCs w:val="20"/>
          <w:lang w:bidi="ar-SA"/>
        </w:rPr>
        <w:t>Eur</w:t>
      </w:r>
      <w:proofErr w:type="spellEnd"/>
      <w:r w:rsidR="00461C99" w:rsidRPr="00E35F4D">
        <w:rPr>
          <w:sz w:val="20"/>
          <w:szCs w:val="20"/>
          <w:lang w:bidi="ar-SA"/>
        </w:rPr>
        <w:t xml:space="preserve"> J Cancer</w:t>
      </w:r>
      <w:r w:rsidR="005A0320" w:rsidRPr="00E35F4D">
        <w:rPr>
          <w:sz w:val="20"/>
          <w:szCs w:val="20"/>
          <w:lang w:bidi="ar-SA"/>
        </w:rPr>
        <w:t xml:space="preserve">, </w:t>
      </w:r>
      <w:r w:rsidR="00461C99" w:rsidRPr="00E35F4D">
        <w:rPr>
          <w:sz w:val="20"/>
          <w:szCs w:val="20"/>
          <w:lang w:bidi="ar-SA"/>
        </w:rPr>
        <w:t>2009; 45(2):</w:t>
      </w:r>
      <w:r w:rsidR="00461C99" w:rsidRPr="00E35F4D">
        <w:rPr>
          <w:sz w:val="20"/>
          <w:szCs w:val="20"/>
        </w:rPr>
        <w:t xml:space="preserve"> 228-47.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OfficinaSansLT-Book"/>
          <w:color w:val="131313"/>
          <w:sz w:val="20"/>
          <w:szCs w:val="20"/>
          <w:lang w:bidi="ar-SA"/>
        </w:rPr>
      </w:pPr>
      <w:proofErr w:type="spellStart"/>
      <w:r w:rsidRPr="00E35F4D">
        <w:rPr>
          <w:rFonts w:eastAsia="OfficinaSansLT-Book"/>
          <w:color w:val="131313"/>
          <w:sz w:val="20"/>
          <w:szCs w:val="20"/>
          <w:lang w:bidi="ar-SA"/>
        </w:rPr>
        <w:t>P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ahlman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L</w:t>
      </w:r>
      <w:r w:rsidR="000B2A5F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Glimelius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B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Pre- or postoperative radiotherapy in rectal and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rectosigmoid</w:t>
      </w:r>
      <w:proofErr w:type="spellEnd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carcinoma. Report from a randomized multicenter trial. Ann </w:t>
      </w:r>
      <w:proofErr w:type="spellStart"/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Surg</w:t>
      </w:r>
      <w:proofErr w:type="spellEnd"/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 xml:space="preserve"> 1990; 211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>(2)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5A0320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C5928" w:rsidRPr="00E35F4D">
        <w:rPr>
          <w:rFonts w:eastAsia="OfficinaSansLT-Book"/>
          <w:color w:val="131313"/>
          <w:sz w:val="20"/>
          <w:szCs w:val="20"/>
          <w:lang w:bidi="ar-SA"/>
        </w:rPr>
        <w:t>187–95.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rFonts w:eastAsia="OfficinaSansLT-Book"/>
          <w:color w:val="131313"/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t>G</w:t>
      </w:r>
      <w:r w:rsidR="00C56699" w:rsidRPr="00E35F4D">
        <w:rPr>
          <w:sz w:val="20"/>
          <w:szCs w:val="20"/>
          <w:lang w:bidi="ar-SA"/>
        </w:rPr>
        <w:t>lynne</w:t>
      </w:r>
      <w:proofErr w:type="spellEnd"/>
      <w:r w:rsidR="00C56699" w:rsidRPr="00E35F4D">
        <w:rPr>
          <w:sz w:val="20"/>
          <w:szCs w:val="20"/>
          <w:lang w:bidi="ar-SA"/>
        </w:rPr>
        <w:t>-Jones R</w:t>
      </w:r>
      <w:r w:rsidR="000B2A5F" w:rsidRPr="00E35F4D">
        <w:rPr>
          <w:sz w:val="20"/>
          <w:szCs w:val="20"/>
          <w:lang w:bidi="ar-SA"/>
        </w:rPr>
        <w:t>,</w:t>
      </w:r>
      <w:r w:rsidR="00C56699" w:rsidRPr="00E35F4D">
        <w:rPr>
          <w:sz w:val="20"/>
          <w:szCs w:val="20"/>
          <w:lang w:bidi="ar-SA"/>
        </w:rPr>
        <w:t xml:space="preserve"> </w:t>
      </w:r>
      <w:proofErr w:type="spellStart"/>
      <w:r w:rsidR="00C56699" w:rsidRPr="00E35F4D">
        <w:rPr>
          <w:sz w:val="20"/>
          <w:szCs w:val="20"/>
          <w:lang w:bidi="ar-SA"/>
        </w:rPr>
        <w:t>Sebag</w:t>
      </w:r>
      <w:proofErr w:type="spellEnd"/>
      <w:r w:rsidR="00C56699" w:rsidRPr="00E35F4D">
        <w:rPr>
          <w:sz w:val="20"/>
          <w:szCs w:val="20"/>
          <w:lang w:bidi="ar-SA"/>
        </w:rPr>
        <w:t>-Montefiore D</w:t>
      </w:r>
      <w:r w:rsidR="003726A2" w:rsidRPr="00E35F4D">
        <w:rPr>
          <w:sz w:val="20"/>
          <w:szCs w:val="20"/>
          <w:lang w:bidi="ar-SA"/>
        </w:rPr>
        <w:t>:</w:t>
      </w:r>
      <w:r w:rsidRPr="00E35F4D">
        <w:rPr>
          <w:sz w:val="20"/>
          <w:szCs w:val="20"/>
          <w:lang w:bidi="ar-SA"/>
        </w:rPr>
        <w:t xml:space="preserve"> </w:t>
      </w:r>
      <w:r w:rsidR="00C56699" w:rsidRPr="00E35F4D">
        <w:rPr>
          <w:sz w:val="20"/>
          <w:szCs w:val="20"/>
          <w:lang w:bidi="ar-SA"/>
        </w:rPr>
        <w:t xml:space="preserve">Role of neoadjuvant chemotherapy in rectal cancer: interpretation of the EXPERT study. J </w:t>
      </w:r>
      <w:proofErr w:type="spellStart"/>
      <w:r w:rsidR="00C56699" w:rsidRPr="00E35F4D">
        <w:rPr>
          <w:sz w:val="20"/>
          <w:szCs w:val="20"/>
          <w:lang w:bidi="ar-SA"/>
        </w:rPr>
        <w:t>Clin</w:t>
      </w:r>
      <w:proofErr w:type="spellEnd"/>
      <w:r w:rsidR="00C56699" w:rsidRPr="00E35F4D">
        <w:rPr>
          <w:sz w:val="20"/>
          <w:szCs w:val="20"/>
          <w:lang w:bidi="ar-SA"/>
        </w:rPr>
        <w:t xml:space="preserve"> </w:t>
      </w:r>
      <w:proofErr w:type="spellStart"/>
      <w:r w:rsidR="00C56699" w:rsidRPr="00E35F4D">
        <w:rPr>
          <w:sz w:val="20"/>
          <w:szCs w:val="20"/>
          <w:lang w:bidi="ar-SA"/>
        </w:rPr>
        <w:t>Oncol</w:t>
      </w:r>
      <w:proofErr w:type="spellEnd"/>
      <w:r w:rsidR="003726A2" w:rsidRPr="00E35F4D">
        <w:rPr>
          <w:sz w:val="20"/>
          <w:szCs w:val="20"/>
          <w:lang w:bidi="ar-SA"/>
        </w:rPr>
        <w:t>,</w:t>
      </w:r>
      <w:r w:rsidR="00C56699" w:rsidRPr="00E35F4D">
        <w:rPr>
          <w:sz w:val="20"/>
          <w:szCs w:val="20"/>
          <w:lang w:bidi="ar-SA"/>
        </w:rPr>
        <w:t xml:space="preserve"> 2006; 24</w:t>
      </w:r>
      <w:r w:rsidR="003726A2" w:rsidRPr="00E35F4D">
        <w:rPr>
          <w:sz w:val="20"/>
          <w:szCs w:val="20"/>
          <w:lang w:bidi="ar-SA"/>
        </w:rPr>
        <w:t>(28)</w:t>
      </w:r>
      <w:r w:rsidR="00C56699" w:rsidRPr="00E35F4D">
        <w:rPr>
          <w:sz w:val="20"/>
          <w:szCs w:val="20"/>
          <w:lang w:bidi="ar-SA"/>
        </w:rPr>
        <w:t>:</w:t>
      </w:r>
      <w:r w:rsidR="003726A2" w:rsidRPr="00E35F4D">
        <w:rPr>
          <w:sz w:val="20"/>
          <w:szCs w:val="20"/>
          <w:lang w:bidi="ar-SA"/>
        </w:rPr>
        <w:t xml:space="preserve"> 4664–</w:t>
      </w:r>
      <w:r w:rsidR="00C56699" w:rsidRPr="00E35F4D">
        <w:rPr>
          <w:sz w:val="20"/>
          <w:szCs w:val="20"/>
          <w:lang w:bidi="ar-SA"/>
        </w:rPr>
        <w:t>5</w:t>
      </w:r>
      <w:r w:rsidR="00C56699" w:rsidRPr="00E35F4D">
        <w:rPr>
          <w:rFonts w:eastAsia="OfficinaSansLT-Book"/>
          <w:color w:val="131313"/>
          <w:sz w:val="20"/>
          <w:szCs w:val="20"/>
          <w:lang w:bidi="ar-SA"/>
        </w:rPr>
        <w:t>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proofErr w:type="spellStart"/>
      <w:r w:rsidRPr="00E35F4D">
        <w:rPr>
          <w:sz w:val="20"/>
          <w:szCs w:val="20"/>
          <w:lang w:bidi="ar-SA"/>
        </w:rPr>
        <w:lastRenderedPageBreak/>
        <w:t>S</w:t>
      </w:r>
      <w:r w:rsidR="00AF5F78" w:rsidRPr="00E35F4D">
        <w:rPr>
          <w:sz w:val="20"/>
          <w:szCs w:val="20"/>
          <w:lang w:bidi="ar-SA"/>
        </w:rPr>
        <w:t>chou</w:t>
      </w:r>
      <w:proofErr w:type="spellEnd"/>
      <w:r w:rsidR="00AF5F78" w:rsidRPr="00E35F4D">
        <w:rPr>
          <w:sz w:val="20"/>
          <w:szCs w:val="20"/>
          <w:lang w:bidi="ar-SA"/>
        </w:rPr>
        <w:t xml:space="preserve"> JV, Larsen FO, </w:t>
      </w:r>
      <w:proofErr w:type="spellStart"/>
      <w:r w:rsidR="00AF5F78" w:rsidRPr="00E35F4D">
        <w:rPr>
          <w:sz w:val="20"/>
          <w:szCs w:val="20"/>
          <w:lang w:bidi="ar-SA"/>
        </w:rPr>
        <w:t>Rasch</w:t>
      </w:r>
      <w:proofErr w:type="spellEnd"/>
      <w:r w:rsidR="00AF5F78" w:rsidRPr="00E35F4D">
        <w:rPr>
          <w:sz w:val="20"/>
          <w:szCs w:val="20"/>
          <w:lang w:bidi="ar-SA"/>
        </w:rPr>
        <w:t xml:space="preserve"> L, </w:t>
      </w:r>
      <w:proofErr w:type="spellStart"/>
      <w:r w:rsidR="00AF5F78" w:rsidRPr="00E35F4D">
        <w:rPr>
          <w:sz w:val="20"/>
          <w:szCs w:val="20"/>
          <w:lang w:bidi="ar-SA"/>
        </w:rPr>
        <w:t>Linnemann</w:t>
      </w:r>
      <w:proofErr w:type="spellEnd"/>
      <w:r w:rsidR="00AF5F78" w:rsidRPr="00E35F4D">
        <w:rPr>
          <w:sz w:val="20"/>
          <w:szCs w:val="20"/>
          <w:lang w:bidi="ar-SA"/>
        </w:rPr>
        <w:t xml:space="preserve"> D, </w:t>
      </w:r>
      <w:proofErr w:type="spellStart"/>
      <w:r w:rsidR="00AF5F78" w:rsidRPr="00E35F4D">
        <w:rPr>
          <w:sz w:val="20"/>
          <w:szCs w:val="20"/>
          <w:lang w:bidi="ar-SA"/>
        </w:rPr>
        <w:t>Langhoff</w:t>
      </w:r>
      <w:proofErr w:type="spellEnd"/>
      <w:r w:rsidR="00AF5F78" w:rsidRPr="00E35F4D">
        <w:rPr>
          <w:sz w:val="20"/>
          <w:szCs w:val="20"/>
          <w:lang w:bidi="ar-SA"/>
        </w:rPr>
        <w:t xml:space="preserve"> J, </w:t>
      </w:r>
      <w:proofErr w:type="spellStart"/>
      <w:proofErr w:type="gramStart"/>
      <w:r w:rsidR="00AF5F78" w:rsidRPr="00E35F4D">
        <w:rPr>
          <w:sz w:val="20"/>
          <w:szCs w:val="20"/>
          <w:lang w:bidi="ar-SA"/>
        </w:rPr>
        <w:t>Høgdall</w:t>
      </w:r>
      <w:proofErr w:type="spellEnd"/>
      <w:proofErr w:type="gramEnd"/>
      <w:r w:rsidR="00AF5F78" w:rsidRPr="00E35F4D">
        <w:rPr>
          <w:sz w:val="20"/>
          <w:szCs w:val="20"/>
          <w:lang w:bidi="ar-SA"/>
        </w:rPr>
        <w:t xml:space="preserve"> E, </w:t>
      </w:r>
      <w:r w:rsidR="00AF5F78" w:rsidRPr="00E35F4D">
        <w:rPr>
          <w:sz w:val="20"/>
          <w:szCs w:val="20"/>
        </w:rPr>
        <w:t>et al.</w:t>
      </w:r>
      <w:r w:rsidR="003726A2" w:rsidRPr="00E35F4D">
        <w:rPr>
          <w:sz w:val="20"/>
          <w:szCs w:val="20"/>
        </w:rPr>
        <w:t>:</w:t>
      </w:r>
      <w:r w:rsidR="00AF5F78" w:rsidRPr="00E35F4D">
        <w:rPr>
          <w:sz w:val="20"/>
          <w:szCs w:val="20"/>
          <w:lang w:bidi="ar-SA"/>
        </w:rPr>
        <w:t xml:space="preserve"> Induction chemotherapy with </w:t>
      </w:r>
      <w:proofErr w:type="spellStart"/>
      <w:r w:rsidR="00AF5F78" w:rsidRPr="00E35F4D">
        <w:rPr>
          <w:sz w:val="20"/>
          <w:szCs w:val="20"/>
          <w:lang w:bidi="ar-SA"/>
        </w:rPr>
        <w:t>capecitabine</w:t>
      </w:r>
      <w:proofErr w:type="spellEnd"/>
      <w:r w:rsidR="00AF5F78" w:rsidRPr="00E35F4D">
        <w:rPr>
          <w:sz w:val="20"/>
          <w:szCs w:val="20"/>
          <w:lang w:bidi="ar-SA"/>
        </w:rPr>
        <w:t xml:space="preserve"> and </w:t>
      </w:r>
      <w:proofErr w:type="spellStart"/>
      <w:r w:rsidR="00AF5F78" w:rsidRPr="00E35F4D">
        <w:rPr>
          <w:sz w:val="20"/>
          <w:szCs w:val="20"/>
          <w:lang w:bidi="ar-SA"/>
        </w:rPr>
        <w:t>oxaliplatin</w:t>
      </w:r>
      <w:proofErr w:type="spellEnd"/>
      <w:r w:rsidR="00AF5F78" w:rsidRPr="00E35F4D">
        <w:rPr>
          <w:sz w:val="20"/>
          <w:szCs w:val="20"/>
          <w:lang w:bidi="ar-SA"/>
        </w:rPr>
        <w:t xml:space="preserve"> followed by chemoradiotherapy before total </w:t>
      </w:r>
      <w:proofErr w:type="spellStart"/>
      <w:r w:rsidR="00AF5F78" w:rsidRPr="00E35F4D">
        <w:rPr>
          <w:sz w:val="20"/>
          <w:szCs w:val="20"/>
          <w:lang w:bidi="ar-SA"/>
        </w:rPr>
        <w:t>mesorectal</w:t>
      </w:r>
      <w:proofErr w:type="spellEnd"/>
      <w:r w:rsidR="00AF5F78" w:rsidRPr="00E35F4D">
        <w:rPr>
          <w:sz w:val="20"/>
          <w:szCs w:val="20"/>
          <w:lang w:bidi="ar-SA"/>
        </w:rPr>
        <w:t xml:space="preserve"> excision in patients with locally advanced rectal cancer. Ann </w:t>
      </w:r>
      <w:proofErr w:type="spellStart"/>
      <w:r w:rsidR="00AF5F78" w:rsidRPr="00E35F4D">
        <w:rPr>
          <w:sz w:val="20"/>
          <w:szCs w:val="20"/>
          <w:lang w:bidi="ar-SA"/>
        </w:rPr>
        <w:t>Oncol</w:t>
      </w:r>
      <w:proofErr w:type="spellEnd"/>
      <w:r w:rsidR="00AF5F78" w:rsidRPr="00E35F4D">
        <w:rPr>
          <w:sz w:val="20"/>
          <w:szCs w:val="20"/>
          <w:lang w:bidi="ar-SA"/>
        </w:rPr>
        <w:t xml:space="preserve"> 2012</w:t>
      </w:r>
      <w:r w:rsidR="003726A2" w:rsidRPr="00E35F4D">
        <w:rPr>
          <w:sz w:val="20"/>
          <w:szCs w:val="20"/>
          <w:lang w:bidi="ar-SA"/>
        </w:rPr>
        <w:t>; 23(10): 2627-3</w:t>
      </w:r>
      <w:r w:rsidRPr="00E35F4D">
        <w:rPr>
          <w:sz w:val="20"/>
          <w:szCs w:val="20"/>
          <w:lang w:bidi="ar-SA"/>
        </w:rPr>
        <w:t>3.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K</w:t>
      </w:r>
      <w:r w:rsidR="00797C47" w:rsidRPr="00E35F4D">
        <w:rPr>
          <w:sz w:val="20"/>
          <w:szCs w:val="20"/>
          <w:lang w:bidi="ar-SA"/>
        </w:rPr>
        <w:t>oeberle</w:t>
      </w:r>
      <w:proofErr w:type="spellEnd"/>
      <w:r w:rsidR="00797C47" w:rsidRPr="00E35F4D">
        <w:rPr>
          <w:sz w:val="20"/>
          <w:szCs w:val="20"/>
          <w:lang w:bidi="ar-SA"/>
        </w:rPr>
        <w:t xml:space="preserve"> D, </w:t>
      </w:r>
      <w:proofErr w:type="spellStart"/>
      <w:r w:rsidR="00797C47" w:rsidRPr="00E35F4D">
        <w:rPr>
          <w:sz w:val="20"/>
          <w:szCs w:val="20"/>
          <w:lang w:bidi="ar-SA"/>
        </w:rPr>
        <w:t>Burkhard</w:t>
      </w:r>
      <w:proofErr w:type="spellEnd"/>
      <w:r w:rsidR="00600B87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>, von Moos</w:t>
      </w:r>
      <w:r w:rsidR="004A3468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 xml:space="preserve">, </w:t>
      </w:r>
      <w:proofErr w:type="spellStart"/>
      <w:r w:rsidR="00797C47" w:rsidRPr="00E35F4D">
        <w:rPr>
          <w:sz w:val="20"/>
          <w:szCs w:val="20"/>
          <w:lang w:bidi="ar-SA"/>
        </w:rPr>
        <w:t>Winterhalder</w:t>
      </w:r>
      <w:proofErr w:type="spellEnd"/>
      <w:r w:rsidR="004A3468" w:rsidRPr="00E35F4D">
        <w:rPr>
          <w:sz w:val="20"/>
          <w:szCs w:val="20"/>
          <w:lang w:bidi="ar-SA"/>
        </w:rPr>
        <w:t xml:space="preserve"> R</w:t>
      </w:r>
      <w:r w:rsidR="00797C47" w:rsidRPr="00E35F4D">
        <w:rPr>
          <w:sz w:val="20"/>
          <w:szCs w:val="20"/>
          <w:lang w:bidi="ar-SA"/>
        </w:rPr>
        <w:t>, Hess</w:t>
      </w:r>
      <w:r w:rsidR="004A3468" w:rsidRPr="00E35F4D">
        <w:rPr>
          <w:sz w:val="20"/>
          <w:szCs w:val="20"/>
          <w:lang w:bidi="ar-SA"/>
        </w:rPr>
        <w:t xml:space="preserve"> V</w:t>
      </w:r>
      <w:r w:rsidR="00797C47" w:rsidRPr="00E35F4D">
        <w:rPr>
          <w:sz w:val="20"/>
          <w:szCs w:val="20"/>
          <w:lang w:bidi="ar-SA"/>
        </w:rPr>
        <w:t xml:space="preserve">, </w:t>
      </w:r>
      <w:proofErr w:type="spellStart"/>
      <w:r w:rsidR="00797C47" w:rsidRPr="00E35F4D">
        <w:rPr>
          <w:sz w:val="20"/>
          <w:szCs w:val="20"/>
          <w:lang w:bidi="ar-SA"/>
        </w:rPr>
        <w:t>Heitzmann</w:t>
      </w:r>
      <w:proofErr w:type="spellEnd"/>
      <w:r w:rsidR="004A3468" w:rsidRPr="00E35F4D">
        <w:rPr>
          <w:sz w:val="20"/>
          <w:szCs w:val="20"/>
          <w:lang w:bidi="ar-SA"/>
        </w:rPr>
        <w:t xml:space="preserve"> F</w:t>
      </w:r>
      <w:r w:rsidR="00797C47" w:rsidRPr="00E35F4D">
        <w:rPr>
          <w:sz w:val="20"/>
          <w:szCs w:val="20"/>
          <w:lang w:bidi="ar-SA"/>
        </w:rPr>
        <w:t xml:space="preserve">, </w:t>
      </w:r>
      <w:r w:rsidR="004A3468" w:rsidRPr="00E35F4D">
        <w:rPr>
          <w:sz w:val="20"/>
          <w:szCs w:val="20"/>
        </w:rPr>
        <w:t>et al.</w:t>
      </w:r>
      <w:r w:rsidR="003726A2" w:rsidRPr="00E35F4D">
        <w:rPr>
          <w:sz w:val="20"/>
          <w:szCs w:val="20"/>
        </w:rPr>
        <w:t>:</w:t>
      </w:r>
      <w:r w:rsidR="00797C47" w:rsidRPr="00E35F4D">
        <w:rPr>
          <w:sz w:val="20"/>
          <w:szCs w:val="20"/>
          <w:lang w:bidi="ar-SA"/>
        </w:rPr>
        <w:t xml:space="preserve"> Phase II study of </w:t>
      </w:r>
      <w:proofErr w:type="spellStart"/>
      <w:r w:rsidR="00797C47" w:rsidRPr="00E35F4D">
        <w:rPr>
          <w:sz w:val="20"/>
          <w:szCs w:val="20"/>
          <w:lang w:bidi="ar-SA"/>
        </w:rPr>
        <w:t>capecitabine</w:t>
      </w:r>
      <w:proofErr w:type="spellEnd"/>
      <w:r w:rsidR="00797C47" w:rsidRPr="00E35F4D">
        <w:rPr>
          <w:sz w:val="20"/>
          <w:szCs w:val="20"/>
          <w:lang w:bidi="ar-SA"/>
        </w:rPr>
        <w:t xml:space="preserve"> and </w:t>
      </w:r>
      <w:proofErr w:type="spellStart"/>
      <w:r w:rsidR="00797C47" w:rsidRPr="00E35F4D">
        <w:rPr>
          <w:sz w:val="20"/>
          <w:szCs w:val="20"/>
          <w:lang w:bidi="ar-SA"/>
        </w:rPr>
        <w:t>oxaliplatin</w:t>
      </w:r>
      <w:proofErr w:type="spellEnd"/>
      <w:r w:rsidR="00797C47" w:rsidRPr="00E35F4D">
        <w:rPr>
          <w:sz w:val="20"/>
          <w:szCs w:val="20"/>
          <w:lang w:bidi="ar-SA"/>
        </w:rPr>
        <w:t xml:space="preserve"> given prior to and</w:t>
      </w:r>
      <w:r w:rsidR="004A3468" w:rsidRPr="00E35F4D">
        <w:rPr>
          <w:sz w:val="20"/>
          <w:szCs w:val="20"/>
          <w:lang w:bidi="ar-SA"/>
        </w:rPr>
        <w:t xml:space="preserve"> </w:t>
      </w:r>
      <w:r w:rsidR="00797C47" w:rsidRPr="00E35F4D">
        <w:rPr>
          <w:sz w:val="20"/>
          <w:szCs w:val="20"/>
          <w:lang w:bidi="ar-SA"/>
        </w:rPr>
        <w:t>concurrently with preoperative pelvic radiotherapy in patients</w:t>
      </w:r>
      <w:r w:rsidR="004A3468" w:rsidRPr="00E35F4D">
        <w:rPr>
          <w:sz w:val="20"/>
          <w:szCs w:val="20"/>
          <w:lang w:bidi="ar-SA"/>
        </w:rPr>
        <w:t xml:space="preserve"> </w:t>
      </w:r>
      <w:r w:rsidR="00797C47" w:rsidRPr="00E35F4D">
        <w:rPr>
          <w:sz w:val="20"/>
          <w:szCs w:val="20"/>
          <w:lang w:bidi="ar-SA"/>
        </w:rPr>
        <w:t>with locally advanced rectal cancer</w:t>
      </w:r>
      <w:r w:rsidR="004A3468" w:rsidRPr="00E35F4D">
        <w:rPr>
          <w:sz w:val="20"/>
          <w:szCs w:val="20"/>
          <w:lang w:bidi="ar-SA"/>
        </w:rPr>
        <w:t>.</w:t>
      </w:r>
      <w:r w:rsidR="00797C47" w:rsidRPr="00E35F4D">
        <w:rPr>
          <w:sz w:val="20"/>
          <w:szCs w:val="20"/>
          <w:lang w:bidi="ar-SA"/>
        </w:rPr>
        <w:t xml:space="preserve"> Br J Cancer</w:t>
      </w:r>
      <w:r w:rsidR="003726A2" w:rsidRPr="00E35F4D">
        <w:rPr>
          <w:sz w:val="20"/>
          <w:szCs w:val="20"/>
          <w:lang w:bidi="ar-SA"/>
        </w:rPr>
        <w:t>,</w:t>
      </w:r>
      <w:r w:rsidR="00797C47" w:rsidRPr="00E35F4D">
        <w:rPr>
          <w:sz w:val="20"/>
          <w:szCs w:val="20"/>
          <w:lang w:bidi="ar-SA"/>
        </w:rPr>
        <w:t xml:space="preserve"> 2008</w:t>
      </w:r>
      <w:r w:rsidR="00470E31" w:rsidRPr="00E35F4D">
        <w:rPr>
          <w:sz w:val="20"/>
          <w:szCs w:val="20"/>
          <w:lang w:bidi="ar-SA"/>
        </w:rPr>
        <w:t>;</w:t>
      </w:r>
      <w:r w:rsidR="00797C47" w:rsidRPr="00E35F4D">
        <w:rPr>
          <w:sz w:val="20"/>
          <w:szCs w:val="20"/>
          <w:lang w:bidi="ar-SA"/>
        </w:rPr>
        <w:t xml:space="preserve"> 98</w:t>
      </w:r>
      <w:r w:rsidR="003726A2" w:rsidRPr="00E35F4D">
        <w:rPr>
          <w:sz w:val="20"/>
          <w:szCs w:val="20"/>
          <w:lang w:bidi="ar-SA"/>
        </w:rPr>
        <w:t>(7)</w:t>
      </w:r>
      <w:r w:rsidR="00470E31" w:rsidRPr="00E35F4D">
        <w:rPr>
          <w:sz w:val="20"/>
          <w:szCs w:val="20"/>
          <w:lang w:bidi="ar-SA"/>
        </w:rPr>
        <w:t>:</w:t>
      </w:r>
      <w:r w:rsidR="00797C47" w:rsidRPr="00E35F4D">
        <w:rPr>
          <w:sz w:val="20"/>
          <w:szCs w:val="20"/>
          <w:lang w:bidi="ar-SA"/>
        </w:rPr>
        <w:t xml:space="preserve"> 1204–9.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color w:val="000000"/>
          <w:sz w:val="20"/>
          <w:szCs w:val="20"/>
        </w:rPr>
        <w:t>F</w:t>
      </w:r>
      <w:r w:rsidR="008A3B3A" w:rsidRPr="00E35F4D">
        <w:rPr>
          <w:color w:val="000000"/>
          <w:sz w:val="20"/>
          <w:szCs w:val="20"/>
        </w:rPr>
        <w:t>ernández-Martos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Pericay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8A3B3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8A3B3A" w:rsidRPr="00E35F4D">
        <w:rPr>
          <w:color w:val="000000"/>
          <w:sz w:val="20"/>
          <w:szCs w:val="20"/>
        </w:rPr>
        <w:t>Aparicio</w:t>
      </w:r>
      <w:proofErr w:type="spellEnd"/>
      <w:r w:rsidR="008A3B3A" w:rsidRPr="00E35F4D">
        <w:rPr>
          <w:color w:val="000000"/>
          <w:sz w:val="20"/>
          <w:szCs w:val="20"/>
        </w:rPr>
        <w:t xml:space="preserve"> J,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0B2A5F" w:rsidRPr="00E35F4D">
        <w:rPr>
          <w:color w:val="000000"/>
          <w:sz w:val="20"/>
          <w:szCs w:val="20"/>
        </w:rPr>
        <w:t>Salud</w:t>
      </w:r>
      <w:proofErr w:type="spellEnd"/>
      <w:r w:rsidR="000B2A5F" w:rsidRPr="00E35F4D">
        <w:rPr>
          <w:color w:val="000000"/>
          <w:sz w:val="20"/>
          <w:szCs w:val="20"/>
        </w:rPr>
        <w:t xml:space="preserve"> A</w:t>
      </w:r>
      <w:r w:rsidR="008A3B3A" w:rsidRPr="00E35F4D">
        <w:rPr>
          <w:color w:val="000000"/>
          <w:sz w:val="20"/>
          <w:szCs w:val="20"/>
        </w:rPr>
        <w:t>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Safont</w:t>
      </w:r>
      <w:proofErr w:type="spellEnd"/>
      <w:r w:rsidR="008A3B3A" w:rsidRPr="00E35F4D">
        <w:rPr>
          <w:color w:val="000000"/>
          <w:sz w:val="20"/>
          <w:szCs w:val="20"/>
        </w:rPr>
        <w:t xml:space="preserve"> M,</w:t>
      </w:r>
      <w:r w:rsidR="00E35F4D">
        <w:rPr>
          <w:rStyle w:val="apple-converted-space"/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proofErr w:type="gramStart"/>
      <w:r w:rsidR="008A3B3A" w:rsidRPr="00E35F4D">
        <w:rPr>
          <w:color w:val="000000"/>
          <w:sz w:val="20"/>
          <w:szCs w:val="20"/>
        </w:rPr>
        <w:t>Massuti</w:t>
      </w:r>
      <w:proofErr w:type="spellEnd"/>
      <w:proofErr w:type="gramEnd"/>
      <w:r w:rsidR="008A3B3A" w:rsidRPr="00E35F4D">
        <w:rPr>
          <w:color w:val="000000"/>
          <w:sz w:val="20"/>
          <w:szCs w:val="20"/>
        </w:rPr>
        <w:t xml:space="preserve"> B,</w:t>
      </w:r>
      <w:r w:rsidR="008A3B3A" w:rsidRPr="00E35F4D">
        <w:rPr>
          <w:rStyle w:val="apple-converted-space"/>
          <w:color w:val="000000"/>
          <w:sz w:val="20"/>
          <w:szCs w:val="20"/>
        </w:rPr>
        <w:t> et al.: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Phase II, randomized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study of concomitant chemoradiotherapy followed by surgery and adjuvant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capecitabine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plus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oxaliplatin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(CAPOX) compared with induction CAPOX followed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by concomitant chemoradiotherapy and surgery in magnetic resonance</w:t>
      </w:r>
      <w:r w:rsidR="005F2A27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imaging-defined, locally advanced rectal cancer: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Grupo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cancer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derecto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3 study. J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Clin</w:t>
      </w:r>
      <w:proofErr w:type="spellEnd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proofErr w:type="spellStart"/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Oncol</w:t>
      </w:r>
      <w:proofErr w:type="spellEnd"/>
      <w:r w:rsidR="00BA395D" w:rsidRPr="00E35F4D">
        <w:rPr>
          <w:rFonts w:eastAsia="OfficinaSansLT-Book"/>
          <w:color w:val="131313"/>
          <w:sz w:val="20"/>
          <w:szCs w:val="20"/>
          <w:lang w:bidi="ar-SA"/>
        </w:rPr>
        <w:t>,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 xml:space="preserve"> 2010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; 28</w:t>
      </w:r>
      <w:r w:rsidR="00BA395D" w:rsidRPr="00E35F4D">
        <w:rPr>
          <w:rFonts w:eastAsia="OfficinaSansLT-Book"/>
          <w:color w:val="131313"/>
          <w:sz w:val="20"/>
          <w:szCs w:val="20"/>
          <w:lang w:bidi="ar-SA"/>
        </w:rPr>
        <w:t>(5)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:</w:t>
      </w:r>
      <w:r w:rsidR="0083443E" w:rsidRPr="00E35F4D">
        <w:rPr>
          <w:rFonts w:eastAsia="OfficinaSansLT-Book"/>
          <w:color w:val="131313"/>
          <w:sz w:val="20"/>
          <w:szCs w:val="20"/>
          <w:lang w:bidi="ar-SA"/>
        </w:rPr>
        <w:t xml:space="preserve"> </w:t>
      </w:r>
      <w:r w:rsidR="00995B46" w:rsidRPr="00E35F4D">
        <w:rPr>
          <w:rFonts w:eastAsia="OfficinaSansLT-Book"/>
          <w:color w:val="131313"/>
          <w:sz w:val="20"/>
          <w:szCs w:val="20"/>
          <w:lang w:bidi="ar-SA"/>
        </w:rPr>
        <w:t>859</w:t>
      </w:r>
      <w:r w:rsidR="00112516" w:rsidRPr="00E35F4D">
        <w:rPr>
          <w:rFonts w:eastAsia="OfficinaSansLT-Book"/>
          <w:color w:val="131313"/>
          <w:sz w:val="20"/>
          <w:szCs w:val="20"/>
          <w:lang w:bidi="ar-SA"/>
        </w:rPr>
        <w:t>–65.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  <w:lang w:bidi="ar-SA"/>
        </w:rPr>
        <w:t>M</w:t>
      </w:r>
      <w:r w:rsidR="00265E9F" w:rsidRPr="00E35F4D">
        <w:rPr>
          <w:sz w:val="20"/>
          <w:szCs w:val="20"/>
          <w:lang w:bidi="ar-SA"/>
        </w:rPr>
        <w:t xml:space="preserve">aas M, </w:t>
      </w:r>
      <w:proofErr w:type="spellStart"/>
      <w:r w:rsidR="00265E9F" w:rsidRPr="00E35F4D">
        <w:rPr>
          <w:sz w:val="20"/>
          <w:szCs w:val="20"/>
          <w:lang w:bidi="ar-SA"/>
        </w:rPr>
        <w:t>Nelemans</w:t>
      </w:r>
      <w:proofErr w:type="spellEnd"/>
      <w:r w:rsidR="00265E9F" w:rsidRPr="00E35F4D">
        <w:rPr>
          <w:sz w:val="20"/>
          <w:szCs w:val="20"/>
          <w:lang w:bidi="ar-SA"/>
        </w:rPr>
        <w:t xml:space="preserve"> PJ, </w:t>
      </w:r>
      <w:proofErr w:type="spellStart"/>
      <w:r w:rsidR="00265E9F" w:rsidRPr="00E35F4D">
        <w:rPr>
          <w:sz w:val="20"/>
          <w:szCs w:val="20"/>
          <w:lang w:bidi="ar-SA"/>
        </w:rPr>
        <w:t>Valentini</w:t>
      </w:r>
      <w:proofErr w:type="spellEnd"/>
      <w:r w:rsidR="00265E9F" w:rsidRPr="00E35F4D">
        <w:rPr>
          <w:sz w:val="20"/>
          <w:szCs w:val="20"/>
          <w:lang w:bidi="ar-SA"/>
        </w:rPr>
        <w:t xml:space="preserve"> V</w:t>
      </w:r>
      <w:r w:rsidR="008A3B3A" w:rsidRPr="00E35F4D">
        <w:rPr>
          <w:sz w:val="20"/>
          <w:szCs w:val="20"/>
          <w:lang w:bidi="ar-SA"/>
        </w:rPr>
        <w:t>,</w:t>
      </w:r>
      <w:r w:rsidR="00265E9F" w:rsidRPr="00E35F4D">
        <w:rPr>
          <w:sz w:val="20"/>
          <w:szCs w:val="20"/>
          <w:lang w:bidi="ar-SA"/>
        </w:rPr>
        <w:t xml:space="preserve"> </w:t>
      </w:r>
      <w:r w:rsidR="008A3B3A" w:rsidRPr="00E35F4D">
        <w:rPr>
          <w:color w:val="000000"/>
          <w:sz w:val="20"/>
          <w:szCs w:val="20"/>
        </w:rPr>
        <w:t>Das P,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Rödel</w:t>
      </w:r>
      <w:proofErr w:type="spellEnd"/>
      <w:r w:rsidR="008A3B3A" w:rsidRPr="00E35F4D">
        <w:rPr>
          <w:color w:val="000000"/>
          <w:sz w:val="20"/>
          <w:szCs w:val="20"/>
        </w:rPr>
        <w:t xml:space="preserve"> C,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proofErr w:type="spellStart"/>
      <w:r w:rsidR="008A3B3A" w:rsidRPr="00E35F4D">
        <w:rPr>
          <w:color w:val="000000"/>
          <w:sz w:val="20"/>
          <w:szCs w:val="20"/>
        </w:rPr>
        <w:t>Kuo</w:t>
      </w:r>
      <w:proofErr w:type="spellEnd"/>
      <w:r w:rsidR="008A3B3A" w:rsidRPr="00E35F4D">
        <w:rPr>
          <w:color w:val="000000"/>
          <w:sz w:val="20"/>
          <w:szCs w:val="20"/>
        </w:rPr>
        <w:t xml:space="preserve"> LJ,</w:t>
      </w:r>
      <w:r w:rsidR="00E35F4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="00265E9F" w:rsidRPr="00E35F4D">
        <w:rPr>
          <w:sz w:val="20"/>
          <w:szCs w:val="20"/>
          <w:lang w:bidi="ar-SA"/>
        </w:rPr>
        <w:t>et al.</w:t>
      </w:r>
      <w:r w:rsidR="008A3B3A" w:rsidRPr="00E35F4D">
        <w:rPr>
          <w:sz w:val="20"/>
          <w:szCs w:val="20"/>
          <w:lang w:bidi="ar-SA"/>
        </w:rPr>
        <w:t>:</w:t>
      </w:r>
      <w:r w:rsidR="00265E9F" w:rsidRPr="00E35F4D">
        <w:rPr>
          <w:sz w:val="20"/>
          <w:szCs w:val="20"/>
          <w:lang w:bidi="ar-SA"/>
        </w:rPr>
        <w:t xml:space="preserve"> Long-term outcome in patients with</w:t>
      </w:r>
      <w:r w:rsidR="00D4682B" w:rsidRPr="00E35F4D">
        <w:rPr>
          <w:sz w:val="20"/>
          <w:szCs w:val="20"/>
          <w:lang w:bidi="ar-SA"/>
        </w:rPr>
        <w:t xml:space="preserve"> </w:t>
      </w:r>
      <w:r w:rsidR="00265E9F" w:rsidRPr="00E35F4D">
        <w:rPr>
          <w:sz w:val="20"/>
          <w:szCs w:val="20"/>
          <w:lang w:bidi="ar-SA"/>
        </w:rPr>
        <w:t>a pathological complete response after chemoradiation for rectal cancer:</w:t>
      </w:r>
      <w:r w:rsidR="00D4682B" w:rsidRPr="00E35F4D">
        <w:rPr>
          <w:sz w:val="20"/>
          <w:szCs w:val="20"/>
          <w:lang w:bidi="ar-SA"/>
        </w:rPr>
        <w:t xml:space="preserve"> </w:t>
      </w:r>
      <w:r w:rsidR="00265E9F" w:rsidRPr="00E35F4D">
        <w:rPr>
          <w:sz w:val="20"/>
          <w:szCs w:val="20"/>
          <w:lang w:bidi="ar-SA"/>
        </w:rPr>
        <w:t xml:space="preserve">a pooled analysis of individual patient data. Lancet </w:t>
      </w:r>
      <w:proofErr w:type="spellStart"/>
      <w:r w:rsidR="00265E9F" w:rsidRPr="00E35F4D">
        <w:rPr>
          <w:sz w:val="20"/>
          <w:szCs w:val="20"/>
          <w:lang w:bidi="ar-SA"/>
        </w:rPr>
        <w:t>Oncol</w:t>
      </w:r>
      <w:proofErr w:type="spellEnd"/>
      <w:r w:rsidR="008A3B3A" w:rsidRPr="00E35F4D">
        <w:rPr>
          <w:sz w:val="20"/>
          <w:szCs w:val="20"/>
          <w:lang w:bidi="ar-SA"/>
        </w:rPr>
        <w:t>,</w:t>
      </w:r>
      <w:r w:rsidR="00265E9F" w:rsidRPr="00E35F4D">
        <w:rPr>
          <w:sz w:val="20"/>
          <w:szCs w:val="20"/>
          <w:lang w:bidi="ar-SA"/>
        </w:rPr>
        <w:t xml:space="preserve"> 2010; 11</w:t>
      </w:r>
      <w:r w:rsidR="008A3B3A" w:rsidRPr="00E35F4D">
        <w:rPr>
          <w:sz w:val="20"/>
          <w:szCs w:val="20"/>
          <w:lang w:bidi="ar-SA"/>
        </w:rPr>
        <w:t>(9)</w:t>
      </w:r>
      <w:r w:rsidR="00265E9F" w:rsidRPr="00E35F4D">
        <w:rPr>
          <w:sz w:val="20"/>
          <w:szCs w:val="20"/>
          <w:lang w:bidi="ar-SA"/>
        </w:rPr>
        <w:t>: 835–44.</w:t>
      </w:r>
    </w:p>
    <w:p w:rsidR="002B2928" w:rsidRPr="00E35F4D" w:rsidRDefault="002B2928" w:rsidP="002B2928">
      <w:pPr>
        <w:numPr>
          <w:ilvl w:val="1"/>
          <w:numId w:val="16"/>
        </w:numPr>
        <w:shd w:val="clear" w:color="auto" w:fill="FFFFFF"/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E35F4D">
        <w:rPr>
          <w:sz w:val="20"/>
          <w:szCs w:val="20"/>
          <w:lang w:bidi="ar-SA"/>
        </w:rPr>
        <w:t>V</w:t>
      </w:r>
      <w:r w:rsidR="00564ACF" w:rsidRPr="00E35F4D">
        <w:rPr>
          <w:sz w:val="20"/>
          <w:szCs w:val="20"/>
          <w:lang w:bidi="ar-SA"/>
        </w:rPr>
        <w:t>alentini</w:t>
      </w:r>
      <w:proofErr w:type="spellEnd"/>
      <w:r w:rsidR="00564ACF" w:rsidRPr="00E35F4D">
        <w:rPr>
          <w:sz w:val="20"/>
          <w:szCs w:val="20"/>
          <w:lang w:bidi="ar-SA"/>
        </w:rPr>
        <w:t xml:space="preserve"> V, van </w:t>
      </w:r>
      <w:proofErr w:type="spellStart"/>
      <w:r w:rsidR="00564ACF" w:rsidRPr="00E35F4D">
        <w:rPr>
          <w:sz w:val="20"/>
          <w:szCs w:val="20"/>
          <w:lang w:bidi="ar-SA"/>
        </w:rPr>
        <w:t>Stiphout</w:t>
      </w:r>
      <w:proofErr w:type="spellEnd"/>
      <w:r w:rsidR="00564ACF" w:rsidRPr="00E35F4D">
        <w:rPr>
          <w:sz w:val="20"/>
          <w:szCs w:val="20"/>
          <w:lang w:bidi="ar-SA"/>
        </w:rPr>
        <w:t xml:space="preserve"> RG, </w:t>
      </w:r>
      <w:proofErr w:type="spellStart"/>
      <w:r w:rsidR="00564ACF" w:rsidRPr="00E35F4D">
        <w:rPr>
          <w:sz w:val="20"/>
          <w:szCs w:val="20"/>
          <w:lang w:bidi="ar-SA"/>
        </w:rPr>
        <w:t>Lammering</w:t>
      </w:r>
      <w:proofErr w:type="spellEnd"/>
      <w:r w:rsidR="00564ACF" w:rsidRPr="00E35F4D">
        <w:rPr>
          <w:sz w:val="20"/>
          <w:szCs w:val="20"/>
          <w:lang w:bidi="ar-SA"/>
        </w:rPr>
        <w:t xml:space="preserve"> G</w:t>
      </w:r>
      <w:r w:rsidR="0063112A" w:rsidRPr="00E35F4D">
        <w:rPr>
          <w:sz w:val="20"/>
          <w:szCs w:val="20"/>
          <w:lang w:bidi="ar-SA"/>
        </w:rPr>
        <w:t>,</w:t>
      </w:r>
      <w:r w:rsidR="00564ACF" w:rsidRPr="00E35F4D">
        <w:rPr>
          <w:sz w:val="20"/>
          <w:szCs w:val="20"/>
          <w:lang w:bidi="ar-SA"/>
        </w:rPr>
        <w:t xml:space="preserve"> </w:t>
      </w:r>
      <w:proofErr w:type="spellStart"/>
      <w:r w:rsidR="0063112A" w:rsidRPr="00E35F4D">
        <w:rPr>
          <w:color w:val="000000"/>
          <w:sz w:val="20"/>
          <w:szCs w:val="20"/>
        </w:rPr>
        <w:t>Gambacorta</w:t>
      </w:r>
      <w:proofErr w:type="spellEnd"/>
      <w:r w:rsidR="0063112A" w:rsidRPr="00E35F4D">
        <w:rPr>
          <w:color w:val="000000"/>
          <w:sz w:val="20"/>
          <w:szCs w:val="20"/>
        </w:rPr>
        <w:t xml:space="preserve"> MA,</w:t>
      </w:r>
      <w:r w:rsidR="0063112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63112A" w:rsidRPr="00E35F4D">
        <w:rPr>
          <w:color w:val="000000"/>
          <w:sz w:val="20"/>
          <w:szCs w:val="20"/>
        </w:rPr>
        <w:t>Barba</w:t>
      </w:r>
      <w:proofErr w:type="spellEnd"/>
      <w:r w:rsidR="0063112A" w:rsidRPr="00E35F4D">
        <w:rPr>
          <w:color w:val="000000"/>
          <w:sz w:val="20"/>
          <w:szCs w:val="20"/>
        </w:rPr>
        <w:t xml:space="preserve"> MC,</w:t>
      </w:r>
      <w:r w:rsidR="0063112A" w:rsidRPr="00E35F4D">
        <w:rPr>
          <w:rStyle w:val="apple-converted-space"/>
          <w:color w:val="000000"/>
          <w:sz w:val="20"/>
          <w:szCs w:val="20"/>
        </w:rPr>
        <w:t> </w:t>
      </w:r>
      <w:proofErr w:type="spellStart"/>
      <w:r w:rsidR="0063112A" w:rsidRPr="00E35F4D">
        <w:rPr>
          <w:color w:val="000000"/>
          <w:sz w:val="20"/>
          <w:szCs w:val="20"/>
        </w:rPr>
        <w:t>Bebenek</w:t>
      </w:r>
      <w:proofErr w:type="spellEnd"/>
      <w:r w:rsidR="0063112A" w:rsidRPr="00E35F4D">
        <w:rPr>
          <w:color w:val="000000"/>
          <w:sz w:val="20"/>
          <w:szCs w:val="20"/>
        </w:rPr>
        <w:t xml:space="preserve"> M, </w:t>
      </w:r>
      <w:r w:rsidR="00564ACF" w:rsidRPr="00E35F4D">
        <w:rPr>
          <w:sz w:val="20"/>
          <w:szCs w:val="20"/>
          <w:lang w:bidi="ar-SA"/>
        </w:rPr>
        <w:t>et al.</w:t>
      </w:r>
      <w:r w:rsidR="0063112A" w:rsidRPr="00E35F4D">
        <w:rPr>
          <w:sz w:val="20"/>
          <w:szCs w:val="20"/>
          <w:lang w:bidi="ar-SA"/>
        </w:rPr>
        <w:t>:</w:t>
      </w:r>
      <w:r w:rsidR="00564ACF" w:rsidRPr="00E35F4D">
        <w:rPr>
          <w:sz w:val="20"/>
          <w:szCs w:val="20"/>
          <w:lang w:bidi="ar-SA"/>
        </w:rPr>
        <w:t xml:space="preserve"> </w:t>
      </w:r>
      <w:proofErr w:type="spellStart"/>
      <w:r w:rsidR="00564ACF" w:rsidRPr="00E35F4D">
        <w:rPr>
          <w:sz w:val="20"/>
          <w:szCs w:val="20"/>
          <w:lang w:bidi="ar-SA"/>
        </w:rPr>
        <w:t>Nomograms</w:t>
      </w:r>
      <w:proofErr w:type="spellEnd"/>
      <w:r w:rsidR="00564ACF" w:rsidRPr="00E35F4D">
        <w:rPr>
          <w:sz w:val="20"/>
          <w:szCs w:val="20"/>
          <w:lang w:bidi="ar-SA"/>
        </w:rPr>
        <w:t xml:space="preserve"> for predicting local</w:t>
      </w:r>
      <w:r w:rsidR="0009626A" w:rsidRPr="00E35F4D">
        <w:rPr>
          <w:sz w:val="20"/>
          <w:szCs w:val="20"/>
          <w:lang w:bidi="ar-SA"/>
        </w:rPr>
        <w:t xml:space="preserve"> </w:t>
      </w:r>
      <w:r w:rsidR="00564ACF" w:rsidRPr="00E35F4D">
        <w:rPr>
          <w:sz w:val="20"/>
          <w:szCs w:val="20"/>
          <w:lang w:bidi="ar-SA"/>
        </w:rPr>
        <w:t>recurrence, distant metastases, and overall survival for patients with locally</w:t>
      </w:r>
      <w:r w:rsidR="0009626A" w:rsidRPr="00E35F4D">
        <w:rPr>
          <w:sz w:val="20"/>
          <w:szCs w:val="20"/>
          <w:lang w:bidi="ar-SA"/>
        </w:rPr>
        <w:t xml:space="preserve"> </w:t>
      </w:r>
      <w:r w:rsidR="00564ACF" w:rsidRPr="00E35F4D">
        <w:rPr>
          <w:sz w:val="20"/>
          <w:szCs w:val="20"/>
          <w:lang w:bidi="ar-SA"/>
        </w:rPr>
        <w:t xml:space="preserve">advanced rectal cancer on the basis of European randomized clinical trials. J </w:t>
      </w:r>
      <w:proofErr w:type="spellStart"/>
      <w:r w:rsidR="00564ACF" w:rsidRPr="00E35F4D">
        <w:rPr>
          <w:sz w:val="20"/>
          <w:szCs w:val="20"/>
          <w:lang w:bidi="ar-SA"/>
        </w:rPr>
        <w:t>Clin</w:t>
      </w:r>
      <w:proofErr w:type="spellEnd"/>
      <w:r w:rsidR="0009626A" w:rsidRPr="00E35F4D">
        <w:rPr>
          <w:sz w:val="20"/>
          <w:szCs w:val="20"/>
          <w:lang w:bidi="ar-SA"/>
        </w:rPr>
        <w:t xml:space="preserve"> </w:t>
      </w:r>
      <w:proofErr w:type="spellStart"/>
      <w:r w:rsidR="00564ACF" w:rsidRPr="00E35F4D">
        <w:rPr>
          <w:sz w:val="20"/>
          <w:szCs w:val="20"/>
          <w:lang w:bidi="ar-SA"/>
        </w:rPr>
        <w:t>Oncol</w:t>
      </w:r>
      <w:proofErr w:type="spellEnd"/>
      <w:r w:rsidR="0063112A" w:rsidRPr="00E35F4D">
        <w:rPr>
          <w:sz w:val="20"/>
          <w:szCs w:val="20"/>
          <w:lang w:bidi="ar-SA"/>
        </w:rPr>
        <w:t>,</w:t>
      </w:r>
      <w:r w:rsidR="00564ACF" w:rsidRPr="00E35F4D">
        <w:rPr>
          <w:sz w:val="20"/>
          <w:szCs w:val="20"/>
          <w:lang w:bidi="ar-SA"/>
        </w:rPr>
        <w:t xml:space="preserve"> 2011; 29</w:t>
      </w:r>
      <w:r w:rsidR="0063112A" w:rsidRPr="00E35F4D">
        <w:rPr>
          <w:sz w:val="20"/>
          <w:szCs w:val="20"/>
          <w:lang w:bidi="ar-SA"/>
        </w:rPr>
        <w:t>(23)</w:t>
      </w:r>
      <w:r w:rsidR="00564ACF" w:rsidRPr="00E35F4D">
        <w:rPr>
          <w:sz w:val="20"/>
          <w:szCs w:val="20"/>
          <w:lang w:bidi="ar-SA"/>
        </w:rPr>
        <w:t>: 3163–72.</w:t>
      </w:r>
    </w:p>
    <w:p w:rsidR="002B2928" w:rsidRPr="00E35F4D" w:rsidRDefault="002B2928" w:rsidP="002B2928">
      <w:pPr>
        <w:numPr>
          <w:ilvl w:val="1"/>
          <w:numId w:val="16"/>
        </w:num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  <w:r w:rsidRPr="00E35F4D">
        <w:rPr>
          <w:sz w:val="20"/>
          <w:szCs w:val="20"/>
          <w:lang w:bidi="ar-SA"/>
        </w:rPr>
        <w:t>K</w:t>
      </w:r>
      <w:r w:rsidR="000B2A5F" w:rsidRPr="00E35F4D">
        <w:rPr>
          <w:sz w:val="20"/>
          <w:szCs w:val="20"/>
          <w:lang w:bidi="ar-SA"/>
        </w:rPr>
        <w:t>im C, Anne PR, Mitchell E</w:t>
      </w:r>
      <w:r w:rsidR="0083443E" w:rsidRPr="00E35F4D">
        <w:rPr>
          <w:sz w:val="20"/>
          <w:szCs w:val="20"/>
          <w:lang w:bidi="ar-SA"/>
        </w:rPr>
        <w:t xml:space="preserve">, </w:t>
      </w:r>
      <w:proofErr w:type="spellStart"/>
      <w:r w:rsidR="00442896" w:rsidRPr="00E35F4D">
        <w:rPr>
          <w:color w:val="333333"/>
          <w:sz w:val="20"/>
          <w:szCs w:val="20"/>
        </w:rPr>
        <w:t>Pequignot</w:t>
      </w:r>
      <w:proofErr w:type="spellEnd"/>
      <w:r w:rsidR="00442896" w:rsidRPr="00E35F4D">
        <w:rPr>
          <w:color w:val="333333"/>
          <w:sz w:val="20"/>
          <w:szCs w:val="20"/>
        </w:rPr>
        <w:t xml:space="preserve"> E, Palazzo J, Goldstein S, </w:t>
      </w:r>
      <w:r w:rsidR="0083443E" w:rsidRPr="00E35F4D">
        <w:rPr>
          <w:sz w:val="20"/>
          <w:szCs w:val="20"/>
          <w:lang w:bidi="ar-SA"/>
        </w:rPr>
        <w:t xml:space="preserve">et al.: </w:t>
      </w:r>
      <w:r w:rsidR="00F51292" w:rsidRPr="00E35F4D">
        <w:rPr>
          <w:sz w:val="20"/>
          <w:szCs w:val="20"/>
          <w:lang w:bidi="ar-SA"/>
        </w:rPr>
        <w:t>Impact of pretreatment size and lymph nodes on</w:t>
      </w:r>
      <w:r w:rsidR="007432A4" w:rsidRPr="00E35F4D">
        <w:rPr>
          <w:sz w:val="20"/>
          <w:szCs w:val="20"/>
          <w:lang w:bidi="ar-SA"/>
        </w:rPr>
        <w:t xml:space="preserve"> </w:t>
      </w:r>
      <w:r w:rsidR="00F51292" w:rsidRPr="00E35F4D">
        <w:rPr>
          <w:sz w:val="20"/>
          <w:szCs w:val="20"/>
          <w:lang w:bidi="ar-SA"/>
        </w:rPr>
        <w:t>pathological complete response and survival in a prospective trial of</w:t>
      </w:r>
      <w:r w:rsidR="007432A4" w:rsidRPr="00E35F4D">
        <w:rPr>
          <w:sz w:val="20"/>
          <w:szCs w:val="20"/>
          <w:lang w:bidi="ar-SA"/>
        </w:rPr>
        <w:t xml:space="preserve"> </w:t>
      </w:r>
      <w:r w:rsidR="00F51292" w:rsidRPr="00E35F4D">
        <w:rPr>
          <w:sz w:val="20"/>
          <w:szCs w:val="20"/>
          <w:lang w:bidi="ar-SA"/>
        </w:rPr>
        <w:t xml:space="preserve">chemoradiation. </w:t>
      </w:r>
      <w:proofErr w:type="spellStart"/>
      <w:r w:rsidR="00F51292" w:rsidRPr="00E35F4D">
        <w:rPr>
          <w:sz w:val="20"/>
          <w:szCs w:val="20"/>
          <w:lang w:bidi="ar-SA"/>
        </w:rPr>
        <w:t>Int</w:t>
      </w:r>
      <w:proofErr w:type="spellEnd"/>
      <w:r w:rsidR="00F51292" w:rsidRPr="00E35F4D">
        <w:rPr>
          <w:sz w:val="20"/>
          <w:szCs w:val="20"/>
          <w:lang w:bidi="ar-SA"/>
        </w:rPr>
        <w:t xml:space="preserve"> J </w:t>
      </w:r>
      <w:proofErr w:type="spellStart"/>
      <w:r w:rsidR="00F51292" w:rsidRPr="00E35F4D">
        <w:rPr>
          <w:sz w:val="20"/>
          <w:szCs w:val="20"/>
          <w:lang w:bidi="ar-SA"/>
        </w:rPr>
        <w:t>Radiat</w:t>
      </w:r>
      <w:proofErr w:type="spellEnd"/>
      <w:r w:rsidR="00F51292" w:rsidRPr="00E35F4D">
        <w:rPr>
          <w:sz w:val="20"/>
          <w:szCs w:val="20"/>
          <w:lang w:bidi="ar-SA"/>
        </w:rPr>
        <w:t xml:space="preserve"> </w:t>
      </w:r>
      <w:proofErr w:type="spellStart"/>
      <w:r w:rsidR="00F51292" w:rsidRPr="00E35F4D">
        <w:rPr>
          <w:sz w:val="20"/>
          <w:szCs w:val="20"/>
          <w:lang w:bidi="ar-SA"/>
        </w:rPr>
        <w:t>Oncol</w:t>
      </w:r>
      <w:proofErr w:type="spellEnd"/>
      <w:r w:rsidR="00F51292" w:rsidRPr="00E35F4D">
        <w:rPr>
          <w:sz w:val="20"/>
          <w:szCs w:val="20"/>
          <w:lang w:bidi="ar-SA"/>
        </w:rPr>
        <w:t xml:space="preserve"> </w:t>
      </w:r>
      <w:proofErr w:type="spellStart"/>
      <w:r w:rsidR="00F51292" w:rsidRPr="00E35F4D">
        <w:rPr>
          <w:sz w:val="20"/>
          <w:szCs w:val="20"/>
          <w:lang w:bidi="ar-SA"/>
        </w:rPr>
        <w:t>Biol</w:t>
      </w:r>
      <w:proofErr w:type="spellEnd"/>
      <w:r w:rsidR="00F51292" w:rsidRPr="00E35F4D">
        <w:rPr>
          <w:sz w:val="20"/>
          <w:szCs w:val="20"/>
          <w:lang w:bidi="ar-SA"/>
        </w:rPr>
        <w:t xml:space="preserve"> </w:t>
      </w:r>
      <w:proofErr w:type="spellStart"/>
      <w:r w:rsidR="00F51292" w:rsidRPr="00E35F4D">
        <w:rPr>
          <w:sz w:val="20"/>
          <w:szCs w:val="20"/>
          <w:lang w:bidi="ar-SA"/>
        </w:rPr>
        <w:t>Phys</w:t>
      </w:r>
      <w:proofErr w:type="spellEnd"/>
      <w:r w:rsidR="00F51292" w:rsidRPr="00E35F4D">
        <w:rPr>
          <w:sz w:val="20"/>
          <w:szCs w:val="20"/>
          <w:lang w:bidi="ar-SA"/>
        </w:rPr>
        <w:t xml:space="preserve"> 2005; 63(</w:t>
      </w:r>
      <w:proofErr w:type="spellStart"/>
      <w:r w:rsidR="00F51292" w:rsidRPr="00E35F4D">
        <w:rPr>
          <w:sz w:val="20"/>
          <w:szCs w:val="20"/>
          <w:lang w:bidi="ar-SA"/>
        </w:rPr>
        <w:t>Suppl</w:t>
      </w:r>
      <w:proofErr w:type="spellEnd"/>
      <w:r w:rsidR="000B2A5F" w:rsidRPr="00E35F4D">
        <w:rPr>
          <w:sz w:val="20"/>
          <w:szCs w:val="20"/>
          <w:lang w:bidi="ar-SA"/>
        </w:rPr>
        <w:t xml:space="preserve"> 1</w:t>
      </w:r>
      <w:r w:rsidR="00F51292" w:rsidRPr="00E35F4D">
        <w:rPr>
          <w:sz w:val="20"/>
          <w:szCs w:val="20"/>
          <w:lang w:bidi="ar-SA"/>
        </w:rPr>
        <w:t>): S164</w:t>
      </w:r>
      <w:r w:rsidR="0083443E" w:rsidRPr="00E35F4D">
        <w:rPr>
          <w:sz w:val="20"/>
          <w:szCs w:val="20"/>
          <w:lang w:bidi="ar-SA"/>
        </w:rPr>
        <w:t>-5</w:t>
      </w:r>
      <w:r w:rsidR="009B1AE2" w:rsidRPr="00E35F4D">
        <w:rPr>
          <w:sz w:val="20"/>
          <w:szCs w:val="20"/>
          <w:lang w:bidi="ar-SA"/>
        </w:rPr>
        <w:t>.</w:t>
      </w:r>
      <w:r w:rsidR="00E35F4D" w:rsidRPr="00E35F4D">
        <w:rPr>
          <w:rFonts w:hint="eastAsia"/>
          <w:sz w:val="20"/>
          <w:szCs w:val="20"/>
          <w:lang w:eastAsia="zh-CN" w:bidi="ar-SA"/>
        </w:rPr>
        <w:t xml:space="preserve"> </w:t>
      </w:r>
    </w:p>
    <w:p w:rsidR="002B2928" w:rsidRPr="00E35F4D" w:rsidRDefault="002B2928" w:rsidP="002B2928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  <w:sectPr w:rsidR="002B2928" w:rsidRPr="00E35F4D" w:rsidSect="002B2928">
          <w:headerReference w:type="default" r:id="rId26"/>
          <w:footerReference w:type="default" r:id="rId27"/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E424EE" w:rsidRPr="00E35F4D" w:rsidRDefault="00E424EE" w:rsidP="002B2928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bidi="ar-SA"/>
        </w:rPr>
      </w:pPr>
    </w:p>
    <w:p w:rsidR="0026140D" w:rsidRDefault="0026140D" w:rsidP="002B2928">
      <w:pPr>
        <w:snapToGrid w:val="0"/>
        <w:ind w:left="425" w:hanging="425"/>
        <w:jc w:val="both"/>
        <w:rPr>
          <w:sz w:val="20"/>
          <w:szCs w:val="20"/>
        </w:rPr>
      </w:pPr>
    </w:p>
    <w:p w:rsidR="0026140D" w:rsidRDefault="0026140D" w:rsidP="002B2928">
      <w:pPr>
        <w:snapToGrid w:val="0"/>
        <w:ind w:left="425" w:hanging="425"/>
        <w:jc w:val="both"/>
        <w:rPr>
          <w:sz w:val="20"/>
          <w:szCs w:val="20"/>
        </w:rPr>
      </w:pPr>
    </w:p>
    <w:p w:rsidR="009E3250" w:rsidRPr="00E35F4D" w:rsidRDefault="002B2928" w:rsidP="002B2928">
      <w:pPr>
        <w:snapToGrid w:val="0"/>
        <w:ind w:left="425" w:hanging="425"/>
        <w:jc w:val="both"/>
        <w:rPr>
          <w:sz w:val="20"/>
          <w:szCs w:val="20"/>
        </w:rPr>
      </w:pPr>
      <w:r w:rsidRPr="00E35F4D">
        <w:rPr>
          <w:sz w:val="20"/>
          <w:szCs w:val="20"/>
        </w:rPr>
        <w:t>12/1</w:t>
      </w:r>
      <w:r w:rsidRPr="00E35F4D">
        <w:rPr>
          <w:rFonts w:hint="eastAsia"/>
          <w:sz w:val="20"/>
          <w:szCs w:val="20"/>
          <w:lang w:eastAsia="zh-CN"/>
        </w:rPr>
        <w:t>7</w:t>
      </w:r>
      <w:r w:rsidRPr="00E35F4D">
        <w:rPr>
          <w:sz w:val="20"/>
          <w:szCs w:val="20"/>
        </w:rPr>
        <w:t>/2016</w:t>
      </w:r>
    </w:p>
    <w:sectPr w:rsidR="009E3250" w:rsidRPr="00E35F4D" w:rsidSect="00BC5AB1">
      <w:headerReference w:type="default" r:id="rId28"/>
      <w:footerReference w:type="default" r:id="rId29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14" w:rsidRDefault="00D64414" w:rsidP="00CB1343">
      <w:r>
        <w:separator/>
      </w:r>
    </w:p>
  </w:endnote>
  <w:endnote w:type="continuationSeparator" w:id="0">
    <w:p w:rsidR="00D64414" w:rsidRDefault="00D64414" w:rsidP="00CB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son 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 SansSerif Std Light">
    <w:altName w:val="Rotis SansSerif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Sca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MjO11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eciliaLTStd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fficinaSansLT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Bold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015031">
      <w:rPr>
        <w:noProof/>
        <w:sz w:val="20"/>
      </w:rPr>
      <w:t>32</w:t>
    </w:r>
    <w:r w:rsidRPr="002B29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015031">
      <w:rPr>
        <w:noProof/>
        <w:sz w:val="20"/>
      </w:rPr>
      <w:t>35</w:t>
    </w:r>
    <w:r w:rsidRPr="002B2928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>
      <w:rPr>
        <w:noProof/>
        <w:sz w:val="20"/>
      </w:rPr>
      <w:t>36</w:t>
    </w:r>
    <w:r w:rsidRPr="002B2928"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015031">
      <w:rPr>
        <w:noProof/>
        <w:sz w:val="20"/>
      </w:rPr>
      <w:t>36</w:t>
    </w:r>
    <w:r w:rsidRPr="002B2928"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015031">
      <w:rPr>
        <w:noProof/>
        <w:sz w:val="20"/>
      </w:rPr>
      <w:t>37</w:t>
    </w:r>
    <w:r w:rsidRPr="002B2928"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 w:rsidR="00015031">
      <w:rPr>
        <w:noProof/>
        <w:sz w:val="20"/>
      </w:rPr>
      <w:t>39</w:t>
    </w:r>
    <w:r w:rsidRPr="002B2928">
      <w:rPr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jc w:val="center"/>
      <w:rPr>
        <w:sz w:val="20"/>
      </w:rPr>
    </w:pPr>
    <w:r w:rsidRPr="002B2928">
      <w:rPr>
        <w:sz w:val="20"/>
      </w:rPr>
      <w:fldChar w:fldCharType="begin"/>
    </w:r>
    <w:r w:rsidRPr="002B2928">
      <w:rPr>
        <w:sz w:val="20"/>
      </w:rPr>
      <w:instrText xml:space="preserve"> page </w:instrText>
    </w:r>
    <w:r w:rsidRPr="002B2928">
      <w:rPr>
        <w:sz w:val="20"/>
      </w:rPr>
      <w:fldChar w:fldCharType="separate"/>
    </w:r>
    <w:r>
      <w:rPr>
        <w:noProof/>
        <w:sz w:val="20"/>
      </w:rPr>
      <w:t>40</w:t>
    </w:r>
    <w:r w:rsidRPr="002B292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14" w:rsidRDefault="00D64414" w:rsidP="00CB1343">
      <w:r>
        <w:separator/>
      </w:r>
    </w:p>
  </w:footnote>
  <w:footnote w:type="continuationSeparator" w:id="0">
    <w:p w:rsidR="00D64414" w:rsidRDefault="00D64414" w:rsidP="00CB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7C" w:rsidRPr="002B2928" w:rsidRDefault="009A6E7C" w:rsidP="002B292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2B2928">
      <w:rPr>
        <w:rFonts w:hint="eastAsia"/>
        <w:iCs/>
        <w:color w:val="000000"/>
        <w:sz w:val="20"/>
      </w:rPr>
      <w:tab/>
    </w:r>
    <w:r w:rsidRPr="002B2928">
      <w:rPr>
        <w:iCs/>
        <w:color w:val="000000"/>
        <w:sz w:val="20"/>
      </w:rPr>
      <w:t xml:space="preserve">Cancer Biology </w:t>
    </w:r>
    <w:r w:rsidRPr="002B2928">
      <w:rPr>
        <w:iCs/>
        <w:sz w:val="20"/>
      </w:rPr>
      <w:t>201</w:t>
    </w:r>
    <w:r w:rsidRPr="002B2928">
      <w:rPr>
        <w:rFonts w:hint="eastAsia"/>
        <w:iCs/>
        <w:sz w:val="20"/>
      </w:rPr>
      <w:t>6</w:t>
    </w:r>
    <w:proofErr w:type="gramStart"/>
    <w:r w:rsidRPr="002B2928">
      <w:rPr>
        <w:iCs/>
        <w:sz w:val="20"/>
      </w:rPr>
      <w:t>;</w:t>
    </w:r>
    <w:r w:rsidRPr="002B2928">
      <w:rPr>
        <w:rFonts w:hint="eastAsia"/>
        <w:iCs/>
        <w:sz w:val="20"/>
      </w:rPr>
      <w:t>6</w:t>
    </w:r>
    <w:proofErr w:type="gramEnd"/>
    <w:r w:rsidRPr="002B2928">
      <w:rPr>
        <w:iCs/>
        <w:sz w:val="20"/>
      </w:rPr>
      <w:t>(</w:t>
    </w:r>
    <w:r w:rsidRPr="002B2928">
      <w:rPr>
        <w:rFonts w:hint="eastAsia"/>
        <w:iCs/>
        <w:sz w:val="20"/>
      </w:rPr>
      <w:t>4</w:t>
    </w:r>
    <w:r w:rsidRPr="002B2928">
      <w:rPr>
        <w:iCs/>
        <w:sz w:val="20"/>
      </w:rPr>
      <w:t xml:space="preserve">)  </w:t>
    </w:r>
    <w:r w:rsidRPr="002B2928">
      <w:rPr>
        <w:rFonts w:hint="eastAsia"/>
        <w:iCs/>
        <w:sz w:val="20"/>
      </w:rPr>
      <w:t xml:space="preserve">   </w:t>
    </w:r>
    <w:r w:rsidRPr="002B2928">
      <w:rPr>
        <w:rFonts w:hint="eastAsia"/>
        <w:iCs/>
        <w:sz w:val="20"/>
      </w:rPr>
      <w:tab/>
      <w:t xml:space="preserve">     </w:t>
    </w:r>
    <w:r w:rsidRPr="002B2928">
      <w:rPr>
        <w:iCs/>
        <w:sz w:val="20"/>
      </w:rPr>
      <w:t xml:space="preserve"> </w:t>
    </w:r>
    <w:r w:rsidRPr="002B2928">
      <w:rPr>
        <w:sz w:val="20"/>
      </w:rPr>
      <w:t xml:space="preserve">  </w:t>
    </w:r>
    <w:hyperlink r:id="rId1" w:history="1">
      <w:r w:rsidRPr="002B2928">
        <w:rPr>
          <w:rStyle w:val="Hyperlink"/>
          <w:sz w:val="20"/>
        </w:rPr>
        <w:t>http://www.cancerbio.net</w:t>
      </w:r>
    </w:hyperlink>
  </w:p>
  <w:p w:rsidR="009A6E7C" w:rsidRPr="002B2928" w:rsidRDefault="009A6E7C" w:rsidP="002B2928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711"/>
    <w:multiLevelType w:val="multilevel"/>
    <w:tmpl w:val="4DA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75664"/>
    <w:multiLevelType w:val="multilevel"/>
    <w:tmpl w:val="EE5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729"/>
    <w:multiLevelType w:val="hybridMultilevel"/>
    <w:tmpl w:val="EE70C2BC"/>
    <w:lvl w:ilvl="0" w:tplc="E178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14874"/>
    <w:multiLevelType w:val="hybridMultilevel"/>
    <w:tmpl w:val="2A3CCDFA"/>
    <w:lvl w:ilvl="0" w:tplc="4030D0D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878"/>
    <w:multiLevelType w:val="hybridMultilevel"/>
    <w:tmpl w:val="E880F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55C870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F47929"/>
    <w:multiLevelType w:val="multilevel"/>
    <w:tmpl w:val="FE3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57254"/>
    <w:multiLevelType w:val="multilevel"/>
    <w:tmpl w:val="940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15ADE"/>
    <w:multiLevelType w:val="multilevel"/>
    <w:tmpl w:val="9FD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62A60"/>
    <w:multiLevelType w:val="multilevel"/>
    <w:tmpl w:val="C3F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B4EFA"/>
    <w:multiLevelType w:val="multilevel"/>
    <w:tmpl w:val="454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C3C46"/>
    <w:multiLevelType w:val="multilevel"/>
    <w:tmpl w:val="05E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E5730"/>
    <w:multiLevelType w:val="multilevel"/>
    <w:tmpl w:val="171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762F2"/>
    <w:multiLevelType w:val="multilevel"/>
    <w:tmpl w:val="2F4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854F85"/>
    <w:multiLevelType w:val="hybridMultilevel"/>
    <w:tmpl w:val="DF22B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08539C"/>
    <w:multiLevelType w:val="multilevel"/>
    <w:tmpl w:val="BB787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7A8106C7"/>
    <w:multiLevelType w:val="multilevel"/>
    <w:tmpl w:val="7DF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693"/>
    <w:rsid w:val="00000B80"/>
    <w:rsid w:val="00000BE4"/>
    <w:rsid w:val="000014E7"/>
    <w:rsid w:val="00001852"/>
    <w:rsid w:val="0000189D"/>
    <w:rsid w:val="00001A7B"/>
    <w:rsid w:val="0000295E"/>
    <w:rsid w:val="00002C71"/>
    <w:rsid w:val="00002F0A"/>
    <w:rsid w:val="00002F29"/>
    <w:rsid w:val="00003915"/>
    <w:rsid w:val="00004129"/>
    <w:rsid w:val="00004C7D"/>
    <w:rsid w:val="00004C83"/>
    <w:rsid w:val="0000561F"/>
    <w:rsid w:val="00005DB7"/>
    <w:rsid w:val="00005DF7"/>
    <w:rsid w:val="000072DC"/>
    <w:rsid w:val="00007412"/>
    <w:rsid w:val="0000746B"/>
    <w:rsid w:val="00007907"/>
    <w:rsid w:val="000102AB"/>
    <w:rsid w:val="000102FA"/>
    <w:rsid w:val="00010559"/>
    <w:rsid w:val="000105C0"/>
    <w:rsid w:val="00010DE2"/>
    <w:rsid w:val="00010EDD"/>
    <w:rsid w:val="000114A2"/>
    <w:rsid w:val="0001152E"/>
    <w:rsid w:val="0001162C"/>
    <w:rsid w:val="000118F8"/>
    <w:rsid w:val="00011D90"/>
    <w:rsid w:val="00012130"/>
    <w:rsid w:val="00012ED2"/>
    <w:rsid w:val="0001305C"/>
    <w:rsid w:val="0001341E"/>
    <w:rsid w:val="00013744"/>
    <w:rsid w:val="0001395D"/>
    <w:rsid w:val="00013ADF"/>
    <w:rsid w:val="00013DE8"/>
    <w:rsid w:val="00013E09"/>
    <w:rsid w:val="00014FE5"/>
    <w:rsid w:val="00015031"/>
    <w:rsid w:val="00015199"/>
    <w:rsid w:val="00015240"/>
    <w:rsid w:val="00015D8B"/>
    <w:rsid w:val="000178AE"/>
    <w:rsid w:val="00017A0B"/>
    <w:rsid w:val="00020254"/>
    <w:rsid w:val="00021DD5"/>
    <w:rsid w:val="0002220F"/>
    <w:rsid w:val="00022D85"/>
    <w:rsid w:val="000230B2"/>
    <w:rsid w:val="00025D23"/>
    <w:rsid w:val="000267DA"/>
    <w:rsid w:val="00026DE9"/>
    <w:rsid w:val="0002787F"/>
    <w:rsid w:val="00027C20"/>
    <w:rsid w:val="00027C54"/>
    <w:rsid w:val="00027CAC"/>
    <w:rsid w:val="00027DEF"/>
    <w:rsid w:val="00030652"/>
    <w:rsid w:val="000308FC"/>
    <w:rsid w:val="00030D0D"/>
    <w:rsid w:val="00030D52"/>
    <w:rsid w:val="00031B1B"/>
    <w:rsid w:val="00031B8C"/>
    <w:rsid w:val="00031E86"/>
    <w:rsid w:val="00031EE6"/>
    <w:rsid w:val="00032481"/>
    <w:rsid w:val="0003256F"/>
    <w:rsid w:val="000328F8"/>
    <w:rsid w:val="00032E5E"/>
    <w:rsid w:val="00033085"/>
    <w:rsid w:val="000330E5"/>
    <w:rsid w:val="000340EF"/>
    <w:rsid w:val="0003456D"/>
    <w:rsid w:val="00034F2A"/>
    <w:rsid w:val="00035071"/>
    <w:rsid w:val="00035391"/>
    <w:rsid w:val="0003556C"/>
    <w:rsid w:val="000358E2"/>
    <w:rsid w:val="00037FE1"/>
    <w:rsid w:val="00040216"/>
    <w:rsid w:val="000405C6"/>
    <w:rsid w:val="000415DD"/>
    <w:rsid w:val="000417B8"/>
    <w:rsid w:val="000419BC"/>
    <w:rsid w:val="0004217D"/>
    <w:rsid w:val="000426A1"/>
    <w:rsid w:val="0004307D"/>
    <w:rsid w:val="00043201"/>
    <w:rsid w:val="00043269"/>
    <w:rsid w:val="0004330D"/>
    <w:rsid w:val="00043A16"/>
    <w:rsid w:val="00043C61"/>
    <w:rsid w:val="00044496"/>
    <w:rsid w:val="000445A0"/>
    <w:rsid w:val="00044691"/>
    <w:rsid w:val="00044B75"/>
    <w:rsid w:val="00044DAD"/>
    <w:rsid w:val="000453CD"/>
    <w:rsid w:val="000460CE"/>
    <w:rsid w:val="00046638"/>
    <w:rsid w:val="00046A2B"/>
    <w:rsid w:val="00046B15"/>
    <w:rsid w:val="00046DD1"/>
    <w:rsid w:val="00046E79"/>
    <w:rsid w:val="00046FF7"/>
    <w:rsid w:val="000472B5"/>
    <w:rsid w:val="000502F5"/>
    <w:rsid w:val="000504B6"/>
    <w:rsid w:val="00050F03"/>
    <w:rsid w:val="00050F09"/>
    <w:rsid w:val="000511BA"/>
    <w:rsid w:val="0005152C"/>
    <w:rsid w:val="000520F3"/>
    <w:rsid w:val="0005246E"/>
    <w:rsid w:val="000525DA"/>
    <w:rsid w:val="00052897"/>
    <w:rsid w:val="0005290C"/>
    <w:rsid w:val="00052D25"/>
    <w:rsid w:val="00052D82"/>
    <w:rsid w:val="0005314A"/>
    <w:rsid w:val="0005336A"/>
    <w:rsid w:val="000540BE"/>
    <w:rsid w:val="000549F8"/>
    <w:rsid w:val="00055A65"/>
    <w:rsid w:val="000563B5"/>
    <w:rsid w:val="00057C8A"/>
    <w:rsid w:val="0006080C"/>
    <w:rsid w:val="00060861"/>
    <w:rsid w:val="000608F2"/>
    <w:rsid w:val="00060A25"/>
    <w:rsid w:val="00061A52"/>
    <w:rsid w:val="00061C00"/>
    <w:rsid w:val="0006262E"/>
    <w:rsid w:val="00062707"/>
    <w:rsid w:val="00062CB9"/>
    <w:rsid w:val="00063FE4"/>
    <w:rsid w:val="000643A7"/>
    <w:rsid w:val="00064946"/>
    <w:rsid w:val="00064BE7"/>
    <w:rsid w:val="00064C3B"/>
    <w:rsid w:val="0006503E"/>
    <w:rsid w:val="0006507B"/>
    <w:rsid w:val="000650C5"/>
    <w:rsid w:val="00065215"/>
    <w:rsid w:val="000656C6"/>
    <w:rsid w:val="00065DE2"/>
    <w:rsid w:val="00065E84"/>
    <w:rsid w:val="00066A58"/>
    <w:rsid w:val="00066E0B"/>
    <w:rsid w:val="00067022"/>
    <w:rsid w:val="000676F7"/>
    <w:rsid w:val="00070043"/>
    <w:rsid w:val="00070149"/>
    <w:rsid w:val="00070750"/>
    <w:rsid w:val="00070781"/>
    <w:rsid w:val="000708BD"/>
    <w:rsid w:val="0007162D"/>
    <w:rsid w:val="00071968"/>
    <w:rsid w:val="00071F7D"/>
    <w:rsid w:val="000722AB"/>
    <w:rsid w:val="00074F59"/>
    <w:rsid w:val="0007506E"/>
    <w:rsid w:val="000750FE"/>
    <w:rsid w:val="00075E27"/>
    <w:rsid w:val="0007615E"/>
    <w:rsid w:val="000761A7"/>
    <w:rsid w:val="000762AC"/>
    <w:rsid w:val="0007713B"/>
    <w:rsid w:val="000774C1"/>
    <w:rsid w:val="00077854"/>
    <w:rsid w:val="0007788C"/>
    <w:rsid w:val="00077982"/>
    <w:rsid w:val="000803D5"/>
    <w:rsid w:val="00080E2C"/>
    <w:rsid w:val="00081172"/>
    <w:rsid w:val="0008160F"/>
    <w:rsid w:val="00081BD8"/>
    <w:rsid w:val="00082B44"/>
    <w:rsid w:val="00083FC8"/>
    <w:rsid w:val="0008481A"/>
    <w:rsid w:val="000848CA"/>
    <w:rsid w:val="00084D1B"/>
    <w:rsid w:val="00084DBD"/>
    <w:rsid w:val="0008515A"/>
    <w:rsid w:val="000851CE"/>
    <w:rsid w:val="000853E5"/>
    <w:rsid w:val="0008612C"/>
    <w:rsid w:val="00086167"/>
    <w:rsid w:val="00086298"/>
    <w:rsid w:val="000862C8"/>
    <w:rsid w:val="0008631C"/>
    <w:rsid w:val="00086823"/>
    <w:rsid w:val="00086970"/>
    <w:rsid w:val="00090EB5"/>
    <w:rsid w:val="00091DCD"/>
    <w:rsid w:val="0009308B"/>
    <w:rsid w:val="00093F14"/>
    <w:rsid w:val="00094281"/>
    <w:rsid w:val="000942A1"/>
    <w:rsid w:val="00094573"/>
    <w:rsid w:val="00094EFC"/>
    <w:rsid w:val="0009562E"/>
    <w:rsid w:val="000959D4"/>
    <w:rsid w:val="00095DBC"/>
    <w:rsid w:val="0009626A"/>
    <w:rsid w:val="00096B42"/>
    <w:rsid w:val="00097657"/>
    <w:rsid w:val="00097B22"/>
    <w:rsid w:val="00097B5B"/>
    <w:rsid w:val="00097BB8"/>
    <w:rsid w:val="000A0141"/>
    <w:rsid w:val="000A0593"/>
    <w:rsid w:val="000A0A31"/>
    <w:rsid w:val="000A18B8"/>
    <w:rsid w:val="000A1BBC"/>
    <w:rsid w:val="000A2345"/>
    <w:rsid w:val="000A369E"/>
    <w:rsid w:val="000A37E1"/>
    <w:rsid w:val="000A3880"/>
    <w:rsid w:val="000A4042"/>
    <w:rsid w:val="000A435C"/>
    <w:rsid w:val="000A445D"/>
    <w:rsid w:val="000A44C1"/>
    <w:rsid w:val="000A6009"/>
    <w:rsid w:val="000A65AC"/>
    <w:rsid w:val="000A6716"/>
    <w:rsid w:val="000A6899"/>
    <w:rsid w:val="000A6F3F"/>
    <w:rsid w:val="000A6FA6"/>
    <w:rsid w:val="000A75E8"/>
    <w:rsid w:val="000A7A8B"/>
    <w:rsid w:val="000A7E74"/>
    <w:rsid w:val="000A7F3A"/>
    <w:rsid w:val="000B173B"/>
    <w:rsid w:val="000B2047"/>
    <w:rsid w:val="000B2323"/>
    <w:rsid w:val="000B2A5F"/>
    <w:rsid w:val="000B2CB1"/>
    <w:rsid w:val="000B2E8C"/>
    <w:rsid w:val="000B3C7A"/>
    <w:rsid w:val="000B3D6E"/>
    <w:rsid w:val="000B4133"/>
    <w:rsid w:val="000B4426"/>
    <w:rsid w:val="000B6233"/>
    <w:rsid w:val="000B66E3"/>
    <w:rsid w:val="000B68EA"/>
    <w:rsid w:val="000B6916"/>
    <w:rsid w:val="000C0445"/>
    <w:rsid w:val="000C063E"/>
    <w:rsid w:val="000C0868"/>
    <w:rsid w:val="000C0E05"/>
    <w:rsid w:val="000C20F4"/>
    <w:rsid w:val="000C25A8"/>
    <w:rsid w:val="000C262B"/>
    <w:rsid w:val="000C2EB9"/>
    <w:rsid w:val="000C369F"/>
    <w:rsid w:val="000C3A59"/>
    <w:rsid w:val="000C3BAF"/>
    <w:rsid w:val="000C430B"/>
    <w:rsid w:val="000C4556"/>
    <w:rsid w:val="000C48C5"/>
    <w:rsid w:val="000C4D31"/>
    <w:rsid w:val="000C5FEE"/>
    <w:rsid w:val="000C69FF"/>
    <w:rsid w:val="000C7353"/>
    <w:rsid w:val="000C7381"/>
    <w:rsid w:val="000C738E"/>
    <w:rsid w:val="000C7834"/>
    <w:rsid w:val="000C79A2"/>
    <w:rsid w:val="000C7D97"/>
    <w:rsid w:val="000C7E1D"/>
    <w:rsid w:val="000D0424"/>
    <w:rsid w:val="000D088B"/>
    <w:rsid w:val="000D0D94"/>
    <w:rsid w:val="000D1299"/>
    <w:rsid w:val="000D2118"/>
    <w:rsid w:val="000D2A78"/>
    <w:rsid w:val="000D3267"/>
    <w:rsid w:val="000D338E"/>
    <w:rsid w:val="000D361C"/>
    <w:rsid w:val="000D4778"/>
    <w:rsid w:val="000D4C2C"/>
    <w:rsid w:val="000D4D9A"/>
    <w:rsid w:val="000D4E53"/>
    <w:rsid w:val="000D4FB3"/>
    <w:rsid w:val="000D5551"/>
    <w:rsid w:val="000D569C"/>
    <w:rsid w:val="000D5CA6"/>
    <w:rsid w:val="000D6B06"/>
    <w:rsid w:val="000D6D9B"/>
    <w:rsid w:val="000D7CAC"/>
    <w:rsid w:val="000D7ED7"/>
    <w:rsid w:val="000E05C4"/>
    <w:rsid w:val="000E2E2C"/>
    <w:rsid w:val="000E316A"/>
    <w:rsid w:val="000E3949"/>
    <w:rsid w:val="000E3AA0"/>
    <w:rsid w:val="000E3CD0"/>
    <w:rsid w:val="000E4090"/>
    <w:rsid w:val="000E451A"/>
    <w:rsid w:val="000E4D1A"/>
    <w:rsid w:val="000E4ECF"/>
    <w:rsid w:val="000E5238"/>
    <w:rsid w:val="000E5513"/>
    <w:rsid w:val="000E5891"/>
    <w:rsid w:val="000E6496"/>
    <w:rsid w:val="000E66ED"/>
    <w:rsid w:val="000E6920"/>
    <w:rsid w:val="000E7B29"/>
    <w:rsid w:val="000E7CBA"/>
    <w:rsid w:val="000F05EC"/>
    <w:rsid w:val="000F08D8"/>
    <w:rsid w:val="000F0D61"/>
    <w:rsid w:val="000F1933"/>
    <w:rsid w:val="000F28C4"/>
    <w:rsid w:val="000F32B8"/>
    <w:rsid w:val="000F3B82"/>
    <w:rsid w:val="000F3FC3"/>
    <w:rsid w:val="000F400E"/>
    <w:rsid w:val="000F421F"/>
    <w:rsid w:val="000F4687"/>
    <w:rsid w:val="000F4765"/>
    <w:rsid w:val="000F47C9"/>
    <w:rsid w:val="000F4FA0"/>
    <w:rsid w:val="000F5140"/>
    <w:rsid w:val="000F56D3"/>
    <w:rsid w:val="000F5969"/>
    <w:rsid w:val="000F6225"/>
    <w:rsid w:val="000F6266"/>
    <w:rsid w:val="000F6486"/>
    <w:rsid w:val="000F6940"/>
    <w:rsid w:val="000F699E"/>
    <w:rsid w:val="000F7161"/>
    <w:rsid w:val="000F7487"/>
    <w:rsid w:val="000F7D66"/>
    <w:rsid w:val="001000BB"/>
    <w:rsid w:val="00100121"/>
    <w:rsid w:val="001008AC"/>
    <w:rsid w:val="00100A26"/>
    <w:rsid w:val="00101F63"/>
    <w:rsid w:val="001020F2"/>
    <w:rsid w:val="00102762"/>
    <w:rsid w:val="00103033"/>
    <w:rsid w:val="001034F2"/>
    <w:rsid w:val="001045A6"/>
    <w:rsid w:val="00104732"/>
    <w:rsid w:val="00104B62"/>
    <w:rsid w:val="00104C1F"/>
    <w:rsid w:val="001057B7"/>
    <w:rsid w:val="0010581E"/>
    <w:rsid w:val="00105AEF"/>
    <w:rsid w:val="00105C00"/>
    <w:rsid w:val="0010665F"/>
    <w:rsid w:val="00106820"/>
    <w:rsid w:val="00106C92"/>
    <w:rsid w:val="00106FC7"/>
    <w:rsid w:val="00107046"/>
    <w:rsid w:val="001072B5"/>
    <w:rsid w:val="00107410"/>
    <w:rsid w:val="00107C97"/>
    <w:rsid w:val="0011007E"/>
    <w:rsid w:val="00110172"/>
    <w:rsid w:val="001103E5"/>
    <w:rsid w:val="00110A9E"/>
    <w:rsid w:val="0011185F"/>
    <w:rsid w:val="00111A81"/>
    <w:rsid w:val="0011230C"/>
    <w:rsid w:val="00112516"/>
    <w:rsid w:val="00112F2C"/>
    <w:rsid w:val="00113043"/>
    <w:rsid w:val="001132F8"/>
    <w:rsid w:val="00113A02"/>
    <w:rsid w:val="00113EF4"/>
    <w:rsid w:val="001145A2"/>
    <w:rsid w:val="001156C0"/>
    <w:rsid w:val="001157D1"/>
    <w:rsid w:val="00115F51"/>
    <w:rsid w:val="00116085"/>
    <w:rsid w:val="00116090"/>
    <w:rsid w:val="00116CE7"/>
    <w:rsid w:val="0011743C"/>
    <w:rsid w:val="00117B1A"/>
    <w:rsid w:val="00117BF2"/>
    <w:rsid w:val="00120245"/>
    <w:rsid w:val="001207C3"/>
    <w:rsid w:val="00120CF5"/>
    <w:rsid w:val="00120D4B"/>
    <w:rsid w:val="00120FCB"/>
    <w:rsid w:val="00121266"/>
    <w:rsid w:val="0012210A"/>
    <w:rsid w:val="00122535"/>
    <w:rsid w:val="00122610"/>
    <w:rsid w:val="00122761"/>
    <w:rsid w:val="00122839"/>
    <w:rsid w:val="00123D50"/>
    <w:rsid w:val="0012444F"/>
    <w:rsid w:val="00124520"/>
    <w:rsid w:val="0012476E"/>
    <w:rsid w:val="00124AB5"/>
    <w:rsid w:val="00125A7C"/>
    <w:rsid w:val="00126011"/>
    <w:rsid w:val="00126056"/>
    <w:rsid w:val="001263EC"/>
    <w:rsid w:val="00126456"/>
    <w:rsid w:val="00126E3C"/>
    <w:rsid w:val="00126E59"/>
    <w:rsid w:val="001273A3"/>
    <w:rsid w:val="00127756"/>
    <w:rsid w:val="00127869"/>
    <w:rsid w:val="00127CAA"/>
    <w:rsid w:val="00130513"/>
    <w:rsid w:val="001305B0"/>
    <w:rsid w:val="00130721"/>
    <w:rsid w:val="001314EF"/>
    <w:rsid w:val="00131C3A"/>
    <w:rsid w:val="00131F3A"/>
    <w:rsid w:val="00132860"/>
    <w:rsid w:val="00132B4E"/>
    <w:rsid w:val="00133325"/>
    <w:rsid w:val="0013353B"/>
    <w:rsid w:val="00133A30"/>
    <w:rsid w:val="00134197"/>
    <w:rsid w:val="00134872"/>
    <w:rsid w:val="00134B13"/>
    <w:rsid w:val="00135529"/>
    <w:rsid w:val="0013576F"/>
    <w:rsid w:val="00135BE1"/>
    <w:rsid w:val="00135E7E"/>
    <w:rsid w:val="0013649A"/>
    <w:rsid w:val="00136FAE"/>
    <w:rsid w:val="001405CE"/>
    <w:rsid w:val="001407D0"/>
    <w:rsid w:val="00140BDB"/>
    <w:rsid w:val="00141065"/>
    <w:rsid w:val="00141222"/>
    <w:rsid w:val="00141280"/>
    <w:rsid w:val="0014147C"/>
    <w:rsid w:val="0014202B"/>
    <w:rsid w:val="00142308"/>
    <w:rsid w:val="001425A0"/>
    <w:rsid w:val="00142960"/>
    <w:rsid w:val="001439C8"/>
    <w:rsid w:val="00144DD0"/>
    <w:rsid w:val="00145443"/>
    <w:rsid w:val="00145469"/>
    <w:rsid w:val="001464DA"/>
    <w:rsid w:val="00146768"/>
    <w:rsid w:val="00146D56"/>
    <w:rsid w:val="00147E6A"/>
    <w:rsid w:val="001500EA"/>
    <w:rsid w:val="00150486"/>
    <w:rsid w:val="00150652"/>
    <w:rsid w:val="001507A8"/>
    <w:rsid w:val="00150B81"/>
    <w:rsid w:val="00151BBB"/>
    <w:rsid w:val="00151DD4"/>
    <w:rsid w:val="00152A1D"/>
    <w:rsid w:val="00152C1C"/>
    <w:rsid w:val="00152CF3"/>
    <w:rsid w:val="00152E0D"/>
    <w:rsid w:val="00153117"/>
    <w:rsid w:val="001533BC"/>
    <w:rsid w:val="0015402B"/>
    <w:rsid w:val="00154A1B"/>
    <w:rsid w:val="00154EFE"/>
    <w:rsid w:val="00155631"/>
    <w:rsid w:val="00155B5B"/>
    <w:rsid w:val="00155E0C"/>
    <w:rsid w:val="00156367"/>
    <w:rsid w:val="00156DE9"/>
    <w:rsid w:val="00156FF5"/>
    <w:rsid w:val="00157041"/>
    <w:rsid w:val="0015752B"/>
    <w:rsid w:val="001577E6"/>
    <w:rsid w:val="00157A8F"/>
    <w:rsid w:val="00160153"/>
    <w:rsid w:val="00160F97"/>
    <w:rsid w:val="00161D44"/>
    <w:rsid w:val="001622BD"/>
    <w:rsid w:val="00162C29"/>
    <w:rsid w:val="001630DC"/>
    <w:rsid w:val="00163378"/>
    <w:rsid w:val="00163F91"/>
    <w:rsid w:val="00165EC0"/>
    <w:rsid w:val="00167A5D"/>
    <w:rsid w:val="00167E92"/>
    <w:rsid w:val="00170683"/>
    <w:rsid w:val="00170C34"/>
    <w:rsid w:val="0017166E"/>
    <w:rsid w:val="00174049"/>
    <w:rsid w:val="001748E1"/>
    <w:rsid w:val="00174FBB"/>
    <w:rsid w:val="00175599"/>
    <w:rsid w:val="00175647"/>
    <w:rsid w:val="001757E2"/>
    <w:rsid w:val="00175BFA"/>
    <w:rsid w:val="00175C40"/>
    <w:rsid w:val="00176486"/>
    <w:rsid w:val="00176887"/>
    <w:rsid w:val="0017694B"/>
    <w:rsid w:val="00176AE7"/>
    <w:rsid w:val="00177255"/>
    <w:rsid w:val="00177808"/>
    <w:rsid w:val="00177821"/>
    <w:rsid w:val="00177CEB"/>
    <w:rsid w:val="00177F80"/>
    <w:rsid w:val="001805D8"/>
    <w:rsid w:val="001807A8"/>
    <w:rsid w:val="001808A7"/>
    <w:rsid w:val="001811A2"/>
    <w:rsid w:val="00181766"/>
    <w:rsid w:val="00182C6C"/>
    <w:rsid w:val="00182D3D"/>
    <w:rsid w:val="0018340D"/>
    <w:rsid w:val="00183BED"/>
    <w:rsid w:val="0018404E"/>
    <w:rsid w:val="0018454C"/>
    <w:rsid w:val="00184BCD"/>
    <w:rsid w:val="0018513F"/>
    <w:rsid w:val="00186214"/>
    <w:rsid w:val="0018624B"/>
    <w:rsid w:val="00186279"/>
    <w:rsid w:val="001866FE"/>
    <w:rsid w:val="00186BDC"/>
    <w:rsid w:val="0018773B"/>
    <w:rsid w:val="0018799A"/>
    <w:rsid w:val="001905D8"/>
    <w:rsid w:val="001908B3"/>
    <w:rsid w:val="00191599"/>
    <w:rsid w:val="00191CDF"/>
    <w:rsid w:val="001929B9"/>
    <w:rsid w:val="00192E43"/>
    <w:rsid w:val="00194227"/>
    <w:rsid w:val="001942E6"/>
    <w:rsid w:val="00194A6B"/>
    <w:rsid w:val="00195383"/>
    <w:rsid w:val="00195716"/>
    <w:rsid w:val="00195750"/>
    <w:rsid w:val="00195A01"/>
    <w:rsid w:val="001961CB"/>
    <w:rsid w:val="001968AE"/>
    <w:rsid w:val="0019708B"/>
    <w:rsid w:val="00197504"/>
    <w:rsid w:val="00197F1C"/>
    <w:rsid w:val="001A0007"/>
    <w:rsid w:val="001A0FF1"/>
    <w:rsid w:val="001A1131"/>
    <w:rsid w:val="001A234F"/>
    <w:rsid w:val="001A24BD"/>
    <w:rsid w:val="001A257E"/>
    <w:rsid w:val="001A36D3"/>
    <w:rsid w:val="001A3F2F"/>
    <w:rsid w:val="001A4ED8"/>
    <w:rsid w:val="001A4FB6"/>
    <w:rsid w:val="001A505E"/>
    <w:rsid w:val="001A600C"/>
    <w:rsid w:val="001A6331"/>
    <w:rsid w:val="001A652C"/>
    <w:rsid w:val="001A6754"/>
    <w:rsid w:val="001A692C"/>
    <w:rsid w:val="001A7B06"/>
    <w:rsid w:val="001A7F25"/>
    <w:rsid w:val="001B0560"/>
    <w:rsid w:val="001B06AC"/>
    <w:rsid w:val="001B0EDA"/>
    <w:rsid w:val="001B1088"/>
    <w:rsid w:val="001B1188"/>
    <w:rsid w:val="001B1245"/>
    <w:rsid w:val="001B1890"/>
    <w:rsid w:val="001B260B"/>
    <w:rsid w:val="001B29D2"/>
    <w:rsid w:val="001B3051"/>
    <w:rsid w:val="001B308F"/>
    <w:rsid w:val="001B3180"/>
    <w:rsid w:val="001B33AA"/>
    <w:rsid w:val="001B3CD1"/>
    <w:rsid w:val="001B3D05"/>
    <w:rsid w:val="001B3F10"/>
    <w:rsid w:val="001B48A2"/>
    <w:rsid w:val="001B4E62"/>
    <w:rsid w:val="001B4EE9"/>
    <w:rsid w:val="001B5728"/>
    <w:rsid w:val="001B5ED2"/>
    <w:rsid w:val="001B5FD1"/>
    <w:rsid w:val="001B6B06"/>
    <w:rsid w:val="001B7117"/>
    <w:rsid w:val="001B71EF"/>
    <w:rsid w:val="001B742A"/>
    <w:rsid w:val="001B777D"/>
    <w:rsid w:val="001C0008"/>
    <w:rsid w:val="001C03E4"/>
    <w:rsid w:val="001C051C"/>
    <w:rsid w:val="001C0623"/>
    <w:rsid w:val="001C0F15"/>
    <w:rsid w:val="001C1638"/>
    <w:rsid w:val="001C23BD"/>
    <w:rsid w:val="001C2ECC"/>
    <w:rsid w:val="001C32CE"/>
    <w:rsid w:val="001C3558"/>
    <w:rsid w:val="001C35FC"/>
    <w:rsid w:val="001C3B05"/>
    <w:rsid w:val="001C4264"/>
    <w:rsid w:val="001C4758"/>
    <w:rsid w:val="001C4C0B"/>
    <w:rsid w:val="001C4CB3"/>
    <w:rsid w:val="001C54FC"/>
    <w:rsid w:val="001C5928"/>
    <w:rsid w:val="001C5C44"/>
    <w:rsid w:val="001C5E6B"/>
    <w:rsid w:val="001C6636"/>
    <w:rsid w:val="001C68A0"/>
    <w:rsid w:val="001C74D4"/>
    <w:rsid w:val="001C7A99"/>
    <w:rsid w:val="001C7B71"/>
    <w:rsid w:val="001C7BFB"/>
    <w:rsid w:val="001D0E57"/>
    <w:rsid w:val="001D1644"/>
    <w:rsid w:val="001D1D33"/>
    <w:rsid w:val="001D23C6"/>
    <w:rsid w:val="001D2640"/>
    <w:rsid w:val="001D2FE8"/>
    <w:rsid w:val="001D323E"/>
    <w:rsid w:val="001D3739"/>
    <w:rsid w:val="001D3E5C"/>
    <w:rsid w:val="001D465B"/>
    <w:rsid w:val="001D5050"/>
    <w:rsid w:val="001D53FF"/>
    <w:rsid w:val="001D5C8A"/>
    <w:rsid w:val="001D5E4A"/>
    <w:rsid w:val="001D5FFD"/>
    <w:rsid w:val="001D67FB"/>
    <w:rsid w:val="001D6B17"/>
    <w:rsid w:val="001D6B98"/>
    <w:rsid w:val="001D6D1F"/>
    <w:rsid w:val="001D75D2"/>
    <w:rsid w:val="001D7ED1"/>
    <w:rsid w:val="001E02BC"/>
    <w:rsid w:val="001E06B3"/>
    <w:rsid w:val="001E07E0"/>
    <w:rsid w:val="001E0BD5"/>
    <w:rsid w:val="001E0DBA"/>
    <w:rsid w:val="001E0FA0"/>
    <w:rsid w:val="001E1A90"/>
    <w:rsid w:val="001E2660"/>
    <w:rsid w:val="001E2C59"/>
    <w:rsid w:val="001E329B"/>
    <w:rsid w:val="001E4202"/>
    <w:rsid w:val="001E422B"/>
    <w:rsid w:val="001E47B7"/>
    <w:rsid w:val="001E4B91"/>
    <w:rsid w:val="001E4B9E"/>
    <w:rsid w:val="001E767F"/>
    <w:rsid w:val="001E76DD"/>
    <w:rsid w:val="001E7713"/>
    <w:rsid w:val="001E7A1E"/>
    <w:rsid w:val="001F03C5"/>
    <w:rsid w:val="001F1558"/>
    <w:rsid w:val="001F225C"/>
    <w:rsid w:val="001F28E8"/>
    <w:rsid w:val="001F2D80"/>
    <w:rsid w:val="001F33CD"/>
    <w:rsid w:val="001F4012"/>
    <w:rsid w:val="001F50AB"/>
    <w:rsid w:val="001F5120"/>
    <w:rsid w:val="001F57C5"/>
    <w:rsid w:val="001F6944"/>
    <w:rsid w:val="001F694F"/>
    <w:rsid w:val="001F6BFF"/>
    <w:rsid w:val="00200534"/>
    <w:rsid w:val="00200647"/>
    <w:rsid w:val="00201032"/>
    <w:rsid w:val="00202270"/>
    <w:rsid w:val="00202478"/>
    <w:rsid w:val="00202B16"/>
    <w:rsid w:val="00202C66"/>
    <w:rsid w:val="00203421"/>
    <w:rsid w:val="00203870"/>
    <w:rsid w:val="00204254"/>
    <w:rsid w:val="00204814"/>
    <w:rsid w:val="002048BC"/>
    <w:rsid w:val="00204DAC"/>
    <w:rsid w:val="00205303"/>
    <w:rsid w:val="00205329"/>
    <w:rsid w:val="0020627C"/>
    <w:rsid w:val="002064F6"/>
    <w:rsid w:val="00206708"/>
    <w:rsid w:val="00206AEF"/>
    <w:rsid w:val="00206D4E"/>
    <w:rsid w:val="002077F7"/>
    <w:rsid w:val="00207F30"/>
    <w:rsid w:val="002108DB"/>
    <w:rsid w:val="00211213"/>
    <w:rsid w:val="0021171C"/>
    <w:rsid w:val="00211E4D"/>
    <w:rsid w:val="00212252"/>
    <w:rsid w:val="00212399"/>
    <w:rsid w:val="002128F3"/>
    <w:rsid w:val="002129A4"/>
    <w:rsid w:val="00212BDF"/>
    <w:rsid w:val="0021391E"/>
    <w:rsid w:val="00214648"/>
    <w:rsid w:val="00214AB3"/>
    <w:rsid w:val="00214AEB"/>
    <w:rsid w:val="00215300"/>
    <w:rsid w:val="00215581"/>
    <w:rsid w:val="002160E9"/>
    <w:rsid w:val="002161EB"/>
    <w:rsid w:val="0021651C"/>
    <w:rsid w:val="002167BC"/>
    <w:rsid w:val="0021710C"/>
    <w:rsid w:val="00217B08"/>
    <w:rsid w:val="00217C27"/>
    <w:rsid w:val="002211C0"/>
    <w:rsid w:val="00221999"/>
    <w:rsid w:val="00221A15"/>
    <w:rsid w:val="0022248E"/>
    <w:rsid w:val="00222BE3"/>
    <w:rsid w:val="00222FBB"/>
    <w:rsid w:val="00223822"/>
    <w:rsid w:val="00224A98"/>
    <w:rsid w:val="00224B95"/>
    <w:rsid w:val="00226285"/>
    <w:rsid w:val="0022635E"/>
    <w:rsid w:val="002269A5"/>
    <w:rsid w:val="00226A19"/>
    <w:rsid w:val="00226E04"/>
    <w:rsid w:val="00227510"/>
    <w:rsid w:val="00227B7B"/>
    <w:rsid w:val="00230E30"/>
    <w:rsid w:val="00232CBE"/>
    <w:rsid w:val="00233558"/>
    <w:rsid w:val="00233AA3"/>
    <w:rsid w:val="00233EE1"/>
    <w:rsid w:val="00234663"/>
    <w:rsid w:val="00234BA1"/>
    <w:rsid w:val="00235AE0"/>
    <w:rsid w:val="00235BC4"/>
    <w:rsid w:val="00236BCA"/>
    <w:rsid w:val="00236D07"/>
    <w:rsid w:val="002377C0"/>
    <w:rsid w:val="00237CAF"/>
    <w:rsid w:val="00240177"/>
    <w:rsid w:val="002401D7"/>
    <w:rsid w:val="0024057B"/>
    <w:rsid w:val="00240A27"/>
    <w:rsid w:val="00240A62"/>
    <w:rsid w:val="00241DF2"/>
    <w:rsid w:val="0024253B"/>
    <w:rsid w:val="00242933"/>
    <w:rsid w:val="00242C71"/>
    <w:rsid w:val="00242D58"/>
    <w:rsid w:val="002434A0"/>
    <w:rsid w:val="00243C68"/>
    <w:rsid w:val="002440D1"/>
    <w:rsid w:val="002445FB"/>
    <w:rsid w:val="00244CB5"/>
    <w:rsid w:val="00244EF9"/>
    <w:rsid w:val="002450E5"/>
    <w:rsid w:val="00246515"/>
    <w:rsid w:val="002467AF"/>
    <w:rsid w:val="00246C9B"/>
    <w:rsid w:val="002473B6"/>
    <w:rsid w:val="00247B5F"/>
    <w:rsid w:val="00247DFF"/>
    <w:rsid w:val="0025043B"/>
    <w:rsid w:val="00250A29"/>
    <w:rsid w:val="002511F9"/>
    <w:rsid w:val="00252310"/>
    <w:rsid w:val="002524C4"/>
    <w:rsid w:val="002525C4"/>
    <w:rsid w:val="002541DF"/>
    <w:rsid w:val="0025420A"/>
    <w:rsid w:val="002542F6"/>
    <w:rsid w:val="00254336"/>
    <w:rsid w:val="00254E0D"/>
    <w:rsid w:val="00254F92"/>
    <w:rsid w:val="00255081"/>
    <w:rsid w:val="00255758"/>
    <w:rsid w:val="00255A42"/>
    <w:rsid w:val="00255EAE"/>
    <w:rsid w:val="00256523"/>
    <w:rsid w:val="00256867"/>
    <w:rsid w:val="002569AE"/>
    <w:rsid w:val="00260167"/>
    <w:rsid w:val="00260627"/>
    <w:rsid w:val="00260C5B"/>
    <w:rsid w:val="00260D51"/>
    <w:rsid w:val="00260EF2"/>
    <w:rsid w:val="0026140D"/>
    <w:rsid w:val="00261916"/>
    <w:rsid w:val="00262A12"/>
    <w:rsid w:val="00263AF5"/>
    <w:rsid w:val="00263B47"/>
    <w:rsid w:val="00263D17"/>
    <w:rsid w:val="00264D7B"/>
    <w:rsid w:val="00265E9F"/>
    <w:rsid w:val="00265FBE"/>
    <w:rsid w:val="002662EB"/>
    <w:rsid w:val="002668EE"/>
    <w:rsid w:val="0026711B"/>
    <w:rsid w:val="002673AD"/>
    <w:rsid w:val="00267B35"/>
    <w:rsid w:val="00267F31"/>
    <w:rsid w:val="0027036B"/>
    <w:rsid w:val="002705CE"/>
    <w:rsid w:val="00270FF0"/>
    <w:rsid w:val="002710C4"/>
    <w:rsid w:val="00272091"/>
    <w:rsid w:val="002721C4"/>
    <w:rsid w:val="00272251"/>
    <w:rsid w:val="002724C9"/>
    <w:rsid w:val="00272605"/>
    <w:rsid w:val="002728C3"/>
    <w:rsid w:val="00272C2E"/>
    <w:rsid w:val="00273B17"/>
    <w:rsid w:val="0027415D"/>
    <w:rsid w:val="002747E5"/>
    <w:rsid w:val="0027505F"/>
    <w:rsid w:val="00275935"/>
    <w:rsid w:val="002762B2"/>
    <w:rsid w:val="00276335"/>
    <w:rsid w:val="00276A3B"/>
    <w:rsid w:val="00276B14"/>
    <w:rsid w:val="00276C06"/>
    <w:rsid w:val="00276D52"/>
    <w:rsid w:val="0027779D"/>
    <w:rsid w:val="00280BAB"/>
    <w:rsid w:val="00280D97"/>
    <w:rsid w:val="00281070"/>
    <w:rsid w:val="00281851"/>
    <w:rsid w:val="00281A44"/>
    <w:rsid w:val="00281B92"/>
    <w:rsid w:val="0028222D"/>
    <w:rsid w:val="00282ACB"/>
    <w:rsid w:val="00283120"/>
    <w:rsid w:val="00284637"/>
    <w:rsid w:val="00284736"/>
    <w:rsid w:val="002848D1"/>
    <w:rsid w:val="0028519F"/>
    <w:rsid w:val="0028528D"/>
    <w:rsid w:val="0028565E"/>
    <w:rsid w:val="00285CB2"/>
    <w:rsid w:val="0028636B"/>
    <w:rsid w:val="002866C5"/>
    <w:rsid w:val="00287640"/>
    <w:rsid w:val="00287824"/>
    <w:rsid w:val="00287B25"/>
    <w:rsid w:val="00287DE7"/>
    <w:rsid w:val="00287F1B"/>
    <w:rsid w:val="0029011B"/>
    <w:rsid w:val="00290578"/>
    <w:rsid w:val="00290E95"/>
    <w:rsid w:val="002910AF"/>
    <w:rsid w:val="002917C6"/>
    <w:rsid w:val="00291EF4"/>
    <w:rsid w:val="0029239C"/>
    <w:rsid w:val="00292796"/>
    <w:rsid w:val="00292BBF"/>
    <w:rsid w:val="00293E4C"/>
    <w:rsid w:val="00294715"/>
    <w:rsid w:val="002949ED"/>
    <w:rsid w:val="00294AB8"/>
    <w:rsid w:val="002953A2"/>
    <w:rsid w:val="002959B4"/>
    <w:rsid w:val="00295E01"/>
    <w:rsid w:val="00296520"/>
    <w:rsid w:val="00296602"/>
    <w:rsid w:val="002974D0"/>
    <w:rsid w:val="002A003D"/>
    <w:rsid w:val="002A05B5"/>
    <w:rsid w:val="002A0C4D"/>
    <w:rsid w:val="002A1D8D"/>
    <w:rsid w:val="002A1F56"/>
    <w:rsid w:val="002A27AB"/>
    <w:rsid w:val="002A31FE"/>
    <w:rsid w:val="002A32A0"/>
    <w:rsid w:val="002A35BC"/>
    <w:rsid w:val="002A3A05"/>
    <w:rsid w:val="002A3C22"/>
    <w:rsid w:val="002A4C6B"/>
    <w:rsid w:val="002A4D0D"/>
    <w:rsid w:val="002A5594"/>
    <w:rsid w:val="002A57AC"/>
    <w:rsid w:val="002A5EB0"/>
    <w:rsid w:val="002A5FBB"/>
    <w:rsid w:val="002A6025"/>
    <w:rsid w:val="002A62D6"/>
    <w:rsid w:val="002A6B15"/>
    <w:rsid w:val="002A7BC7"/>
    <w:rsid w:val="002A7BCD"/>
    <w:rsid w:val="002B17B3"/>
    <w:rsid w:val="002B1A00"/>
    <w:rsid w:val="002B1FC7"/>
    <w:rsid w:val="002B2928"/>
    <w:rsid w:val="002B2CD4"/>
    <w:rsid w:val="002B2F59"/>
    <w:rsid w:val="002B303D"/>
    <w:rsid w:val="002B4470"/>
    <w:rsid w:val="002B4B4C"/>
    <w:rsid w:val="002B4DD4"/>
    <w:rsid w:val="002B527E"/>
    <w:rsid w:val="002B5538"/>
    <w:rsid w:val="002B5549"/>
    <w:rsid w:val="002B68B2"/>
    <w:rsid w:val="002B6B30"/>
    <w:rsid w:val="002B6CC6"/>
    <w:rsid w:val="002B6CCB"/>
    <w:rsid w:val="002B71CD"/>
    <w:rsid w:val="002B7363"/>
    <w:rsid w:val="002B780D"/>
    <w:rsid w:val="002C04AA"/>
    <w:rsid w:val="002C0635"/>
    <w:rsid w:val="002C0746"/>
    <w:rsid w:val="002C16D3"/>
    <w:rsid w:val="002C1952"/>
    <w:rsid w:val="002C1C13"/>
    <w:rsid w:val="002C1F3A"/>
    <w:rsid w:val="002C2717"/>
    <w:rsid w:val="002C2AB8"/>
    <w:rsid w:val="002C418F"/>
    <w:rsid w:val="002C44C3"/>
    <w:rsid w:val="002C4508"/>
    <w:rsid w:val="002C496D"/>
    <w:rsid w:val="002C4F24"/>
    <w:rsid w:val="002C53C2"/>
    <w:rsid w:val="002C551F"/>
    <w:rsid w:val="002C5FCA"/>
    <w:rsid w:val="002C6CAA"/>
    <w:rsid w:val="002C7104"/>
    <w:rsid w:val="002C742D"/>
    <w:rsid w:val="002C75B0"/>
    <w:rsid w:val="002D083D"/>
    <w:rsid w:val="002D0F77"/>
    <w:rsid w:val="002D1323"/>
    <w:rsid w:val="002D231B"/>
    <w:rsid w:val="002D2F93"/>
    <w:rsid w:val="002D3438"/>
    <w:rsid w:val="002D3FD5"/>
    <w:rsid w:val="002D579C"/>
    <w:rsid w:val="002D776C"/>
    <w:rsid w:val="002D79D4"/>
    <w:rsid w:val="002D7AE0"/>
    <w:rsid w:val="002D7B70"/>
    <w:rsid w:val="002E08B2"/>
    <w:rsid w:val="002E097C"/>
    <w:rsid w:val="002E0EFF"/>
    <w:rsid w:val="002E110F"/>
    <w:rsid w:val="002E172D"/>
    <w:rsid w:val="002E178C"/>
    <w:rsid w:val="002E1A4F"/>
    <w:rsid w:val="002E25E8"/>
    <w:rsid w:val="002E35F1"/>
    <w:rsid w:val="002E3655"/>
    <w:rsid w:val="002E3985"/>
    <w:rsid w:val="002E476F"/>
    <w:rsid w:val="002E4BE5"/>
    <w:rsid w:val="002E4C8B"/>
    <w:rsid w:val="002E5136"/>
    <w:rsid w:val="002E5948"/>
    <w:rsid w:val="002E66E6"/>
    <w:rsid w:val="002E6A04"/>
    <w:rsid w:val="002E723B"/>
    <w:rsid w:val="002E7C59"/>
    <w:rsid w:val="002E7CB2"/>
    <w:rsid w:val="002F0109"/>
    <w:rsid w:val="002F03E5"/>
    <w:rsid w:val="002F048B"/>
    <w:rsid w:val="002F0F63"/>
    <w:rsid w:val="002F0FC0"/>
    <w:rsid w:val="002F17E1"/>
    <w:rsid w:val="002F1EC5"/>
    <w:rsid w:val="002F1F3F"/>
    <w:rsid w:val="002F2108"/>
    <w:rsid w:val="002F25D0"/>
    <w:rsid w:val="002F2B64"/>
    <w:rsid w:val="002F2BFB"/>
    <w:rsid w:val="002F4D15"/>
    <w:rsid w:val="002F5438"/>
    <w:rsid w:val="002F5AE2"/>
    <w:rsid w:val="002F5ECE"/>
    <w:rsid w:val="002F6055"/>
    <w:rsid w:val="002F617C"/>
    <w:rsid w:val="002F77CF"/>
    <w:rsid w:val="002F7BEE"/>
    <w:rsid w:val="002F7D3A"/>
    <w:rsid w:val="00300B51"/>
    <w:rsid w:val="00301492"/>
    <w:rsid w:val="003016DD"/>
    <w:rsid w:val="00301BD0"/>
    <w:rsid w:val="003028EF"/>
    <w:rsid w:val="00302A0C"/>
    <w:rsid w:val="00302F6F"/>
    <w:rsid w:val="003031AD"/>
    <w:rsid w:val="0030349A"/>
    <w:rsid w:val="0030349E"/>
    <w:rsid w:val="00303AF9"/>
    <w:rsid w:val="00303EA5"/>
    <w:rsid w:val="00304453"/>
    <w:rsid w:val="003044B4"/>
    <w:rsid w:val="00304AEA"/>
    <w:rsid w:val="00304FC6"/>
    <w:rsid w:val="0030508E"/>
    <w:rsid w:val="003050A8"/>
    <w:rsid w:val="0030562C"/>
    <w:rsid w:val="003059D8"/>
    <w:rsid w:val="00306BEF"/>
    <w:rsid w:val="00306C9F"/>
    <w:rsid w:val="00307291"/>
    <w:rsid w:val="00307AD4"/>
    <w:rsid w:val="003102F2"/>
    <w:rsid w:val="0031076B"/>
    <w:rsid w:val="003108E4"/>
    <w:rsid w:val="003109EE"/>
    <w:rsid w:val="00310D01"/>
    <w:rsid w:val="00310F2E"/>
    <w:rsid w:val="00311949"/>
    <w:rsid w:val="00312CEE"/>
    <w:rsid w:val="00313495"/>
    <w:rsid w:val="00313B36"/>
    <w:rsid w:val="003143B8"/>
    <w:rsid w:val="00315301"/>
    <w:rsid w:val="003160CE"/>
    <w:rsid w:val="00316395"/>
    <w:rsid w:val="00316584"/>
    <w:rsid w:val="0031696F"/>
    <w:rsid w:val="00317106"/>
    <w:rsid w:val="0031722F"/>
    <w:rsid w:val="00320846"/>
    <w:rsid w:val="003210B9"/>
    <w:rsid w:val="0032162E"/>
    <w:rsid w:val="003221DC"/>
    <w:rsid w:val="00322CE0"/>
    <w:rsid w:val="00323050"/>
    <w:rsid w:val="00323A58"/>
    <w:rsid w:val="00323D24"/>
    <w:rsid w:val="003243E3"/>
    <w:rsid w:val="0032458D"/>
    <w:rsid w:val="0032486D"/>
    <w:rsid w:val="00324E88"/>
    <w:rsid w:val="00325047"/>
    <w:rsid w:val="0032513F"/>
    <w:rsid w:val="00326C4B"/>
    <w:rsid w:val="00327212"/>
    <w:rsid w:val="003275EE"/>
    <w:rsid w:val="003305A6"/>
    <w:rsid w:val="00330670"/>
    <w:rsid w:val="00330D78"/>
    <w:rsid w:val="0033125E"/>
    <w:rsid w:val="00331319"/>
    <w:rsid w:val="00332216"/>
    <w:rsid w:val="00332B2B"/>
    <w:rsid w:val="00332FEE"/>
    <w:rsid w:val="00333227"/>
    <w:rsid w:val="00334043"/>
    <w:rsid w:val="0033420D"/>
    <w:rsid w:val="003345EB"/>
    <w:rsid w:val="00334E26"/>
    <w:rsid w:val="003356F0"/>
    <w:rsid w:val="00335CA3"/>
    <w:rsid w:val="00336139"/>
    <w:rsid w:val="003361F2"/>
    <w:rsid w:val="00337321"/>
    <w:rsid w:val="003376C0"/>
    <w:rsid w:val="003379CD"/>
    <w:rsid w:val="00337D0E"/>
    <w:rsid w:val="0034012C"/>
    <w:rsid w:val="00340596"/>
    <w:rsid w:val="003405FE"/>
    <w:rsid w:val="00340865"/>
    <w:rsid w:val="00340DD4"/>
    <w:rsid w:val="0034133B"/>
    <w:rsid w:val="00341538"/>
    <w:rsid w:val="003422E4"/>
    <w:rsid w:val="003427AC"/>
    <w:rsid w:val="00342BE6"/>
    <w:rsid w:val="00343103"/>
    <w:rsid w:val="0034312F"/>
    <w:rsid w:val="0034317C"/>
    <w:rsid w:val="00343B8C"/>
    <w:rsid w:val="00343D97"/>
    <w:rsid w:val="0034406F"/>
    <w:rsid w:val="00344196"/>
    <w:rsid w:val="00344742"/>
    <w:rsid w:val="00344750"/>
    <w:rsid w:val="00344B8A"/>
    <w:rsid w:val="00344F42"/>
    <w:rsid w:val="00345092"/>
    <w:rsid w:val="0034510A"/>
    <w:rsid w:val="00346332"/>
    <w:rsid w:val="00346799"/>
    <w:rsid w:val="00346FCB"/>
    <w:rsid w:val="0034704E"/>
    <w:rsid w:val="00347CED"/>
    <w:rsid w:val="00347F4C"/>
    <w:rsid w:val="003502D4"/>
    <w:rsid w:val="0035063F"/>
    <w:rsid w:val="00351C28"/>
    <w:rsid w:val="00351DBF"/>
    <w:rsid w:val="00352099"/>
    <w:rsid w:val="0035227D"/>
    <w:rsid w:val="003529F5"/>
    <w:rsid w:val="00352D98"/>
    <w:rsid w:val="00353295"/>
    <w:rsid w:val="0035335E"/>
    <w:rsid w:val="00353A5F"/>
    <w:rsid w:val="0035455E"/>
    <w:rsid w:val="0035456F"/>
    <w:rsid w:val="003547B3"/>
    <w:rsid w:val="00354A93"/>
    <w:rsid w:val="003550DD"/>
    <w:rsid w:val="00355C35"/>
    <w:rsid w:val="003576FC"/>
    <w:rsid w:val="00357AB8"/>
    <w:rsid w:val="00357BE6"/>
    <w:rsid w:val="003604BE"/>
    <w:rsid w:val="003614E1"/>
    <w:rsid w:val="003614E8"/>
    <w:rsid w:val="00362109"/>
    <w:rsid w:val="003623FE"/>
    <w:rsid w:val="00362764"/>
    <w:rsid w:val="0036298A"/>
    <w:rsid w:val="00363020"/>
    <w:rsid w:val="00363073"/>
    <w:rsid w:val="00363284"/>
    <w:rsid w:val="003639F4"/>
    <w:rsid w:val="00364ACC"/>
    <w:rsid w:val="00364DDD"/>
    <w:rsid w:val="0036677A"/>
    <w:rsid w:val="003668C3"/>
    <w:rsid w:val="003669FA"/>
    <w:rsid w:val="00366AA4"/>
    <w:rsid w:val="003675D7"/>
    <w:rsid w:val="00367A77"/>
    <w:rsid w:val="00367D66"/>
    <w:rsid w:val="00370DBF"/>
    <w:rsid w:val="00370E14"/>
    <w:rsid w:val="00370E16"/>
    <w:rsid w:val="00371613"/>
    <w:rsid w:val="003716DC"/>
    <w:rsid w:val="00371D0A"/>
    <w:rsid w:val="003720DD"/>
    <w:rsid w:val="003726A2"/>
    <w:rsid w:val="00372E8C"/>
    <w:rsid w:val="00374483"/>
    <w:rsid w:val="00374F4F"/>
    <w:rsid w:val="003750D1"/>
    <w:rsid w:val="003751A2"/>
    <w:rsid w:val="00375E3A"/>
    <w:rsid w:val="0037630C"/>
    <w:rsid w:val="00376451"/>
    <w:rsid w:val="0037669D"/>
    <w:rsid w:val="00376A92"/>
    <w:rsid w:val="0037756C"/>
    <w:rsid w:val="003778C1"/>
    <w:rsid w:val="00377BFD"/>
    <w:rsid w:val="00377D36"/>
    <w:rsid w:val="003816B8"/>
    <w:rsid w:val="003822C1"/>
    <w:rsid w:val="00382EBA"/>
    <w:rsid w:val="00383161"/>
    <w:rsid w:val="00383E7C"/>
    <w:rsid w:val="003846D0"/>
    <w:rsid w:val="00384C75"/>
    <w:rsid w:val="00384CD4"/>
    <w:rsid w:val="00385171"/>
    <w:rsid w:val="00386CC8"/>
    <w:rsid w:val="0038756E"/>
    <w:rsid w:val="003877FF"/>
    <w:rsid w:val="00387BAF"/>
    <w:rsid w:val="00387C65"/>
    <w:rsid w:val="00390ECD"/>
    <w:rsid w:val="00391142"/>
    <w:rsid w:val="0039142A"/>
    <w:rsid w:val="00391D00"/>
    <w:rsid w:val="003923D3"/>
    <w:rsid w:val="0039280C"/>
    <w:rsid w:val="00392A51"/>
    <w:rsid w:val="003934C6"/>
    <w:rsid w:val="003936B8"/>
    <w:rsid w:val="0039389D"/>
    <w:rsid w:val="00393A7C"/>
    <w:rsid w:val="00393AA3"/>
    <w:rsid w:val="00394330"/>
    <w:rsid w:val="00394C79"/>
    <w:rsid w:val="00395372"/>
    <w:rsid w:val="00395572"/>
    <w:rsid w:val="00395B11"/>
    <w:rsid w:val="00395EA3"/>
    <w:rsid w:val="00395FFD"/>
    <w:rsid w:val="0039617A"/>
    <w:rsid w:val="00396CF2"/>
    <w:rsid w:val="003970F5"/>
    <w:rsid w:val="003A015F"/>
    <w:rsid w:val="003A079E"/>
    <w:rsid w:val="003A0F2B"/>
    <w:rsid w:val="003A16D5"/>
    <w:rsid w:val="003A1D37"/>
    <w:rsid w:val="003A1E8D"/>
    <w:rsid w:val="003A1FE4"/>
    <w:rsid w:val="003A270E"/>
    <w:rsid w:val="003A359E"/>
    <w:rsid w:val="003A3C80"/>
    <w:rsid w:val="003A41F7"/>
    <w:rsid w:val="003A54CF"/>
    <w:rsid w:val="003A5985"/>
    <w:rsid w:val="003A5E91"/>
    <w:rsid w:val="003A70B4"/>
    <w:rsid w:val="003A748B"/>
    <w:rsid w:val="003A7678"/>
    <w:rsid w:val="003A7779"/>
    <w:rsid w:val="003A7E57"/>
    <w:rsid w:val="003B00A1"/>
    <w:rsid w:val="003B036E"/>
    <w:rsid w:val="003B166F"/>
    <w:rsid w:val="003B277E"/>
    <w:rsid w:val="003B335B"/>
    <w:rsid w:val="003B3C8C"/>
    <w:rsid w:val="003B43AD"/>
    <w:rsid w:val="003B4ACF"/>
    <w:rsid w:val="003B4F35"/>
    <w:rsid w:val="003B569B"/>
    <w:rsid w:val="003B627B"/>
    <w:rsid w:val="003B630A"/>
    <w:rsid w:val="003B6C51"/>
    <w:rsid w:val="003B7158"/>
    <w:rsid w:val="003B71AC"/>
    <w:rsid w:val="003B76CA"/>
    <w:rsid w:val="003B7702"/>
    <w:rsid w:val="003B7A41"/>
    <w:rsid w:val="003B7BF1"/>
    <w:rsid w:val="003B7D57"/>
    <w:rsid w:val="003C0130"/>
    <w:rsid w:val="003C079D"/>
    <w:rsid w:val="003C0A10"/>
    <w:rsid w:val="003C1142"/>
    <w:rsid w:val="003C1DD7"/>
    <w:rsid w:val="003C23F5"/>
    <w:rsid w:val="003C2496"/>
    <w:rsid w:val="003C25F3"/>
    <w:rsid w:val="003C2950"/>
    <w:rsid w:val="003C2B51"/>
    <w:rsid w:val="003C307C"/>
    <w:rsid w:val="003C32AC"/>
    <w:rsid w:val="003C3484"/>
    <w:rsid w:val="003C3A57"/>
    <w:rsid w:val="003C4197"/>
    <w:rsid w:val="003C41AB"/>
    <w:rsid w:val="003C4B6F"/>
    <w:rsid w:val="003C5056"/>
    <w:rsid w:val="003C5462"/>
    <w:rsid w:val="003C5921"/>
    <w:rsid w:val="003C5DBA"/>
    <w:rsid w:val="003C5FC9"/>
    <w:rsid w:val="003C62B5"/>
    <w:rsid w:val="003C658C"/>
    <w:rsid w:val="003C6EAA"/>
    <w:rsid w:val="003C6F58"/>
    <w:rsid w:val="003C737A"/>
    <w:rsid w:val="003C749D"/>
    <w:rsid w:val="003C79B3"/>
    <w:rsid w:val="003C7B1A"/>
    <w:rsid w:val="003D07A2"/>
    <w:rsid w:val="003D1571"/>
    <w:rsid w:val="003D1EBB"/>
    <w:rsid w:val="003D2974"/>
    <w:rsid w:val="003D3D65"/>
    <w:rsid w:val="003D4209"/>
    <w:rsid w:val="003D4834"/>
    <w:rsid w:val="003D536A"/>
    <w:rsid w:val="003D5BB1"/>
    <w:rsid w:val="003D5D3A"/>
    <w:rsid w:val="003D6812"/>
    <w:rsid w:val="003D6DE8"/>
    <w:rsid w:val="003D7F12"/>
    <w:rsid w:val="003E045D"/>
    <w:rsid w:val="003E05EA"/>
    <w:rsid w:val="003E0DF6"/>
    <w:rsid w:val="003E1302"/>
    <w:rsid w:val="003E20CE"/>
    <w:rsid w:val="003E26D4"/>
    <w:rsid w:val="003E26DA"/>
    <w:rsid w:val="003E316B"/>
    <w:rsid w:val="003E3A86"/>
    <w:rsid w:val="003E3BA1"/>
    <w:rsid w:val="003E3F9E"/>
    <w:rsid w:val="003E4041"/>
    <w:rsid w:val="003E41D6"/>
    <w:rsid w:val="003E48AB"/>
    <w:rsid w:val="003E4C41"/>
    <w:rsid w:val="003E4C6D"/>
    <w:rsid w:val="003E6012"/>
    <w:rsid w:val="003E6329"/>
    <w:rsid w:val="003E6ACC"/>
    <w:rsid w:val="003F09A0"/>
    <w:rsid w:val="003F0A5A"/>
    <w:rsid w:val="003F11E5"/>
    <w:rsid w:val="003F1AE5"/>
    <w:rsid w:val="003F1D01"/>
    <w:rsid w:val="003F1F0B"/>
    <w:rsid w:val="003F1FAC"/>
    <w:rsid w:val="003F2218"/>
    <w:rsid w:val="003F2CC3"/>
    <w:rsid w:val="003F2D9B"/>
    <w:rsid w:val="003F371B"/>
    <w:rsid w:val="003F3810"/>
    <w:rsid w:val="003F396F"/>
    <w:rsid w:val="003F41D5"/>
    <w:rsid w:val="003F46F0"/>
    <w:rsid w:val="003F4825"/>
    <w:rsid w:val="003F5BE5"/>
    <w:rsid w:val="003F61BB"/>
    <w:rsid w:val="003F64B2"/>
    <w:rsid w:val="003F6C94"/>
    <w:rsid w:val="003F6F83"/>
    <w:rsid w:val="003F7217"/>
    <w:rsid w:val="003F792D"/>
    <w:rsid w:val="003F79FD"/>
    <w:rsid w:val="003F7E65"/>
    <w:rsid w:val="00400437"/>
    <w:rsid w:val="0040093B"/>
    <w:rsid w:val="004009F6"/>
    <w:rsid w:val="00401168"/>
    <w:rsid w:val="0040131A"/>
    <w:rsid w:val="00401352"/>
    <w:rsid w:val="00401CEC"/>
    <w:rsid w:val="00401F19"/>
    <w:rsid w:val="004026CD"/>
    <w:rsid w:val="0040298E"/>
    <w:rsid w:val="00403103"/>
    <w:rsid w:val="00403C03"/>
    <w:rsid w:val="00404A0D"/>
    <w:rsid w:val="00404B27"/>
    <w:rsid w:val="00404B96"/>
    <w:rsid w:val="00405496"/>
    <w:rsid w:val="004055C9"/>
    <w:rsid w:val="00405606"/>
    <w:rsid w:val="00405680"/>
    <w:rsid w:val="0040589F"/>
    <w:rsid w:val="00406CF9"/>
    <w:rsid w:val="00407C0D"/>
    <w:rsid w:val="00407C7C"/>
    <w:rsid w:val="00407FAB"/>
    <w:rsid w:val="0041069A"/>
    <w:rsid w:val="004109C5"/>
    <w:rsid w:val="004110DD"/>
    <w:rsid w:val="00411BB9"/>
    <w:rsid w:val="00411C74"/>
    <w:rsid w:val="00412393"/>
    <w:rsid w:val="00412528"/>
    <w:rsid w:val="00412893"/>
    <w:rsid w:val="00412F99"/>
    <w:rsid w:val="00413165"/>
    <w:rsid w:val="004133AD"/>
    <w:rsid w:val="004139DE"/>
    <w:rsid w:val="00413EC0"/>
    <w:rsid w:val="00414034"/>
    <w:rsid w:val="00414237"/>
    <w:rsid w:val="004145E1"/>
    <w:rsid w:val="004146B5"/>
    <w:rsid w:val="00414B45"/>
    <w:rsid w:val="00415590"/>
    <w:rsid w:val="00416605"/>
    <w:rsid w:val="00416BC5"/>
    <w:rsid w:val="00417129"/>
    <w:rsid w:val="004171D0"/>
    <w:rsid w:val="00417391"/>
    <w:rsid w:val="004174B9"/>
    <w:rsid w:val="00417CC8"/>
    <w:rsid w:val="00417DB4"/>
    <w:rsid w:val="0042053C"/>
    <w:rsid w:val="00420677"/>
    <w:rsid w:val="00420ED6"/>
    <w:rsid w:val="00421042"/>
    <w:rsid w:val="00421426"/>
    <w:rsid w:val="0042186F"/>
    <w:rsid w:val="00421AE4"/>
    <w:rsid w:val="00422130"/>
    <w:rsid w:val="004221AA"/>
    <w:rsid w:val="004221D9"/>
    <w:rsid w:val="0042245E"/>
    <w:rsid w:val="00422BD0"/>
    <w:rsid w:val="004234E9"/>
    <w:rsid w:val="00423D46"/>
    <w:rsid w:val="0042409B"/>
    <w:rsid w:val="004248EE"/>
    <w:rsid w:val="004249FE"/>
    <w:rsid w:val="00425606"/>
    <w:rsid w:val="00425EDB"/>
    <w:rsid w:val="0042667E"/>
    <w:rsid w:val="00427345"/>
    <w:rsid w:val="00427C68"/>
    <w:rsid w:val="004305FF"/>
    <w:rsid w:val="00430AAC"/>
    <w:rsid w:val="004311B6"/>
    <w:rsid w:val="00431647"/>
    <w:rsid w:val="0043214D"/>
    <w:rsid w:val="004321FC"/>
    <w:rsid w:val="0043250B"/>
    <w:rsid w:val="00432924"/>
    <w:rsid w:val="00432D22"/>
    <w:rsid w:val="00434FB4"/>
    <w:rsid w:val="00435915"/>
    <w:rsid w:val="00435EEE"/>
    <w:rsid w:val="00436060"/>
    <w:rsid w:val="00436497"/>
    <w:rsid w:val="00436739"/>
    <w:rsid w:val="004367AF"/>
    <w:rsid w:val="00436D18"/>
    <w:rsid w:val="0043742E"/>
    <w:rsid w:val="004379E6"/>
    <w:rsid w:val="00437E00"/>
    <w:rsid w:val="00437E69"/>
    <w:rsid w:val="00440273"/>
    <w:rsid w:val="00441EB2"/>
    <w:rsid w:val="00442389"/>
    <w:rsid w:val="00442602"/>
    <w:rsid w:val="004426FE"/>
    <w:rsid w:val="00442708"/>
    <w:rsid w:val="00442896"/>
    <w:rsid w:val="00443130"/>
    <w:rsid w:val="0044335B"/>
    <w:rsid w:val="004435D5"/>
    <w:rsid w:val="00443C09"/>
    <w:rsid w:val="00444779"/>
    <w:rsid w:val="00444945"/>
    <w:rsid w:val="00444C6A"/>
    <w:rsid w:val="004450C8"/>
    <w:rsid w:val="004453FF"/>
    <w:rsid w:val="00445689"/>
    <w:rsid w:val="00445D7D"/>
    <w:rsid w:val="00445FB8"/>
    <w:rsid w:val="00446057"/>
    <w:rsid w:val="00446905"/>
    <w:rsid w:val="004469DC"/>
    <w:rsid w:val="00446BA7"/>
    <w:rsid w:val="0044767D"/>
    <w:rsid w:val="00447BD6"/>
    <w:rsid w:val="00447C41"/>
    <w:rsid w:val="00450431"/>
    <w:rsid w:val="00450A32"/>
    <w:rsid w:val="00450F3B"/>
    <w:rsid w:val="00451314"/>
    <w:rsid w:val="0045134E"/>
    <w:rsid w:val="004513FE"/>
    <w:rsid w:val="00451887"/>
    <w:rsid w:val="00451B19"/>
    <w:rsid w:val="00451FD3"/>
    <w:rsid w:val="00451FE3"/>
    <w:rsid w:val="00452545"/>
    <w:rsid w:val="00453335"/>
    <w:rsid w:val="00453CB6"/>
    <w:rsid w:val="0045461E"/>
    <w:rsid w:val="00454952"/>
    <w:rsid w:val="004549E6"/>
    <w:rsid w:val="004555AE"/>
    <w:rsid w:val="0045597F"/>
    <w:rsid w:val="00455E01"/>
    <w:rsid w:val="00456960"/>
    <w:rsid w:val="00456B2D"/>
    <w:rsid w:val="00457AB4"/>
    <w:rsid w:val="00457EF9"/>
    <w:rsid w:val="00460216"/>
    <w:rsid w:val="0046070E"/>
    <w:rsid w:val="0046098D"/>
    <w:rsid w:val="00460D56"/>
    <w:rsid w:val="00460FA6"/>
    <w:rsid w:val="0046133D"/>
    <w:rsid w:val="00461C99"/>
    <w:rsid w:val="00461EAB"/>
    <w:rsid w:val="0046227A"/>
    <w:rsid w:val="00462734"/>
    <w:rsid w:val="00462B50"/>
    <w:rsid w:val="00462BFC"/>
    <w:rsid w:val="004637CA"/>
    <w:rsid w:val="00463B24"/>
    <w:rsid w:val="004640E9"/>
    <w:rsid w:val="00464245"/>
    <w:rsid w:val="00464BC2"/>
    <w:rsid w:val="00465258"/>
    <w:rsid w:val="00465E79"/>
    <w:rsid w:val="004664E5"/>
    <w:rsid w:val="00466667"/>
    <w:rsid w:val="004667B5"/>
    <w:rsid w:val="00466C99"/>
    <w:rsid w:val="00466EA9"/>
    <w:rsid w:val="0047010A"/>
    <w:rsid w:val="00470345"/>
    <w:rsid w:val="00470E31"/>
    <w:rsid w:val="00470FE1"/>
    <w:rsid w:val="00471168"/>
    <w:rsid w:val="0047147B"/>
    <w:rsid w:val="0047180A"/>
    <w:rsid w:val="00471CBA"/>
    <w:rsid w:val="0047220B"/>
    <w:rsid w:val="00472342"/>
    <w:rsid w:val="00472B36"/>
    <w:rsid w:val="00472F9C"/>
    <w:rsid w:val="0047327C"/>
    <w:rsid w:val="00473C6D"/>
    <w:rsid w:val="00473E91"/>
    <w:rsid w:val="004744D3"/>
    <w:rsid w:val="004752EA"/>
    <w:rsid w:val="0047571B"/>
    <w:rsid w:val="00475F15"/>
    <w:rsid w:val="00476222"/>
    <w:rsid w:val="00476395"/>
    <w:rsid w:val="004765E3"/>
    <w:rsid w:val="00476713"/>
    <w:rsid w:val="0047679E"/>
    <w:rsid w:val="00476A57"/>
    <w:rsid w:val="00477EBD"/>
    <w:rsid w:val="004812EF"/>
    <w:rsid w:val="00481CC3"/>
    <w:rsid w:val="0048278F"/>
    <w:rsid w:val="00482836"/>
    <w:rsid w:val="00482B6D"/>
    <w:rsid w:val="00482EE3"/>
    <w:rsid w:val="004830C6"/>
    <w:rsid w:val="00483775"/>
    <w:rsid w:val="00483795"/>
    <w:rsid w:val="00483C41"/>
    <w:rsid w:val="00483CA7"/>
    <w:rsid w:val="00484122"/>
    <w:rsid w:val="00484BEA"/>
    <w:rsid w:val="00484C53"/>
    <w:rsid w:val="00484E0C"/>
    <w:rsid w:val="00485CB4"/>
    <w:rsid w:val="00486D4D"/>
    <w:rsid w:val="00487166"/>
    <w:rsid w:val="0049030F"/>
    <w:rsid w:val="0049077E"/>
    <w:rsid w:val="00490C5E"/>
    <w:rsid w:val="0049190C"/>
    <w:rsid w:val="00491C76"/>
    <w:rsid w:val="00491EAB"/>
    <w:rsid w:val="00491EAF"/>
    <w:rsid w:val="004923B7"/>
    <w:rsid w:val="0049273F"/>
    <w:rsid w:val="00493444"/>
    <w:rsid w:val="0049357B"/>
    <w:rsid w:val="00493E1B"/>
    <w:rsid w:val="00494768"/>
    <w:rsid w:val="00494BD5"/>
    <w:rsid w:val="0049525A"/>
    <w:rsid w:val="0049555B"/>
    <w:rsid w:val="0049592C"/>
    <w:rsid w:val="00495A56"/>
    <w:rsid w:val="00495D34"/>
    <w:rsid w:val="00496857"/>
    <w:rsid w:val="004972F9"/>
    <w:rsid w:val="004A0429"/>
    <w:rsid w:val="004A06B9"/>
    <w:rsid w:val="004A097D"/>
    <w:rsid w:val="004A09C6"/>
    <w:rsid w:val="004A1570"/>
    <w:rsid w:val="004A1BF7"/>
    <w:rsid w:val="004A2437"/>
    <w:rsid w:val="004A2907"/>
    <w:rsid w:val="004A29EF"/>
    <w:rsid w:val="004A2CD6"/>
    <w:rsid w:val="004A345F"/>
    <w:rsid w:val="004A3468"/>
    <w:rsid w:val="004A3874"/>
    <w:rsid w:val="004A3FD1"/>
    <w:rsid w:val="004A4189"/>
    <w:rsid w:val="004A46DD"/>
    <w:rsid w:val="004A4B3C"/>
    <w:rsid w:val="004A4D41"/>
    <w:rsid w:val="004A4FED"/>
    <w:rsid w:val="004A5CF7"/>
    <w:rsid w:val="004A5D95"/>
    <w:rsid w:val="004A5DB1"/>
    <w:rsid w:val="004A6157"/>
    <w:rsid w:val="004A695B"/>
    <w:rsid w:val="004A695F"/>
    <w:rsid w:val="004A741D"/>
    <w:rsid w:val="004A7B9E"/>
    <w:rsid w:val="004B00C7"/>
    <w:rsid w:val="004B0225"/>
    <w:rsid w:val="004B02BA"/>
    <w:rsid w:val="004B063C"/>
    <w:rsid w:val="004B0954"/>
    <w:rsid w:val="004B150D"/>
    <w:rsid w:val="004B17CE"/>
    <w:rsid w:val="004B1DD0"/>
    <w:rsid w:val="004B2313"/>
    <w:rsid w:val="004B2655"/>
    <w:rsid w:val="004B2A9F"/>
    <w:rsid w:val="004B2C12"/>
    <w:rsid w:val="004B2CC3"/>
    <w:rsid w:val="004B4188"/>
    <w:rsid w:val="004B42B1"/>
    <w:rsid w:val="004B44E3"/>
    <w:rsid w:val="004B455D"/>
    <w:rsid w:val="004B45DD"/>
    <w:rsid w:val="004B49C4"/>
    <w:rsid w:val="004B5024"/>
    <w:rsid w:val="004B5253"/>
    <w:rsid w:val="004B5677"/>
    <w:rsid w:val="004B57BC"/>
    <w:rsid w:val="004B60EB"/>
    <w:rsid w:val="004B6786"/>
    <w:rsid w:val="004B67B0"/>
    <w:rsid w:val="004B6970"/>
    <w:rsid w:val="004B6D2E"/>
    <w:rsid w:val="004B6D7D"/>
    <w:rsid w:val="004B7CE9"/>
    <w:rsid w:val="004C0088"/>
    <w:rsid w:val="004C0626"/>
    <w:rsid w:val="004C084F"/>
    <w:rsid w:val="004C0917"/>
    <w:rsid w:val="004C10ED"/>
    <w:rsid w:val="004C153D"/>
    <w:rsid w:val="004C190B"/>
    <w:rsid w:val="004C1B30"/>
    <w:rsid w:val="004C1BEB"/>
    <w:rsid w:val="004C2BC1"/>
    <w:rsid w:val="004C3629"/>
    <w:rsid w:val="004C38A5"/>
    <w:rsid w:val="004C3A67"/>
    <w:rsid w:val="004C4399"/>
    <w:rsid w:val="004C46C9"/>
    <w:rsid w:val="004C4ADC"/>
    <w:rsid w:val="004C4B32"/>
    <w:rsid w:val="004C4E37"/>
    <w:rsid w:val="004C5249"/>
    <w:rsid w:val="004C538A"/>
    <w:rsid w:val="004C647E"/>
    <w:rsid w:val="004C6B6C"/>
    <w:rsid w:val="004C6FD0"/>
    <w:rsid w:val="004D0888"/>
    <w:rsid w:val="004D1933"/>
    <w:rsid w:val="004D1BBA"/>
    <w:rsid w:val="004D1E99"/>
    <w:rsid w:val="004D2366"/>
    <w:rsid w:val="004D36F6"/>
    <w:rsid w:val="004D41D2"/>
    <w:rsid w:val="004D4284"/>
    <w:rsid w:val="004D4FF1"/>
    <w:rsid w:val="004D4FF6"/>
    <w:rsid w:val="004D5F6B"/>
    <w:rsid w:val="004D7C38"/>
    <w:rsid w:val="004D7E22"/>
    <w:rsid w:val="004E0169"/>
    <w:rsid w:val="004E01B6"/>
    <w:rsid w:val="004E0C75"/>
    <w:rsid w:val="004E13BA"/>
    <w:rsid w:val="004E1698"/>
    <w:rsid w:val="004E22D3"/>
    <w:rsid w:val="004E31F1"/>
    <w:rsid w:val="004E41C5"/>
    <w:rsid w:val="004E4BDC"/>
    <w:rsid w:val="004E4DFC"/>
    <w:rsid w:val="004E500F"/>
    <w:rsid w:val="004E58FB"/>
    <w:rsid w:val="004E6E12"/>
    <w:rsid w:val="004E7474"/>
    <w:rsid w:val="004E754F"/>
    <w:rsid w:val="004E7FD4"/>
    <w:rsid w:val="004F05E0"/>
    <w:rsid w:val="004F0D89"/>
    <w:rsid w:val="004F0EC5"/>
    <w:rsid w:val="004F1111"/>
    <w:rsid w:val="004F144C"/>
    <w:rsid w:val="004F178B"/>
    <w:rsid w:val="004F20D8"/>
    <w:rsid w:val="004F2D4A"/>
    <w:rsid w:val="004F2E1E"/>
    <w:rsid w:val="004F3A82"/>
    <w:rsid w:val="004F4074"/>
    <w:rsid w:val="004F436E"/>
    <w:rsid w:val="004F46AD"/>
    <w:rsid w:val="004F4D16"/>
    <w:rsid w:val="004F5197"/>
    <w:rsid w:val="004F531D"/>
    <w:rsid w:val="004F59C6"/>
    <w:rsid w:val="004F5FFF"/>
    <w:rsid w:val="004F6364"/>
    <w:rsid w:val="004F65CD"/>
    <w:rsid w:val="004F7B7B"/>
    <w:rsid w:val="004F7BFF"/>
    <w:rsid w:val="00500138"/>
    <w:rsid w:val="005007BF"/>
    <w:rsid w:val="00500FEF"/>
    <w:rsid w:val="005015A8"/>
    <w:rsid w:val="005019C9"/>
    <w:rsid w:val="00501F4A"/>
    <w:rsid w:val="005021EF"/>
    <w:rsid w:val="0050242C"/>
    <w:rsid w:val="00502A84"/>
    <w:rsid w:val="0050346A"/>
    <w:rsid w:val="00503C4F"/>
    <w:rsid w:val="00504A87"/>
    <w:rsid w:val="00504D3D"/>
    <w:rsid w:val="00504EC9"/>
    <w:rsid w:val="00504EFB"/>
    <w:rsid w:val="00504F1A"/>
    <w:rsid w:val="005062DC"/>
    <w:rsid w:val="0050654B"/>
    <w:rsid w:val="00506A3F"/>
    <w:rsid w:val="00506E56"/>
    <w:rsid w:val="00507EBC"/>
    <w:rsid w:val="005102CD"/>
    <w:rsid w:val="0051067E"/>
    <w:rsid w:val="005116FF"/>
    <w:rsid w:val="00511822"/>
    <w:rsid w:val="0051237E"/>
    <w:rsid w:val="00512602"/>
    <w:rsid w:val="00512BBE"/>
    <w:rsid w:val="005136C9"/>
    <w:rsid w:val="00513805"/>
    <w:rsid w:val="0051383F"/>
    <w:rsid w:val="0051467C"/>
    <w:rsid w:val="0051558D"/>
    <w:rsid w:val="00515931"/>
    <w:rsid w:val="00515B68"/>
    <w:rsid w:val="00515BCE"/>
    <w:rsid w:val="00515BD3"/>
    <w:rsid w:val="005162F7"/>
    <w:rsid w:val="00516F6D"/>
    <w:rsid w:val="00517026"/>
    <w:rsid w:val="005206A7"/>
    <w:rsid w:val="00520731"/>
    <w:rsid w:val="00520A1E"/>
    <w:rsid w:val="00521204"/>
    <w:rsid w:val="0052178F"/>
    <w:rsid w:val="00522D6A"/>
    <w:rsid w:val="00523202"/>
    <w:rsid w:val="005235FE"/>
    <w:rsid w:val="00523F90"/>
    <w:rsid w:val="005241D0"/>
    <w:rsid w:val="005249AC"/>
    <w:rsid w:val="005251ED"/>
    <w:rsid w:val="005262EE"/>
    <w:rsid w:val="005272C5"/>
    <w:rsid w:val="005307E0"/>
    <w:rsid w:val="00531179"/>
    <w:rsid w:val="00531B2E"/>
    <w:rsid w:val="00532CC3"/>
    <w:rsid w:val="00533753"/>
    <w:rsid w:val="00533BFB"/>
    <w:rsid w:val="00533DD2"/>
    <w:rsid w:val="0053403A"/>
    <w:rsid w:val="0053493B"/>
    <w:rsid w:val="0053495B"/>
    <w:rsid w:val="00534F14"/>
    <w:rsid w:val="005352D5"/>
    <w:rsid w:val="00535D28"/>
    <w:rsid w:val="00535D51"/>
    <w:rsid w:val="00535DDF"/>
    <w:rsid w:val="0053660F"/>
    <w:rsid w:val="00537076"/>
    <w:rsid w:val="005371B5"/>
    <w:rsid w:val="00537EC5"/>
    <w:rsid w:val="005404AA"/>
    <w:rsid w:val="005409BD"/>
    <w:rsid w:val="00541644"/>
    <w:rsid w:val="00542350"/>
    <w:rsid w:val="0054249F"/>
    <w:rsid w:val="00542729"/>
    <w:rsid w:val="00543400"/>
    <w:rsid w:val="00543F5D"/>
    <w:rsid w:val="00544BC3"/>
    <w:rsid w:val="00544C26"/>
    <w:rsid w:val="00544C64"/>
    <w:rsid w:val="005453A8"/>
    <w:rsid w:val="00545C44"/>
    <w:rsid w:val="005467B3"/>
    <w:rsid w:val="0054711C"/>
    <w:rsid w:val="005477CE"/>
    <w:rsid w:val="00547830"/>
    <w:rsid w:val="005501AD"/>
    <w:rsid w:val="005505B0"/>
    <w:rsid w:val="00550606"/>
    <w:rsid w:val="00551CB7"/>
    <w:rsid w:val="005528D7"/>
    <w:rsid w:val="00552C97"/>
    <w:rsid w:val="00552E4A"/>
    <w:rsid w:val="005531EA"/>
    <w:rsid w:val="0055326D"/>
    <w:rsid w:val="00554031"/>
    <w:rsid w:val="005547E5"/>
    <w:rsid w:val="00555187"/>
    <w:rsid w:val="00555A07"/>
    <w:rsid w:val="00555CBE"/>
    <w:rsid w:val="005563CC"/>
    <w:rsid w:val="005572F3"/>
    <w:rsid w:val="0055740F"/>
    <w:rsid w:val="005575D6"/>
    <w:rsid w:val="00560003"/>
    <w:rsid w:val="0056086E"/>
    <w:rsid w:val="00560C5B"/>
    <w:rsid w:val="00561364"/>
    <w:rsid w:val="005618C9"/>
    <w:rsid w:val="00562210"/>
    <w:rsid w:val="00564A31"/>
    <w:rsid w:val="00564ACF"/>
    <w:rsid w:val="00564E4E"/>
    <w:rsid w:val="00565034"/>
    <w:rsid w:val="00565284"/>
    <w:rsid w:val="005653D0"/>
    <w:rsid w:val="005657E7"/>
    <w:rsid w:val="005663BB"/>
    <w:rsid w:val="0056653E"/>
    <w:rsid w:val="00566A07"/>
    <w:rsid w:val="005674CC"/>
    <w:rsid w:val="0056775D"/>
    <w:rsid w:val="005706E9"/>
    <w:rsid w:val="005709DE"/>
    <w:rsid w:val="00570EB8"/>
    <w:rsid w:val="005712FC"/>
    <w:rsid w:val="0057142F"/>
    <w:rsid w:val="005717DC"/>
    <w:rsid w:val="00571EA2"/>
    <w:rsid w:val="00571F25"/>
    <w:rsid w:val="005728BE"/>
    <w:rsid w:val="00572D4D"/>
    <w:rsid w:val="00572FF7"/>
    <w:rsid w:val="00573098"/>
    <w:rsid w:val="00573123"/>
    <w:rsid w:val="00573D42"/>
    <w:rsid w:val="00574874"/>
    <w:rsid w:val="00574EE5"/>
    <w:rsid w:val="0057515C"/>
    <w:rsid w:val="0057520D"/>
    <w:rsid w:val="0057543B"/>
    <w:rsid w:val="00575977"/>
    <w:rsid w:val="00576D7D"/>
    <w:rsid w:val="00577488"/>
    <w:rsid w:val="00580345"/>
    <w:rsid w:val="005817AE"/>
    <w:rsid w:val="005829A8"/>
    <w:rsid w:val="00582A28"/>
    <w:rsid w:val="00582C4F"/>
    <w:rsid w:val="00582C9D"/>
    <w:rsid w:val="00583375"/>
    <w:rsid w:val="00583DB6"/>
    <w:rsid w:val="00583F3B"/>
    <w:rsid w:val="00584902"/>
    <w:rsid w:val="00585FE3"/>
    <w:rsid w:val="0058640A"/>
    <w:rsid w:val="00586580"/>
    <w:rsid w:val="005867AF"/>
    <w:rsid w:val="00586C76"/>
    <w:rsid w:val="00587861"/>
    <w:rsid w:val="005879D3"/>
    <w:rsid w:val="00587EA9"/>
    <w:rsid w:val="00590555"/>
    <w:rsid w:val="005911CD"/>
    <w:rsid w:val="005912F2"/>
    <w:rsid w:val="00591C42"/>
    <w:rsid w:val="00591E61"/>
    <w:rsid w:val="005926DD"/>
    <w:rsid w:val="00592777"/>
    <w:rsid w:val="005928D7"/>
    <w:rsid w:val="00593222"/>
    <w:rsid w:val="00593394"/>
    <w:rsid w:val="00593636"/>
    <w:rsid w:val="0059446C"/>
    <w:rsid w:val="00594522"/>
    <w:rsid w:val="00595D20"/>
    <w:rsid w:val="00595E09"/>
    <w:rsid w:val="00596306"/>
    <w:rsid w:val="005966CC"/>
    <w:rsid w:val="00596A6B"/>
    <w:rsid w:val="00596F59"/>
    <w:rsid w:val="00596FC1"/>
    <w:rsid w:val="0059766C"/>
    <w:rsid w:val="005977DC"/>
    <w:rsid w:val="005A0320"/>
    <w:rsid w:val="005A09F7"/>
    <w:rsid w:val="005A0DC5"/>
    <w:rsid w:val="005A12E1"/>
    <w:rsid w:val="005A1B51"/>
    <w:rsid w:val="005A1E94"/>
    <w:rsid w:val="005A22C9"/>
    <w:rsid w:val="005A2463"/>
    <w:rsid w:val="005A2486"/>
    <w:rsid w:val="005A26C7"/>
    <w:rsid w:val="005A2720"/>
    <w:rsid w:val="005A2862"/>
    <w:rsid w:val="005A2A89"/>
    <w:rsid w:val="005A2E34"/>
    <w:rsid w:val="005A3C1E"/>
    <w:rsid w:val="005A3D52"/>
    <w:rsid w:val="005A3DE7"/>
    <w:rsid w:val="005A3E01"/>
    <w:rsid w:val="005A4299"/>
    <w:rsid w:val="005A47AD"/>
    <w:rsid w:val="005A4B44"/>
    <w:rsid w:val="005A4FA0"/>
    <w:rsid w:val="005A676B"/>
    <w:rsid w:val="005A6A82"/>
    <w:rsid w:val="005A6EC2"/>
    <w:rsid w:val="005A7515"/>
    <w:rsid w:val="005A7632"/>
    <w:rsid w:val="005A785E"/>
    <w:rsid w:val="005B00CA"/>
    <w:rsid w:val="005B02FF"/>
    <w:rsid w:val="005B0A30"/>
    <w:rsid w:val="005B0BA9"/>
    <w:rsid w:val="005B245C"/>
    <w:rsid w:val="005B2604"/>
    <w:rsid w:val="005B3F41"/>
    <w:rsid w:val="005B4A16"/>
    <w:rsid w:val="005B4B96"/>
    <w:rsid w:val="005B6097"/>
    <w:rsid w:val="005B62E3"/>
    <w:rsid w:val="005B675E"/>
    <w:rsid w:val="005B6D9F"/>
    <w:rsid w:val="005B738D"/>
    <w:rsid w:val="005B779B"/>
    <w:rsid w:val="005B7D72"/>
    <w:rsid w:val="005C0D67"/>
    <w:rsid w:val="005C1085"/>
    <w:rsid w:val="005C168E"/>
    <w:rsid w:val="005C1A40"/>
    <w:rsid w:val="005C1C52"/>
    <w:rsid w:val="005C1F6E"/>
    <w:rsid w:val="005C2D7F"/>
    <w:rsid w:val="005C3220"/>
    <w:rsid w:val="005C3444"/>
    <w:rsid w:val="005C3692"/>
    <w:rsid w:val="005C3D70"/>
    <w:rsid w:val="005C4876"/>
    <w:rsid w:val="005C5392"/>
    <w:rsid w:val="005C5891"/>
    <w:rsid w:val="005C58C8"/>
    <w:rsid w:val="005C6FEB"/>
    <w:rsid w:val="005C7935"/>
    <w:rsid w:val="005D07B1"/>
    <w:rsid w:val="005D07C7"/>
    <w:rsid w:val="005D1212"/>
    <w:rsid w:val="005D13BA"/>
    <w:rsid w:val="005D1DC0"/>
    <w:rsid w:val="005D317A"/>
    <w:rsid w:val="005D36EC"/>
    <w:rsid w:val="005D3891"/>
    <w:rsid w:val="005D3B81"/>
    <w:rsid w:val="005D3DE7"/>
    <w:rsid w:val="005D3FD3"/>
    <w:rsid w:val="005D4D69"/>
    <w:rsid w:val="005D593A"/>
    <w:rsid w:val="005D5C65"/>
    <w:rsid w:val="005D6D63"/>
    <w:rsid w:val="005D7295"/>
    <w:rsid w:val="005D76BC"/>
    <w:rsid w:val="005E0DB4"/>
    <w:rsid w:val="005E20D0"/>
    <w:rsid w:val="005E2E25"/>
    <w:rsid w:val="005E34F8"/>
    <w:rsid w:val="005E392B"/>
    <w:rsid w:val="005E3E25"/>
    <w:rsid w:val="005E4BF2"/>
    <w:rsid w:val="005E4C10"/>
    <w:rsid w:val="005E505F"/>
    <w:rsid w:val="005E57E0"/>
    <w:rsid w:val="005E6C8C"/>
    <w:rsid w:val="005E6EBA"/>
    <w:rsid w:val="005E7B87"/>
    <w:rsid w:val="005E7BAE"/>
    <w:rsid w:val="005F11CD"/>
    <w:rsid w:val="005F1407"/>
    <w:rsid w:val="005F1EE4"/>
    <w:rsid w:val="005F206C"/>
    <w:rsid w:val="005F20E5"/>
    <w:rsid w:val="005F2860"/>
    <w:rsid w:val="005F2A27"/>
    <w:rsid w:val="005F3170"/>
    <w:rsid w:val="005F33DF"/>
    <w:rsid w:val="005F3523"/>
    <w:rsid w:val="005F3704"/>
    <w:rsid w:val="005F51CE"/>
    <w:rsid w:val="005F5479"/>
    <w:rsid w:val="005F59F1"/>
    <w:rsid w:val="005F5F5C"/>
    <w:rsid w:val="005F649F"/>
    <w:rsid w:val="005F64B5"/>
    <w:rsid w:val="005F7948"/>
    <w:rsid w:val="005F7E5F"/>
    <w:rsid w:val="006000C0"/>
    <w:rsid w:val="0060022F"/>
    <w:rsid w:val="006002D6"/>
    <w:rsid w:val="00600492"/>
    <w:rsid w:val="0060053D"/>
    <w:rsid w:val="00600B87"/>
    <w:rsid w:val="0060134B"/>
    <w:rsid w:val="0060240E"/>
    <w:rsid w:val="00602420"/>
    <w:rsid w:val="0060311C"/>
    <w:rsid w:val="006039EA"/>
    <w:rsid w:val="0060475D"/>
    <w:rsid w:val="00604D47"/>
    <w:rsid w:val="006051DE"/>
    <w:rsid w:val="0060593E"/>
    <w:rsid w:val="00605B25"/>
    <w:rsid w:val="00605D57"/>
    <w:rsid w:val="00605E92"/>
    <w:rsid w:val="0060624F"/>
    <w:rsid w:val="006062D2"/>
    <w:rsid w:val="00606532"/>
    <w:rsid w:val="00606B22"/>
    <w:rsid w:val="00606CAA"/>
    <w:rsid w:val="006071E1"/>
    <w:rsid w:val="00607C4C"/>
    <w:rsid w:val="00607EA7"/>
    <w:rsid w:val="00610239"/>
    <w:rsid w:val="006102CB"/>
    <w:rsid w:val="00610360"/>
    <w:rsid w:val="00611AB0"/>
    <w:rsid w:val="00611BBD"/>
    <w:rsid w:val="00611C3E"/>
    <w:rsid w:val="006128B2"/>
    <w:rsid w:val="00613D12"/>
    <w:rsid w:val="00614526"/>
    <w:rsid w:val="00614F10"/>
    <w:rsid w:val="0061506A"/>
    <w:rsid w:val="006159E3"/>
    <w:rsid w:val="00615D98"/>
    <w:rsid w:val="00616673"/>
    <w:rsid w:val="00616A87"/>
    <w:rsid w:val="00616D9A"/>
    <w:rsid w:val="00616E1E"/>
    <w:rsid w:val="006175A6"/>
    <w:rsid w:val="00617732"/>
    <w:rsid w:val="00617AE6"/>
    <w:rsid w:val="00617E2F"/>
    <w:rsid w:val="006206C1"/>
    <w:rsid w:val="0062076D"/>
    <w:rsid w:val="00620A12"/>
    <w:rsid w:val="00620A40"/>
    <w:rsid w:val="00621540"/>
    <w:rsid w:val="00621728"/>
    <w:rsid w:val="00622A4B"/>
    <w:rsid w:val="00622D42"/>
    <w:rsid w:val="00622EDF"/>
    <w:rsid w:val="006230C1"/>
    <w:rsid w:val="006237BD"/>
    <w:rsid w:val="00623FE6"/>
    <w:rsid w:val="006254BA"/>
    <w:rsid w:val="00625955"/>
    <w:rsid w:val="00626579"/>
    <w:rsid w:val="00626731"/>
    <w:rsid w:val="0062678F"/>
    <w:rsid w:val="0062686E"/>
    <w:rsid w:val="00626B8E"/>
    <w:rsid w:val="00626E7E"/>
    <w:rsid w:val="00627097"/>
    <w:rsid w:val="006301ED"/>
    <w:rsid w:val="00630201"/>
    <w:rsid w:val="00630D74"/>
    <w:rsid w:val="00631016"/>
    <w:rsid w:val="0063112A"/>
    <w:rsid w:val="00631A2F"/>
    <w:rsid w:val="00631C6C"/>
    <w:rsid w:val="00631CC7"/>
    <w:rsid w:val="0063289A"/>
    <w:rsid w:val="00632B63"/>
    <w:rsid w:val="006333A0"/>
    <w:rsid w:val="00634351"/>
    <w:rsid w:val="006346A0"/>
    <w:rsid w:val="006347DC"/>
    <w:rsid w:val="00635104"/>
    <w:rsid w:val="00635D90"/>
    <w:rsid w:val="00637F56"/>
    <w:rsid w:val="006412A9"/>
    <w:rsid w:val="0064195D"/>
    <w:rsid w:val="0064253C"/>
    <w:rsid w:val="006427A3"/>
    <w:rsid w:val="00642BD0"/>
    <w:rsid w:val="00643949"/>
    <w:rsid w:val="006440BB"/>
    <w:rsid w:val="006444C0"/>
    <w:rsid w:val="00644B0B"/>
    <w:rsid w:val="00644E76"/>
    <w:rsid w:val="00645A14"/>
    <w:rsid w:val="00645C29"/>
    <w:rsid w:val="006463CB"/>
    <w:rsid w:val="00646C2B"/>
    <w:rsid w:val="00646E19"/>
    <w:rsid w:val="00646EC5"/>
    <w:rsid w:val="006470D1"/>
    <w:rsid w:val="006472F1"/>
    <w:rsid w:val="00647393"/>
    <w:rsid w:val="00650B24"/>
    <w:rsid w:val="006513B7"/>
    <w:rsid w:val="00651646"/>
    <w:rsid w:val="006518A1"/>
    <w:rsid w:val="006521D6"/>
    <w:rsid w:val="006523EE"/>
    <w:rsid w:val="0065243A"/>
    <w:rsid w:val="00652B96"/>
    <w:rsid w:val="00652C63"/>
    <w:rsid w:val="0065345C"/>
    <w:rsid w:val="00653928"/>
    <w:rsid w:val="00653AF1"/>
    <w:rsid w:val="00654635"/>
    <w:rsid w:val="006549AB"/>
    <w:rsid w:val="00654C8B"/>
    <w:rsid w:val="00654CA1"/>
    <w:rsid w:val="006554C7"/>
    <w:rsid w:val="00656707"/>
    <w:rsid w:val="00656F2E"/>
    <w:rsid w:val="00657687"/>
    <w:rsid w:val="0065788B"/>
    <w:rsid w:val="00657B21"/>
    <w:rsid w:val="00657F58"/>
    <w:rsid w:val="006600BB"/>
    <w:rsid w:val="00660757"/>
    <w:rsid w:val="00660799"/>
    <w:rsid w:val="00660D1D"/>
    <w:rsid w:val="00660D4A"/>
    <w:rsid w:val="006617CF"/>
    <w:rsid w:val="00662458"/>
    <w:rsid w:val="0066291C"/>
    <w:rsid w:val="00662FC4"/>
    <w:rsid w:val="00663DE1"/>
    <w:rsid w:val="006643E2"/>
    <w:rsid w:val="00664CA9"/>
    <w:rsid w:val="006650B6"/>
    <w:rsid w:val="0066689E"/>
    <w:rsid w:val="00666CCA"/>
    <w:rsid w:val="00666E71"/>
    <w:rsid w:val="0066700A"/>
    <w:rsid w:val="00670148"/>
    <w:rsid w:val="006701CF"/>
    <w:rsid w:val="00670437"/>
    <w:rsid w:val="006706A3"/>
    <w:rsid w:val="00670C38"/>
    <w:rsid w:val="00671127"/>
    <w:rsid w:val="006721DE"/>
    <w:rsid w:val="006731AA"/>
    <w:rsid w:val="00673E4F"/>
    <w:rsid w:val="00674043"/>
    <w:rsid w:val="00674231"/>
    <w:rsid w:val="00674BCD"/>
    <w:rsid w:val="00674C99"/>
    <w:rsid w:val="00674F41"/>
    <w:rsid w:val="00675176"/>
    <w:rsid w:val="00675248"/>
    <w:rsid w:val="0067563E"/>
    <w:rsid w:val="00675788"/>
    <w:rsid w:val="00676095"/>
    <w:rsid w:val="00677044"/>
    <w:rsid w:val="00677C15"/>
    <w:rsid w:val="006801E1"/>
    <w:rsid w:val="00680B35"/>
    <w:rsid w:val="00681B97"/>
    <w:rsid w:val="0068272F"/>
    <w:rsid w:val="00682AC4"/>
    <w:rsid w:val="00683057"/>
    <w:rsid w:val="006831F3"/>
    <w:rsid w:val="00684311"/>
    <w:rsid w:val="0068444F"/>
    <w:rsid w:val="006845A2"/>
    <w:rsid w:val="006845C8"/>
    <w:rsid w:val="00684A1A"/>
    <w:rsid w:val="0068505A"/>
    <w:rsid w:val="0068516D"/>
    <w:rsid w:val="006851C4"/>
    <w:rsid w:val="0068551D"/>
    <w:rsid w:val="00685547"/>
    <w:rsid w:val="006856CF"/>
    <w:rsid w:val="006866F8"/>
    <w:rsid w:val="00687105"/>
    <w:rsid w:val="006909E8"/>
    <w:rsid w:val="0069100A"/>
    <w:rsid w:val="00691501"/>
    <w:rsid w:val="00692AB2"/>
    <w:rsid w:val="00692BA0"/>
    <w:rsid w:val="00692BFB"/>
    <w:rsid w:val="00692D6B"/>
    <w:rsid w:val="00692F1A"/>
    <w:rsid w:val="006933D9"/>
    <w:rsid w:val="006938C3"/>
    <w:rsid w:val="00693913"/>
    <w:rsid w:val="00693C2A"/>
    <w:rsid w:val="00693EBE"/>
    <w:rsid w:val="0069430E"/>
    <w:rsid w:val="00694CC9"/>
    <w:rsid w:val="0069588C"/>
    <w:rsid w:val="00695BF2"/>
    <w:rsid w:val="00695DB0"/>
    <w:rsid w:val="00696045"/>
    <w:rsid w:val="0069606F"/>
    <w:rsid w:val="0069625F"/>
    <w:rsid w:val="00696517"/>
    <w:rsid w:val="006A192D"/>
    <w:rsid w:val="006A1B32"/>
    <w:rsid w:val="006A24AC"/>
    <w:rsid w:val="006A2DDC"/>
    <w:rsid w:val="006A2E52"/>
    <w:rsid w:val="006A3045"/>
    <w:rsid w:val="006A32B5"/>
    <w:rsid w:val="006A3373"/>
    <w:rsid w:val="006A367B"/>
    <w:rsid w:val="006A3B19"/>
    <w:rsid w:val="006A3DD3"/>
    <w:rsid w:val="006A3FB5"/>
    <w:rsid w:val="006A4477"/>
    <w:rsid w:val="006A4FAF"/>
    <w:rsid w:val="006A5757"/>
    <w:rsid w:val="006A5CDE"/>
    <w:rsid w:val="006A5EC0"/>
    <w:rsid w:val="006A5FFE"/>
    <w:rsid w:val="006A63FB"/>
    <w:rsid w:val="006A65C7"/>
    <w:rsid w:val="006A66BD"/>
    <w:rsid w:val="006A66F4"/>
    <w:rsid w:val="006A6B42"/>
    <w:rsid w:val="006A7415"/>
    <w:rsid w:val="006A74CB"/>
    <w:rsid w:val="006A7678"/>
    <w:rsid w:val="006B0918"/>
    <w:rsid w:val="006B0F81"/>
    <w:rsid w:val="006B119D"/>
    <w:rsid w:val="006B3156"/>
    <w:rsid w:val="006B363C"/>
    <w:rsid w:val="006B3B19"/>
    <w:rsid w:val="006B3E7B"/>
    <w:rsid w:val="006B446E"/>
    <w:rsid w:val="006B44F8"/>
    <w:rsid w:val="006B4AC8"/>
    <w:rsid w:val="006B4AD5"/>
    <w:rsid w:val="006B4CBE"/>
    <w:rsid w:val="006B4D3D"/>
    <w:rsid w:val="006B5A73"/>
    <w:rsid w:val="006B5B9B"/>
    <w:rsid w:val="006B5BC7"/>
    <w:rsid w:val="006B7BFE"/>
    <w:rsid w:val="006B7F28"/>
    <w:rsid w:val="006C066C"/>
    <w:rsid w:val="006C07A1"/>
    <w:rsid w:val="006C0F7B"/>
    <w:rsid w:val="006C11A7"/>
    <w:rsid w:val="006C1592"/>
    <w:rsid w:val="006C1B1A"/>
    <w:rsid w:val="006C1D47"/>
    <w:rsid w:val="006C3085"/>
    <w:rsid w:val="006C30D6"/>
    <w:rsid w:val="006C3172"/>
    <w:rsid w:val="006C3187"/>
    <w:rsid w:val="006C364D"/>
    <w:rsid w:val="006C3AB3"/>
    <w:rsid w:val="006C3AD7"/>
    <w:rsid w:val="006C4843"/>
    <w:rsid w:val="006C4AE3"/>
    <w:rsid w:val="006C4F16"/>
    <w:rsid w:val="006C534A"/>
    <w:rsid w:val="006C5BCF"/>
    <w:rsid w:val="006C5C09"/>
    <w:rsid w:val="006C6599"/>
    <w:rsid w:val="006C719E"/>
    <w:rsid w:val="006D0439"/>
    <w:rsid w:val="006D06CB"/>
    <w:rsid w:val="006D1CED"/>
    <w:rsid w:val="006D1FCA"/>
    <w:rsid w:val="006D2182"/>
    <w:rsid w:val="006D265D"/>
    <w:rsid w:val="006D27DF"/>
    <w:rsid w:val="006D2A72"/>
    <w:rsid w:val="006D2D2A"/>
    <w:rsid w:val="006D32EF"/>
    <w:rsid w:val="006D396A"/>
    <w:rsid w:val="006D3DA1"/>
    <w:rsid w:val="006D3DAA"/>
    <w:rsid w:val="006D4118"/>
    <w:rsid w:val="006D4690"/>
    <w:rsid w:val="006D4CC7"/>
    <w:rsid w:val="006D510F"/>
    <w:rsid w:val="006D52A9"/>
    <w:rsid w:val="006D533B"/>
    <w:rsid w:val="006D5823"/>
    <w:rsid w:val="006D5DF5"/>
    <w:rsid w:val="006D60B5"/>
    <w:rsid w:val="006D6F85"/>
    <w:rsid w:val="006D739D"/>
    <w:rsid w:val="006D753D"/>
    <w:rsid w:val="006D795B"/>
    <w:rsid w:val="006E04BA"/>
    <w:rsid w:val="006E0B8F"/>
    <w:rsid w:val="006E0CF8"/>
    <w:rsid w:val="006E1034"/>
    <w:rsid w:val="006E1055"/>
    <w:rsid w:val="006E18D9"/>
    <w:rsid w:val="006E21F2"/>
    <w:rsid w:val="006E2775"/>
    <w:rsid w:val="006E386D"/>
    <w:rsid w:val="006E38B4"/>
    <w:rsid w:val="006E3E18"/>
    <w:rsid w:val="006E4825"/>
    <w:rsid w:val="006E4B07"/>
    <w:rsid w:val="006E4D62"/>
    <w:rsid w:val="006E4DED"/>
    <w:rsid w:val="006E5280"/>
    <w:rsid w:val="006E5B67"/>
    <w:rsid w:val="006E6503"/>
    <w:rsid w:val="006E6A67"/>
    <w:rsid w:val="006E7A94"/>
    <w:rsid w:val="006F180A"/>
    <w:rsid w:val="006F18BF"/>
    <w:rsid w:val="006F1ADE"/>
    <w:rsid w:val="006F21C1"/>
    <w:rsid w:val="006F2700"/>
    <w:rsid w:val="006F277B"/>
    <w:rsid w:val="006F3699"/>
    <w:rsid w:val="006F48F5"/>
    <w:rsid w:val="006F4FC6"/>
    <w:rsid w:val="006F5501"/>
    <w:rsid w:val="006F5C6E"/>
    <w:rsid w:val="006F62B1"/>
    <w:rsid w:val="006F64BF"/>
    <w:rsid w:val="006F65B9"/>
    <w:rsid w:val="006F6A14"/>
    <w:rsid w:val="006F79C7"/>
    <w:rsid w:val="00701764"/>
    <w:rsid w:val="00701CAF"/>
    <w:rsid w:val="00702539"/>
    <w:rsid w:val="007028BE"/>
    <w:rsid w:val="00702F14"/>
    <w:rsid w:val="00702FD5"/>
    <w:rsid w:val="007032A4"/>
    <w:rsid w:val="007032D4"/>
    <w:rsid w:val="0070331F"/>
    <w:rsid w:val="00703727"/>
    <w:rsid w:val="00703F1E"/>
    <w:rsid w:val="007044FC"/>
    <w:rsid w:val="00704759"/>
    <w:rsid w:val="0070490D"/>
    <w:rsid w:val="0070498E"/>
    <w:rsid w:val="007057F4"/>
    <w:rsid w:val="00705BB2"/>
    <w:rsid w:val="00705F57"/>
    <w:rsid w:val="00706449"/>
    <w:rsid w:val="0070683A"/>
    <w:rsid w:val="00706991"/>
    <w:rsid w:val="00707F2F"/>
    <w:rsid w:val="0071020F"/>
    <w:rsid w:val="0071049C"/>
    <w:rsid w:val="0071126D"/>
    <w:rsid w:val="00711302"/>
    <w:rsid w:val="007117AC"/>
    <w:rsid w:val="007121D4"/>
    <w:rsid w:val="007129E2"/>
    <w:rsid w:val="00712EEF"/>
    <w:rsid w:val="00714602"/>
    <w:rsid w:val="00714E2F"/>
    <w:rsid w:val="0071571B"/>
    <w:rsid w:val="007159B4"/>
    <w:rsid w:val="00715D7D"/>
    <w:rsid w:val="00716F40"/>
    <w:rsid w:val="00716FA6"/>
    <w:rsid w:val="0071702C"/>
    <w:rsid w:val="0071772B"/>
    <w:rsid w:val="007177BD"/>
    <w:rsid w:val="0072039F"/>
    <w:rsid w:val="00720607"/>
    <w:rsid w:val="00720A99"/>
    <w:rsid w:val="00720E5D"/>
    <w:rsid w:val="00720EEC"/>
    <w:rsid w:val="00721F1F"/>
    <w:rsid w:val="007220D2"/>
    <w:rsid w:val="00722BA7"/>
    <w:rsid w:val="00722FD7"/>
    <w:rsid w:val="0072343E"/>
    <w:rsid w:val="0072529A"/>
    <w:rsid w:val="00725CA1"/>
    <w:rsid w:val="0072750C"/>
    <w:rsid w:val="00727D94"/>
    <w:rsid w:val="00730858"/>
    <w:rsid w:val="00730B9D"/>
    <w:rsid w:val="00730BA1"/>
    <w:rsid w:val="00731212"/>
    <w:rsid w:val="007317FD"/>
    <w:rsid w:val="00733C51"/>
    <w:rsid w:val="007340BD"/>
    <w:rsid w:val="00734C6C"/>
    <w:rsid w:val="00734D1A"/>
    <w:rsid w:val="00734F52"/>
    <w:rsid w:val="00736098"/>
    <w:rsid w:val="00736430"/>
    <w:rsid w:val="0073654C"/>
    <w:rsid w:val="0073696F"/>
    <w:rsid w:val="00736A63"/>
    <w:rsid w:val="00737117"/>
    <w:rsid w:val="00737AC4"/>
    <w:rsid w:val="007409CB"/>
    <w:rsid w:val="00740AF4"/>
    <w:rsid w:val="0074139A"/>
    <w:rsid w:val="00741922"/>
    <w:rsid w:val="00741D21"/>
    <w:rsid w:val="007429C0"/>
    <w:rsid w:val="007432A4"/>
    <w:rsid w:val="007438CE"/>
    <w:rsid w:val="007443D3"/>
    <w:rsid w:val="0074492C"/>
    <w:rsid w:val="00745241"/>
    <w:rsid w:val="00745A40"/>
    <w:rsid w:val="00745B85"/>
    <w:rsid w:val="00745BA5"/>
    <w:rsid w:val="00745BB2"/>
    <w:rsid w:val="00746046"/>
    <w:rsid w:val="007462C3"/>
    <w:rsid w:val="007472B9"/>
    <w:rsid w:val="00747389"/>
    <w:rsid w:val="0075004C"/>
    <w:rsid w:val="007508F9"/>
    <w:rsid w:val="00751485"/>
    <w:rsid w:val="00751F1F"/>
    <w:rsid w:val="007522EC"/>
    <w:rsid w:val="007535E5"/>
    <w:rsid w:val="007539EE"/>
    <w:rsid w:val="00753A6F"/>
    <w:rsid w:val="0075506C"/>
    <w:rsid w:val="0075596A"/>
    <w:rsid w:val="00756968"/>
    <w:rsid w:val="00756F4C"/>
    <w:rsid w:val="00757265"/>
    <w:rsid w:val="007604A6"/>
    <w:rsid w:val="00761370"/>
    <w:rsid w:val="00761BB8"/>
    <w:rsid w:val="00761E72"/>
    <w:rsid w:val="007621F7"/>
    <w:rsid w:val="007622EA"/>
    <w:rsid w:val="0076238D"/>
    <w:rsid w:val="00762396"/>
    <w:rsid w:val="0076250D"/>
    <w:rsid w:val="00762772"/>
    <w:rsid w:val="00762C17"/>
    <w:rsid w:val="007639F7"/>
    <w:rsid w:val="0076442E"/>
    <w:rsid w:val="00764439"/>
    <w:rsid w:val="007646CD"/>
    <w:rsid w:val="007656C9"/>
    <w:rsid w:val="00766079"/>
    <w:rsid w:val="0076689F"/>
    <w:rsid w:val="007668C9"/>
    <w:rsid w:val="00766A01"/>
    <w:rsid w:val="00766D82"/>
    <w:rsid w:val="00767C20"/>
    <w:rsid w:val="007712AD"/>
    <w:rsid w:val="007713DC"/>
    <w:rsid w:val="00771854"/>
    <w:rsid w:val="00771D6F"/>
    <w:rsid w:val="00771E5C"/>
    <w:rsid w:val="00772211"/>
    <w:rsid w:val="00773170"/>
    <w:rsid w:val="007742A5"/>
    <w:rsid w:val="00774626"/>
    <w:rsid w:val="0077489C"/>
    <w:rsid w:val="0077588C"/>
    <w:rsid w:val="00775CEC"/>
    <w:rsid w:val="00775D0C"/>
    <w:rsid w:val="00775E58"/>
    <w:rsid w:val="007760DF"/>
    <w:rsid w:val="007764B5"/>
    <w:rsid w:val="00776E4D"/>
    <w:rsid w:val="007773F6"/>
    <w:rsid w:val="007807D2"/>
    <w:rsid w:val="00780B32"/>
    <w:rsid w:val="007814C6"/>
    <w:rsid w:val="007819BA"/>
    <w:rsid w:val="00781DBC"/>
    <w:rsid w:val="00782869"/>
    <w:rsid w:val="00782990"/>
    <w:rsid w:val="00782B14"/>
    <w:rsid w:val="0078348C"/>
    <w:rsid w:val="00783973"/>
    <w:rsid w:val="0078404A"/>
    <w:rsid w:val="00784138"/>
    <w:rsid w:val="0078432C"/>
    <w:rsid w:val="00784D3F"/>
    <w:rsid w:val="0078542D"/>
    <w:rsid w:val="007858B2"/>
    <w:rsid w:val="00785965"/>
    <w:rsid w:val="00785DD1"/>
    <w:rsid w:val="007862FC"/>
    <w:rsid w:val="0078688D"/>
    <w:rsid w:val="00786DCB"/>
    <w:rsid w:val="00787351"/>
    <w:rsid w:val="0078768E"/>
    <w:rsid w:val="00787943"/>
    <w:rsid w:val="00787B72"/>
    <w:rsid w:val="00791074"/>
    <w:rsid w:val="0079139D"/>
    <w:rsid w:val="007917A0"/>
    <w:rsid w:val="007918E0"/>
    <w:rsid w:val="00793052"/>
    <w:rsid w:val="00793650"/>
    <w:rsid w:val="00793EB6"/>
    <w:rsid w:val="00794196"/>
    <w:rsid w:val="00795421"/>
    <w:rsid w:val="007957CD"/>
    <w:rsid w:val="00795846"/>
    <w:rsid w:val="0079680F"/>
    <w:rsid w:val="007968FE"/>
    <w:rsid w:val="00796FD9"/>
    <w:rsid w:val="00797087"/>
    <w:rsid w:val="007971B0"/>
    <w:rsid w:val="007974FD"/>
    <w:rsid w:val="00797C47"/>
    <w:rsid w:val="007A10AC"/>
    <w:rsid w:val="007A1565"/>
    <w:rsid w:val="007A1B2F"/>
    <w:rsid w:val="007A20E4"/>
    <w:rsid w:val="007A2965"/>
    <w:rsid w:val="007A2A2B"/>
    <w:rsid w:val="007A2D01"/>
    <w:rsid w:val="007A3030"/>
    <w:rsid w:val="007A3577"/>
    <w:rsid w:val="007A3842"/>
    <w:rsid w:val="007A3C36"/>
    <w:rsid w:val="007A44AB"/>
    <w:rsid w:val="007A578F"/>
    <w:rsid w:val="007A590C"/>
    <w:rsid w:val="007A5F85"/>
    <w:rsid w:val="007A74B2"/>
    <w:rsid w:val="007A77C0"/>
    <w:rsid w:val="007B05A2"/>
    <w:rsid w:val="007B05E5"/>
    <w:rsid w:val="007B0ACF"/>
    <w:rsid w:val="007B0D18"/>
    <w:rsid w:val="007B105E"/>
    <w:rsid w:val="007B11DD"/>
    <w:rsid w:val="007B227C"/>
    <w:rsid w:val="007B2AE9"/>
    <w:rsid w:val="007B3C3A"/>
    <w:rsid w:val="007B469E"/>
    <w:rsid w:val="007B46A0"/>
    <w:rsid w:val="007B46B2"/>
    <w:rsid w:val="007B4E6F"/>
    <w:rsid w:val="007B59C3"/>
    <w:rsid w:val="007B5F47"/>
    <w:rsid w:val="007B77E5"/>
    <w:rsid w:val="007C00E6"/>
    <w:rsid w:val="007C08D0"/>
    <w:rsid w:val="007C096D"/>
    <w:rsid w:val="007C0C15"/>
    <w:rsid w:val="007C0E63"/>
    <w:rsid w:val="007C1A0D"/>
    <w:rsid w:val="007C1AD8"/>
    <w:rsid w:val="007C1B27"/>
    <w:rsid w:val="007C21BF"/>
    <w:rsid w:val="007C273F"/>
    <w:rsid w:val="007C2A56"/>
    <w:rsid w:val="007C2F22"/>
    <w:rsid w:val="007C383E"/>
    <w:rsid w:val="007C4691"/>
    <w:rsid w:val="007C4E5A"/>
    <w:rsid w:val="007C532F"/>
    <w:rsid w:val="007C56A6"/>
    <w:rsid w:val="007C56F1"/>
    <w:rsid w:val="007C5B7C"/>
    <w:rsid w:val="007C5B95"/>
    <w:rsid w:val="007C5C4A"/>
    <w:rsid w:val="007C667F"/>
    <w:rsid w:val="007C6EB0"/>
    <w:rsid w:val="007C7077"/>
    <w:rsid w:val="007D0089"/>
    <w:rsid w:val="007D0270"/>
    <w:rsid w:val="007D055C"/>
    <w:rsid w:val="007D0DAA"/>
    <w:rsid w:val="007D1C9A"/>
    <w:rsid w:val="007D282C"/>
    <w:rsid w:val="007D2910"/>
    <w:rsid w:val="007D2ABE"/>
    <w:rsid w:val="007D2C13"/>
    <w:rsid w:val="007D2D37"/>
    <w:rsid w:val="007D3969"/>
    <w:rsid w:val="007D3BF0"/>
    <w:rsid w:val="007D3F50"/>
    <w:rsid w:val="007D40BE"/>
    <w:rsid w:val="007D4D5B"/>
    <w:rsid w:val="007D5244"/>
    <w:rsid w:val="007D53DB"/>
    <w:rsid w:val="007D5AB2"/>
    <w:rsid w:val="007D5B7B"/>
    <w:rsid w:val="007D6052"/>
    <w:rsid w:val="007D767D"/>
    <w:rsid w:val="007D77C5"/>
    <w:rsid w:val="007D78B2"/>
    <w:rsid w:val="007D7C09"/>
    <w:rsid w:val="007E0487"/>
    <w:rsid w:val="007E054F"/>
    <w:rsid w:val="007E069C"/>
    <w:rsid w:val="007E08B1"/>
    <w:rsid w:val="007E0B55"/>
    <w:rsid w:val="007E1105"/>
    <w:rsid w:val="007E15FD"/>
    <w:rsid w:val="007E1807"/>
    <w:rsid w:val="007E28A3"/>
    <w:rsid w:val="007E2EB7"/>
    <w:rsid w:val="007E385C"/>
    <w:rsid w:val="007E397F"/>
    <w:rsid w:val="007E45C2"/>
    <w:rsid w:val="007E49D3"/>
    <w:rsid w:val="007E4B4C"/>
    <w:rsid w:val="007E4F7B"/>
    <w:rsid w:val="007E5320"/>
    <w:rsid w:val="007E536C"/>
    <w:rsid w:val="007E6F86"/>
    <w:rsid w:val="007E7656"/>
    <w:rsid w:val="007E765A"/>
    <w:rsid w:val="007E7704"/>
    <w:rsid w:val="007E7CA8"/>
    <w:rsid w:val="007E7CAA"/>
    <w:rsid w:val="007F0876"/>
    <w:rsid w:val="007F0BD3"/>
    <w:rsid w:val="007F13DF"/>
    <w:rsid w:val="007F1BD4"/>
    <w:rsid w:val="007F3114"/>
    <w:rsid w:val="007F3841"/>
    <w:rsid w:val="007F3AC4"/>
    <w:rsid w:val="007F49B5"/>
    <w:rsid w:val="007F4A12"/>
    <w:rsid w:val="007F4DDC"/>
    <w:rsid w:val="007F4E48"/>
    <w:rsid w:val="007F4E5A"/>
    <w:rsid w:val="007F5302"/>
    <w:rsid w:val="007F6248"/>
    <w:rsid w:val="007F648A"/>
    <w:rsid w:val="007F66CF"/>
    <w:rsid w:val="007F71C2"/>
    <w:rsid w:val="007F7492"/>
    <w:rsid w:val="007F785E"/>
    <w:rsid w:val="007F7988"/>
    <w:rsid w:val="007F7B74"/>
    <w:rsid w:val="007F7E52"/>
    <w:rsid w:val="00800FE4"/>
    <w:rsid w:val="00800FE7"/>
    <w:rsid w:val="0080114E"/>
    <w:rsid w:val="008013A2"/>
    <w:rsid w:val="008013FA"/>
    <w:rsid w:val="008014AA"/>
    <w:rsid w:val="008014ED"/>
    <w:rsid w:val="00801959"/>
    <w:rsid w:val="00801C9C"/>
    <w:rsid w:val="00802F2A"/>
    <w:rsid w:val="00802F7F"/>
    <w:rsid w:val="00803C89"/>
    <w:rsid w:val="00803E55"/>
    <w:rsid w:val="00803FD8"/>
    <w:rsid w:val="00804699"/>
    <w:rsid w:val="00805EBB"/>
    <w:rsid w:val="0080615F"/>
    <w:rsid w:val="008066C4"/>
    <w:rsid w:val="0080676A"/>
    <w:rsid w:val="00806957"/>
    <w:rsid w:val="008069C4"/>
    <w:rsid w:val="008069E9"/>
    <w:rsid w:val="008069F4"/>
    <w:rsid w:val="00806A87"/>
    <w:rsid w:val="00806DB4"/>
    <w:rsid w:val="00807232"/>
    <w:rsid w:val="0080729D"/>
    <w:rsid w:val="00807446"/>
    <w:rsid w:val="00807AD9"/>
    <w:rsid w:val="00807C10"/>
    <w:rsid w:val="00807CB1"/>
    <w:rsid w:val="00807E2A"/>
    <w:rsid w:val="00810079"/>
    <w:rsid w:val="0081064C"/>
    <w:rsid w:val="0081100F"/>
    <w:rsid w:val="00811483"/>
    <w:rsid w:val="008114A6"/>
    <w:rsid w:val="00811C67"/>
    <w:rsid w:val="00812787"/>
    <w:rsid w:val="00812E48"/>
    <w:rsid w:val="00812FAE"/>
    <w:rsid w:val="008130C0"/>
    <w:rsid w:val="00813267"/>
    <w:rsid w:val="00813D7D"/>
    <w:rsid w:val="008141FB"/>
    <w:rsid w:val="00815CDC"/>
    <w:rsid w:val="00815F83"/>
    <w:rsid w:val="008161DF"/>
    <w:rsid w:val="008161F5"/>
    <w:rsid w:val="00817946"/>
    <w:rsid w:val="008202E3"/>
    <w:rsid w:val="00820AAA"/>
    <w:rsid w:val="008215CD"/>
    <w:rsid w:val="00822554"/>
    <w:rsid w:val="0082268F"/>
    <w:rsid w:val="00822870"/>
    <w:rsid w:val="008228F2"/>
    <w:rsid w:val="0082292C"/>
    <w:rsid w:val="00822C17"/>
    <w:rsid w:val="008230C8"/>
    <w:rsid w:val="00824AC8"/>
    <w:rsid w:val="00825937"/>
    <w:rsid w:val="00825C52"/>
    <w:rsid w:val="0082675D"/>
    <w:rsid w:val="00826998"/>
    <w:rsid w:val="00827B51"/>
    <w:rsid w:val="008302EB"/>
    <w:rsid w:val="008309DA"/>
    <w:rsid w:val="008312E0"/>
    <w:rsid w:val="00831323"/>
    <w:rsid w:val="00831410"/>
    <w:rsid w:val="008315B3"/>
    <w:rsid w:val="008319E4"/>
    <w:rsid w:val="00831A56"/>
    <w:rsid w:val="00832524"/>
    <w:rsid w:val="008329D4"/>
    <w:rsid w:val="00832BC6"/>
    <w:rsid w:val="00833222"/>
    <w:rsid w:val="0083322D"/>
    <w:rsid w:val="00833610"/>
    <w:rsid w:val="00833801"/>
    <w:rsid w:val="00833CB0"/>
    <w:rsid w:val="0083443E"/>
    <w:rsid w:val="008344CB"/>
    <w:rsid w:val="00835587"/>
    <w:rsid w:val="008356FB"/>
    <w:rsid w:val="008364A4"/>
    <w:rsid w:val="008366D6"/>
    <w:rsid w:val="008366FF"/>
    <w:rsid w:val="008367CF"/>
    <w:rsid w:val="00836C3D"/>
    <w:rsid w:val="00836D15"/>
    <w:rsid w:val="00836EE1"/>
    <w:rsid w:val="008370A1"/>
    <w:rsid w:val="00837D50"/>
    <w:rsid w:val="008406C1"/>
    <w:rsid w:val="00840BD6"/>
    <w:rsid w:val="00841793"/>
    <w:rsid w:val="00841B1F"/>
    <w:rsid w:val="00841D3F"/>
    <w:rsid w:val="00842159"/>
    <w:rsid w:val="0084261C"/>
    <w:rsid w:val="00842C36"/>
    <w:rsid w:val="00842CA3"/>
    <w:rsid w:val="00842F88"/>
    <w:rsid w:val="00843BBB"/>
    <w:rsid w:val="008443FD"/>
    <w:rsid w:val="00844963"/>
    <w:rsid w:val="00844A78"/>
    <w:rsid w:val="008462F8"/>
    <w:rsid w:val="0084688A"/>
    <w:rsid w:val="00847919"/>
    <w:rsid w:val="00847F1B"/>
    <w:rsid w:val="008507A7"/>
    <w:rsid w:val="00850B3B"/>
    <w:rsid w:val="0085160A"/>
    <w:rsid w:val="0085169E"/>
    <w:rsid w:val="008519FA"/>
    <w:rsid w:val="00851E7C"/>
    <w:rsid w:val="00852831"/>
    <w:rsid w:val="00852836"/>
    <w:rsid w:val="00853144"/>
    <w:rsid w:val="00853ACF"/>
    <w:rsid w:val="00854595"/>
    <w:rsid w:val="008551E6"/>
    <w:rsid w:val="00855657"/>
    <w:rsid w:val="00855756"/>
    <w:rsid w:val="0085594B"/>
    <w:rsid w:val="00855EDD"/>
    <w:rsid w:val="008560E9"/>
    <w:rsid w:val="00856A74"/>
    <w:rsid w:val="00856B00"/>
    <w:rsid w:val="0085709E"/>
    <w:rsid w:val="00857325"/>
    <w:rsid w:val="00857DC5"/>
    <w:rsid w:val="008600A8"/>
    <w:rsid w:val="008602D1"/>
    <w:rsid w:val="00861096"/>
    <w:rsid w:val="008615BC"/>
    <w:rsid w:val="00861799"/>
    <w:rsid w:val="008619B3"/>
    <w:rsid w:val="0086278E"/>
    <w:rsid w:val="00862DD6"/>
    <w:rsid w:val="00863BFF"/>
    <w:rsid w:val="00863FAA"/>
    <w:rsid w:val="00865BA6"/>
    <w:rsid w:val="00866CF5"/>
    <w:rsid w:val="0086709C"/>
    <w:rsid w:val="0086745F"/>
    <w:rsid w:val="00867606"/>
    <w:rsid w:val="00867887"/>
    <w:rsid w:val="00867939"/>
    <w:rsid w:val="008702AA"/>
    <w:rsid w:val="00870DE7"/>
    <w:rsid w:val="00870E5E"/>
    <w:rsid w:val="00871255"/>
    <w:rsid w:val="00872AB7"/>
    <w:rsid w:val="00873468"/>
    <w:rsid w:val="00873D59"/>
    <w:rsid w:val="00874798"/>
    <w:rsid w:val="00874A19"/>
    <w:rsid w:val="00875AFA"/>
    <w:rsid w:val="00875CAC"/>
    <w:rsid w:val="0087630B"/>
    <w:rsid w:val="00876B4F"/>
    <w:rsid w:val="00877738"/>
    <w:rsid w:val="0088012A"/>
    <w:rsid w:val="00880417"/>
    <w:rsid w:val="00880486"/>
    <w:rsid w:val="008807D7"/>
    <w:rsid w:val="008809A1"/>
    <w:rsid w:val="00880C50"/>
    <w:rsid w:val="00881372"/>
    <w:rsid w:val="00881FB4"/>
    <w:rsid w:val="00882154"/>
    <w:rsid w:val="008828A1"/>
    <w:rsid w:val="008830D7"/>
    <w:rsid w:val="008833D2"/>
    <w:rsid w:val="0088358F"/>
    <w:rsid w:val="008841F2"/>
    <w:rsid w:val="00886A6F"/>
    <w:rsid w:val="00886B15"/>
    <w:rsid w:val="00886D39"/>
    <w:rsid w:val="00886F20"/>
    <w:rsid w:val="00887C2D"/>
    <w:rsid w:val="00887CB6"/>
    <w:rsid w:val="008910FC"/>
    <w:rsid w:val="008913D4"/>
    <w:rsid w:val="00891CB6"/>
    <w:rsid w:val="00891EA6"/>
    <w:rsid w:val="00892A5B"/>
    <w:rsid w:val="00893019"/>
    <w:rsid w:val="00893CE5"/>
    <w:rsid w:val="00893F60"/>
    <w:rsid w:val="0089406F"/>
    <w:rsid w:val="0089497B"/>
    <w:rsid w:val="00894EEE"/>
    <w:rsid w:val="00895119"/>
    <w:rsid w:val="008954A9"/>
    <w:rsid w:val="00895E32"/>
    <w:rsid w:val="008964DC"/>
    <w:rsid w:val="0089692F"/>
    <w:rsid w:val="00896E56"/>
    <w:rsid w:val="008974C4"/>
    <w:rsid w:val="00897624"/>
    <w:rsid w:val="00897B09"/>
    <w:rsid w:val="00897CBC"/>
    <w:rsid w:val="008A015E"/>
    <w:rsid w:val="008A09A6"/>
    <w:rsid w:val="008A125F"/>
    <w:rsid w:val="008A1457"/>
    <w:rsid w:val="008A1D68"/>
    <w:rsid w:val="008A369D"/>
    <w:rsid w:val="008A3B3A"/>
    <w:rsid w:val="008A4172"/>
    <w:rsid w:val="008A5904"/>
    <w:rsid w:val="008A63A2"/>
    <w:rsid w:val="008A79F7"/>
    <w:rsid w:val="008A7E35"/>
    <w:rsid w:val="008B050A"/>
    <w:rsid w:val="008B0706"/>
    <w:rsid w:val="008B128F"/>
    <w:rsid w:val="008B166A"/>
    <w:rsid w:val="008B1B9F"/>
    <w:rsid w:val="008B208F"/>
    <w:rsid w:val="008B222C"/>
    <w:rsid w:val="008B2821"/>
    <w:rsid w:val="008B2EF3"/>
    <w:rsid w:val="008B326C"/>
    <w:rsid w:val="008B3331"/>
    <w:rsid w:val="008B3444"/>
    <w:rsid w:val="008B3CC3"/>
    <w:rsid w:val="008B4E49"/>
    <w:rsid w:val="008B53ED"/>
    <w:rsid w:val="008B54A8"/>
    <w:rsid w:val="008B5BD3"/>
    <w:rsid w:val="008B5E87"/>
    <w:rsid w:val="008B6151"/>
    <w:rsid w:val="008B62E3"/>
    <w:rsid w:val="008B6B1A"/>
    <w:rsid w:val="008B6F29"/>
    <w:rsid w:val="008B72CC"/>
    <w:rsid w:val="008B73E2"/>
    <w:rsid w:val="008B7EE0"/>
    <w:rsid w:val="008C0629"/>
    <w:rsid w:val="008C070B"/>
    <w:rsid w:val="008C10BE"/>
    <w:rsid w:val="008C1322"/>
    <w:rsid w:val="008C1C53"/>
    <w:rsid w:val="008C233D"/>
    <w:rsid w:val="008C23DA"/>
    <w:rsid w:val="008C339C"/>
    <w:rsid w:val="008C3964"/>
    <w:rsid w:val="008C4DB3"/>
    <w:rsid w:val="008C6019"/>
    <w:rsid w:val="008C6524"/>
    <w:rsid w:val="008C6F51"/>
    <w:rsid w:val="008C701D"/>
    <w:rsid w:val="008C7DB9"/>
    <w:rsid w:val="008D0262"/>
    <w:rsid w:val="008D0BB4"/>
    <w:rsid w:val="008D0D66"/>
    <w:rsid w:val="008D13AC"/>
    <w:rsid w:val="008D17D1"/>
    <w:rsid w:val="008D24B3"/>
    <w:rsid w:val="008D2B64"/>
    <w:rsid w:val="008D2C0F"/>
    <w:rsid w:val="008D2C15"/>
    <w:rsid w:val="008D2F38"/>
    <w:rsid w:val="008D3576"/>
    <w:rsid w:val="008D35ED"/>
    <w:rsid w:val="008D37AE"/>
    <w:rsid w:val="008D3B5B"/>
    <w:rsid w:val="008D3B69"/>
    <w:rsid w:val="008D3BAE"/>
    <w:rsid w:val="008D3BE3"/>
    <w:rsid w:val="008D3CB8"/>
    <w:rsid w:val="008D3F17"/>
    <w:rsid w:val="008D4123"/>
    <w:rsid w:val="008D46EC"/>
    <w:rsid w:val="008D48F8"/>
    <w:rsid w:val="008D4F99"/>
    <w:rsid w:val="008D5C5D"/>
    <w:rsid w:val="008D6790"/>
    <w:rsid w:val="008D7046"/>
    <w:rsid w:val="008D78B0"/>
    <w:rsid w:val="008E07E9"/>
    <w:rsid w:val="008E0D10"/>
    <w:rsid w:val="008E0EA1"/>
    <w:rsid w:val="008E1693"/>
    <w:rsid w:val="008E1C43"/>
    <w:rsid w:val="008E2000"/>
    <w:rsid w:val="008E28BD"/>
    <w:rsid w:val="008E2F4A"/>
    <w:rsid w:val="008E4AF7"/>
    <w:rsid w:val="008E5352"/>
    <w:rsid w:val="008E5A9E"/>
    <w:rsid w:val="008E65AA"/>
    <w:rsid w:val="008E75F9"/>
    <w:rsid w:val="008E7F7D"/>
    <w:rsid w:val="008F05F0"/>
    <w:rsid w:val="008F0643"/>
    <w:rsid w:val="008F0DCA"/>
    <w:rsid w:val="008F0F35"/>
    <w:rsid w:val="008F16C9"/>
    <w:rsid w:val="008F1861"/>
    <w:rsid w:val="008F1886"/>
    <w:rsid w:val="008F1AA7"/>
    <w:rsid w:val="008F308A"/>
    <w:rsid w:val="008F3CEA"/>
    <w:rsid w:val="008F3EDE"/>
    <w:rsid w:val="008F42B7"/>
    <w:rsid w:val="008F4C72"/>
    <w:rsid w:val="008F5085"/>
    <w:rsid w:val="008F658B"/>
    <w:rsid w:val="008F6E58"/>
    <w:rsid w:val="008F6EE7"/>
    <w:rsid w:val="008F7103"/>
    <w:rsid w:val="008F764D"/>
    <w:rsid w:val="008F7722"/>
    <w:rsid w:val="008F7F71"/>
    <w:rsid w:val="009018D2"/>
    <w:rsid w:val="00901C10"/>
    <w:rsid w:val="00901F20"/>
    <w:rsid w:val="00902118"/>
    <w:rsid w:val="0090220D"/>
    <w:rsid w:val="009030FC"/>
    <w:rsid w:val="00903571"/>
    <w:rsid w:val="009038D6"/>
    <w:rsid w:val="00903B1E"/>
    <w:rsid w:val="00903D65"/>
    <w:rsid w:val="00903DBE"/>
    <w:rsid w:val="0090421C"/>
    <w:rsid w:val="00904632"/>
    <w:rsid w:val="009047F0"/>
    <w:rsid w:val="009048CD"/>
    <w:rsid w:val="00904A82"/>
    <w:rsid w:val="00904DF8"/>
    <w:rsid w:val="00904FC2"/>
    <w:rsid w:val="0090511B"/>
    <w:rsid w:val="009053F5"/>
    <w:rsid w:val="009059A6"/>
    <w:rsid w:val="00905A20"/>
    <w:rsid w:val="00905FFB"/>
    <w:rsid w:val="00906957"/>
    <w:rsid w:val="00907A0F"/>
    <w:rsid w:val="00907DF1"/>
    <w:rsid w:val="0091068F"/>
    <w:rsid w:val="00910F50"/>
    <w:rsid w:val="009111FC"/>
    <w:rsid w:val="0091166E"/>
    <w:rsid w:val="00911714"/>
    <w:rsid w:val="0091271A"/>
    <w:rsid w:val="00912CAD"/>
    <w:rsid w:val="00912D4A"/>
    <w:rsid w:val="00912D9A"/>
    <w:rsid w:val="00913228"/>
    <w:rsid w:val="00913F50"/>
    <w:rsid w:val="00913F86"/>
    <w:rsid w:val="009140DE"/>
    <w:rsid w:val="0091484B"/>
    <w:rsid w:val="00916026"/>
    <w:rsid w:val="009169BA"/>
    <w:rsid w:val="00916AB7"/>
    <w:rsid w:val="0091747A"/>
    <w:rsid w:val="009179AE"/>
    <w:rsid w:val="00917BC1"/>
    <w:rsid w:val="00917C8E"/>
    <w:rsid w:val="00917D15"/>
    <w:rsid w:val="009202ED"/>
    <w:rsid w:val="009205ED"/>
    <w:rsid w:val="009207FA"/>
    <w:rsid w:val="00920E46"/>
    <w:rsid w:val="00921356"/>
    <w:rsid w:val="009214C7"/>
    <w:rsid w:val="00921ADA"/>
    <w:rsid w:val="00921B45"/>
    <w:rsid w:val="00921CE9"/>
    <w:rsid w:val="00921EE7"/>
    <w:rsid w:val="0092267E"/>
    <w:rsid w:val="009235CD"/>
    <w:rsid w:val="0092393A"/>
    <w:rsid w:val="00924096"/>
    <w:rsid w:val="00926A1E"/>
    <w:rsid w:val="00926D69"/>
    <w:rsid w:val="00927278"/>
    <w:rsid w:val="0092748A"/>
    <w:rsid w:val="00927D42"/>
    <w:rsid w:val="00927DDA"/>
    <w:rsid w:val="00930167"/>
    <w:rsid w:val="009301DA"/>
    <w:rsid w:val="00930401"/>
    <w:rsid w:val="009308FD"/>
    <w:rsid w:val="00931144"/>
    <w:rsid w:val="009315F7"/>
    <w:rsid w:val="00931C6A"/>
    <w:rsid w:val="00933434"/>
    <w:rsid w:val="0093398A"/>
    <w:rsid w:val="009344AC"/>
    <w:rsid w:val="00934F36"/>
    <w:rsid w:val="0093519C"/>
    <w:rsid w:val="00935234"/>
    <w:rsid w:val="00935A05"/>
    <w:rsid w:val="00935A1F"/>
    <w:rsid w:val="0093738F"/>
    <w:rsid w:val="00937CCC"/>
    <w:rsid w:val="00937F5D"/>
    <w:rsid w:val="00940393"/>
    <w:rsid w:val="00940747"/>
    <w:rsid w:val="00940765"/>
    <w:rsid w:val="0094084D"/>
    <w:rsid w:val="0094119B"/>
    <w:rsid w:val="009416B0"/>
    <w:rsid w:val="00941868"/>
    <w:rsid w:val="009419FB"/>
    <w:rsid w:val="00941A87"/>
    <w:rsid w:val="00941B2A"/>
    <w:rsid w:val="00941F8A"/>
    <w:rsid w:val="009421B2"/>
    <w:rsid w:val="009429A4"/>
    <w:rsid w:val="00943667"/>
    <w:rsid w:val="00943DAC"/>
    <w:rsid w:val="0094415A"/>
    <w:rsid w:val="00944CD3"/>
    <w:rsid w:val="00944EFE"/>
    <w:rsid w:val="00945B1B"/>
    <w:rsid w:val="00946319"/>
    <w:rsid w:val="00946D23"/>
    <w:rsid w:val="00946ED7"/>
    <w:rsid w:val="00947AEB"/>
    <w:rsid w:val="00947DE8"/>
    <w:rsid w:val="00947FEE"/>
    <w:rsid w:val="00950B05"/>
    <w:rsid w:val="00950BDB"/>
    <w:rsid w:val="009520EB"/>
    <w:rsid w:val="00952E69"/>
    <w:rsid w:val="009530CE"/>
    <w:rsid w:val="009553CD"/>
    <w:rsid w:val="0095540D"/>
    <w:rsid w:val="00955ABF"/>
    <w:rsid w:val="00956507"/>
    <w:rsid w:val="0095713A"/>
    <w:rsid w:val="00957A3B"/>
    <w:rsid w:val="00957CD4"/>
    <w:rsid w:val="00957D88"/>
    <w:rsid w:val="00957EF3"/>
    <w:rsid w:val="00957F51"/>
    <w:rsid w:val="00960110"/>
    <w:rsid w:val="0096084F"/>
    <w:rsid w:val="009608E9"/>
    <w:rsid w:val="00960A8B"/>
    <w:rsid w:val="00960FA8"/>
    <w:rsid w:val="00961034"/>
    <w:rsid w:val="009618AC"/>
    <w:rsid w:val="00962C1C"/>
    <w:rsid w:val="00962CB9"/>
    <w:rsid w:val="00962CD5"/>
    <w:rsid w:val="00963183"/>
    <w:rsid w:val="00963513"/>
    <w:rsid w:val="00964231"/>
    <w:rsid w:val="00965F01"/>
    <w:rsid w:val="009668FA"/>
    <w:rsid w:val="00970367"/>
    <w:rsid w:val="009703B2"/>
    <w:rsid w:val="00970591"/>
    <w:rsid w:val="00971498"/>
    <w:rsid w:val="00971A41"/>
    <w:rsid w:val="00971B54"/>
    <w:rsid w:val="00972173"/>
    <w:rsid w:val="00972FEB"/>
    <w:rsid w:val="00973B73"/>
    <w:rsid w:val="00973F50"/>
    <w:rsid w:val="00974006"/>
    <w:rsid w:val="0097413F"/>
    <w:rsid w:val="00975D0B"/>
    <w:rsid w:val="009761C8"/>
    <w:rsid w:val="0097620A"/>
    <w:rsid w:val="00976780"/>
    <w:rsid w:val="00976D62"/>
    <w:rsid w:val="009773BB"/>
    <w:rsid w:val="009773F4"/>
    <w:rsid w:val="00977EDA"/>
    <w:rsid w:val="009804A7"/>
    <w:rsid w:val="009804C5"/>
    <w:rsid w:val="009809E2"/>
    <w:rsid w:val="00980B78"/>
    <w:rsid w:val="00981796"/>
    <w:rsid w:val="00983241"/>
    <w:rsid w:val="00983D64"/>
    <w:rsid w:val="0098421B"/>
    <w:rsid w:val="00984909"/>
    <w:rsid w:val="00984D55"/>
    <w:rsid w:val="00985298"/>
    <w:rsid w:val="0098570A"/>
    <w:rsid w:val="0098578A"/>
    <w:rsid w:val="00985F82"/>
    <w:rsid w:val="00986030"/>
    <w:rsid w:val="0098642B"/>
    <w:rsid w:val="00986952"/>
    <w:rsid w:val="009869AC"/>
    <w:rsid w:val="00986A5E"/>
    <w:rsid w:val="0098708C"/>
    <w:rsid w:val="0098780D"/>
    <w:rsid w:val="009879F5"/>
    <w:rsid w:val="00987EB2"/>
    <w:rsid w:val="0099020A"/>
    <w:rsid w:val="00990329"/>
    <w:rsid w:val="009909D4"/>
    <w:rsid w:val="00990D04"/>
    <w:rsid w:val="009910A8"/>
    <w:rsid w:val="00991534"/>
    <w:rsid w:val="00991574"/>
    <w:rsid w:val="009923D3"/>
    <w:rsid w:val="00994140"/>
    <w:rsid w:val="009944A6"/>
    <w:rsid w:val="009944B5"/>
    <w:rsid w:val="00994B8E"/>
    <w:rsid w:val="00995B46"/>
    <w:rsid w:val="00995B72"/>
    <w:rsid w:val="00995D80"/>
    <w:rsid w:val="00995FDD"/>
    <w:rsid w:val="00996532"/>
    <w:rsid w:val="00996FD9"/>
    <w:rsid w:val="00997959"/>
    <w:rsid w:val="009A0298"/>
    <w:rsid w:val="009A0C03"/>
    <w:rsid w:val="009A101A"/>
    <w:rsid w:val="009A1AED"/>
    <w:rsid w:val="009A1D54"/>
    <w:rsid w:val="009A2379"/>
    <w:rsid w:val="009A2AE5"/>
    <w:rsid w:val="009A329B"/>
    <w:rsid w:val="009A3B7C"/>
    <w:rsid w:val="009A3BC2"/>
    <w:rsid w:val="009A4E93"/>
    <w:rsid w:val="009A5486"/>
    <w:rsid w:val="009A5BFF"/>
    <w:rsid w:val="009A5CB9"/>
    <w:rsid w:val="009A5DD9"/>
    <w:rsid w:val="009A5EA8"/>
    <w:rsid w:val="009A5F8F"/>
    <w:rsid w:val="009A61BB"/>
    <w:rsid w:val="009A624C"/>
    <w:rsid w:val="009A6444"/>
    <w:rsid w:val="009A65D6"/>
    <w:rsid w:val="009A6E7C"/>
    <w:rsid w:val="009A7124"/>
    <w:rsid w:val="009A73E5"/>
    <w:rsid w:val="009A755D"/>
    <w:rsid w:val="009A791E"/>
    <w:rsid w:val="009A79CF"/>
    <w:rsid w:val="009B0B62"/>
    <w:rsid w:val="009B18E3"/>
    <w:rsid w:val="009B1AE2"/>
    <w:rsid w:val="009B24C9"/>
    <w:rsid w:val="009B25F8"/>
    <w:rsid w:val="009B2D5C"/>
    <w:rsid w:val="009B2ED1"/>
    <w:rsid w:val="009B34EE"/>
    <w:rsid w:val="009B3739"/>
    <w:rsid w:val="009B3D4F"/>
    <w:rsid w:val="009B45ED"/>
    <w:rsid w:val="009B4672"/>
    <w:rsid w:val="009B5FD1"/>
    <w:rsid w:val="009B6735"/>
    <w:rsid w:val="009B6BAE"/>
    <w:rsid w:val="009B74C4"/>
    <w:rsid w:val="009B7556"/>
    <w:rsid w:val="009C0ADB"/>
    <w:rsid w:val="009C1AD6"/>
    <w:rsid w:val="009C1C32"/>
    <w:rsid w:val="009C2057"/>
    <w:rsid w:val="009C2AC4"/>
    <w:rsid w:val="009C2D31"/>
    <w:rsid w:val="009C31D9"/>
    <w:rsid w:val="009C39CB"/>
    <w:rsid w:val="009C3C42"/>
    <w:rsid w:val="009C49FB"/>
    <w:rsid w:val="009C572C"/>
    <w:rsid w:val="009C597E"/>
    <w:rsid w:val="009C5D4E"/>
    <w:rsid w:val="009C60DB"/>
    <w:rsid w:val="009C66C6"/>
    <w:rsid w:val="009C6E2D"/>
    <w:rsid w:val="009C70F5"/>
    <w:rsid w:val="009C712D"/>
    <w:rsid w:val="009C7A50"/>
    <w:rsid w:val="009C7B3A"/>
    <w:rsid w:val="009D001E"/>
    <w:rsid w:val="009D0434"/>
    <w:rsid w:val="009D04DE"/>
    <w:rsid w:val="009D16FF"/>
    <w:rsid w:val="009D1B5B"/>
    <w:rsid w:val="009D1FC0"/>
    <w:rsid w:val="009D31BD"/>
    <w:rsid w:val="009D396F"/>
    <w:rsid w:val="009D3D66"/>
    <w:rsid w:val="009D3E68"/>
    <w:rsid w:val="009D3F07"/>
    <w:rsid w:val="009D4274"/>
    <w:rsid w:val="009D46C9"/>
    <w:rsid w:val="009D46D9"/>
    <w:rsid w:val="009D596D"/>
    <w:rsid w:val="009D5EA6"/>
    <w:rsid w:val="009D651E"/>
    <w:rsid w:val="009D6AF1"/>
    <w:rsid w:val="009D788C"/>
    <w:rsid w:val="009E034A"/>
    <w:rsid w:val="009E0679"/>
    <w:rsid w:val="009E0A69"/>
    <w:rsid w:val="009E1218"/>
    <w:rsid w:val="009E150E"/>
    <w:rsid w:val="009E15FE"/>
    <w:rsid w:val="009E1713"/>
    <w:rsid w:val="009E178F"/>
    <w:rsid w:val="009E1BBE"/>
    <w:rsid w:val="009E1BE3"/>
    <w:rsid w:val="009E27AE"/>
    <w:rsid w:val="009E28C5"/>
    <w:rsid w:val="009E2F0E"/>
    <w:rsid w:val="009E3250"/>
    <w:rsid w:val="009E34BF"/>
    <w:rsid w:val="009E3DDB"/>
    <w:rsid w:val="009E3ED4"/>
    <w:rsid w:val="009E41F7"/>
    <w:rsid w:val="009E455E"/>
    <w:rsid w:val="009E489E"/>
    <w:rsid w:val="009E5357"/>
    <w:rsid w:val="009E54C1"/>
    <w:rsid w:val="009E5660"/>
    <w:rsid w:val="009E611B"/>
    <w:rsid w:val="009E62ED"/>
    <w:rsid w:val="009E633E"/>
    <w:rsid w:val="009E69E0"/>
    <w:rsid w:val="009E6AC4"/>
    <w:rsid w:val="009E6E8E"/>
    <w:rsid w:val="009E7205"/>
    <w:rsid w:val="009F04A3"/>
    <w:rsid w:val="009F07E6"/>
    <w:rsid w:val="009F0CB5"/>
    <w:rsid w:val="009F1678"/>
    <w:rsid w:val="009F1713"/>
    <w:rsid w:val="009F1830"/>
    <w:rsid w:val="009F18D2"/>
    <w:rsid w:val="009F2FBB"/>
    <w:rsid w:val="009F3C40"/>
    <w:rsid w:val="009F3F21"/>
    <w:rsid w:val="009F4365"/>
    <w:rsid w:val="009F4507"/>
    <w:rsid w:val="009F518C"/>
    <w:rsid w:val="009F54E7"/>
    <w:rsid w:val="009F5BC5"/>
    <w:rsid w:val="009F60E6"/>
    <w:rsid w:val="009F6186"/>
    <w:rsid w:val="00A00DA0"/>
    <w:rsid w:val="00A00EC0"/>
    <w:rsid w:val="00A01477"/>
    <w:rsid w:val="00A02928"/>
    <w:rsid w:val="00A02BE3"/>
    <w:rsid w:val="00A0346E"/>
    <w:rsid w:val="00A03BD8"/>
    <w:rsid w:val="00A03C3A"/>
    <w:rsid w:val="00A03E37"/>
    <w:rsid w:val="00A0531C"/>
    <w:rsid w:val="00A065DC"/>
    <w:rsid w:val="00A06D50"/>
    <w:rsid w:val="00A07692"/>
    <w:rsid w:val="00A10460"/>
    <w:rsid w:val="00A11288"/>
    <w:rsid w:val="00A113BC"/>
    <w:rsid w:val="00A11836"/>
    <w:rsid w:val="00A11906"/>
    <w:rsid w:val="00A120A1"/>
    <w:rsid w:val="00A122C5"/>
    <w:rsid w:val="00A1256A"/>
    <w:rsid w:val="00A12BA3"/>
    <w:rsid w:val="00A12DBF"/>
    <w:rsid w:val="00A13B48"/>
    <w:rsid w:val="00A1449A"/>
    <w:rsid w:val="00A14BAD"/>
    <w:rsid w:val="00A156D2"/>
    <w:rsid w:val="00A16960"/>
    <w:rsid w:val="00A16A22"/>
    <w:rsid w:val="00A16F92"/>
    <w:rsid w:val="00A17F94"/>
    <w:rsid w:val="00A20BCF"/>
    <w:rsid w:val="00A20C26"/>
    <w:rsid w:val="00A212A4"/>
    <w:rsid w:val="00A21762"/>
    <w:rsid w:val="00A21D34"/>
    <w:rsid w:val="00A2226C"/>
    <w:rsid w:val="00A24423"/>
    <w:rsid w:val="00A248FB"/>
    <w:rsid w:val="00A25F20"/>
    <w:rsid w:val="00A26963"/>
    <w:rsid w:val="00A26ED0"/>
    <w:rsid w:val="00A26EF1"/>
    <w:rsid w:val="00A270D9"/>
    <w:rsid w:val="00A2725D"/>
    <w:rsid w:val="00A276C7"/>
    <w:rsid w:val="00A27C9A"/>
    <w:rsid w:val="00A30070"/>
    <w:rsid w:val="00A30738"/>
    <w:rsid w:val="00A3077F"/>
    <w:rsid w:val="00A310FE"/>
    <w:rsid w:val="00A31177"/>
    <w:rsid w:val="00A3154E"/>
    <w:rsid w:val="00A31623"/>
    <w:rsid w:val="00A31C6B"/>
    <w:rsid w:val="00A34D71"/>
    <w:rsid w:val="00A3527F"/>
    <w:rsid w:val="00A353F8"/>
    <w:rsid w:val="00A356EF"/>
    <w:rsid w:val="00A35C67"/>
    <w:rsid w:val="00A3602B"/>
    <w:rsid w:val="00A36133"/>
    <w:rsid w:val="00A3641B"/>
    <w:rsid w:val="00A369C7"/>
    <w:rsid w:val="00A375CB"/>
    <w:rsid w:val="00A3777B"/>
    <w:rsid w:val="00A40178"/>
    <w:rsid w:val="00A4095D"/>
    <w:rsid w:val="00A40C73"/>
    <w:rsid w:val="00A40C88"/>
    <w:rsid w:val="00A40C97"/>
    <w:rsid w:val="00A418CA"/>
    <w:rsid w:val="00A4193F"/>
    <w:rsid w:val="00A419CB"/>
    <w:rsid w:val="00A42411"/>
    <w:rsid w:val="00A42986"/>
    <w:rsid w:val="00A443D5"/>
    <w:rsid w:val="00A4490A"/>
    <w:rsid w:val="00A44D08"/>
    <w:rsid w:val="00A44F53"/>
    <w:rsid w:val="00A44FC5"/>
    <w:rsid w:val="00A45085"/>
    <w:rsid w:val="00A45121"/>
    <w:rsid w:val="00A46D57"/>
    <w:rsid w:val="00A47016"/>
    <w:rsid w:val="00A47AD1"/>
    <w:rsid w:val="00A47B92"/>
    <w:rsid w:val="00A47D21"/>
    <w:rsid w:val="00A50CFF"/>
    <w:rsid w:val="00A50D1D"/>
    <w:rsid w:val="00A50F87"/>
    <w:rsid w:val="00A5207B"/>
    <w:rsid w:val="00A52506"/>
    <w:rsid w:val="00A53583"/>
    <w:rsid w:val="00A538AE"/>
    <w:rsid w:val="00A54852"/>
    <w:rsid w:val="00A55641"/>
    <w:rsid w:val="00A55A06"/>
    <w:rsid w:val="00A55A89"/>
    <w:rsid w:val="00A55FAB"/>
    <w:rsid w:val="00A56721"/>
    <w:rsid w:val="00A573FE"/>
    <w:rsid w:val="00A579E6"/>
    <w:rsid w:val="00A57CF6"/>
    <w:rsid w:val="00A6019A"/>
    <w:rsid w:val="00A6026E"/>
    <w:rsid w:val="00A606E8"/>
    <w:rsid w:val="00A6150F"/>
    <w:rsid w:val="00A615FE"/>
    <w:rsid w:val="00A62552"/>
    <w:rsid w:val="00A6265A"/>
    <w:rsid w:val="00A634B4"/>
    <w:rsid w:val="00A63AC1"/>
    <w:rsid w:val="00A640E6"/>
    <w:rsid w:val="00A641AB"/>
    <w:rsid w:val="00A6489A"/>
    <w:rsid w:val="00A64EC4"/>
    <w:rsid w:val="00A660EC"/>
    <w:rsid w:val="00A6616C"/>
    <w:rsid w:val="00A66438"/>
    <w:rsid w:val="00A670E8"/>
    <w:rsid w:val="00A670EF"/>
    <w:rsid w:val="00A67159"/>
    <w:rsid w:val="00A70014"/>
    <w:rsid w:val="00A700F7"/>
    <w:rsid w:val="00A70B88"/>
    <w:rsid w:val="00A70E25"/>
    <w:rsid w:val="00A71232"/>
    <w:rsid w:val="00A714E5"/>
    <w:rsid w:val="00A714EC"/>
    <w:rsid w:val="00A724F2"/>
    <w:rsid w:val="00A734FD"/>
    <w:rsid w:val="00A73746"/>
    <w:rsid w:val="00A742F5"/>
    <w:rsid w:val="00A745D2"/>
    <w:rsid w:val="00A74AC9"/>
    <w:rsid w:val="00A74E2A"/>
    <w:rsid w:val="00A74EEC"/>
    <w:rsid w:val="00A75577"/>
    <w:rsid w:val="00A765DD"/>
    <w:rsid w:val="00A813B5"/>
    <w:rsid w:val="00A82BA9"/>
    <w:rsid w:val="00A82E22"/>
    <w:rsid w:val="00A83936"/>
    <w:rsid w:val="00A8453F"/>
    <w:rsid w:val="00A84B99"/>
    <w:rsid w:val="00A84BB5"/>
    <w:rsid w:val="00A84E44"/>
    <w:rsid w:val="00A84E85"/>
    <w:rsid w:val="00A852A3"/>
    <w:rsid w:val="00A85A43"/>
    <w:rsid w:val="00A85C3B"/>
    <w:rsid w:val="00A86051"/>
    <w:rsid w:val="00A864FA"/>
    <w:rsid w:val="00A869EF"/>
    <w:rsid w:val="00A86CC2"/>
    <w:rsid w:val="00A86E3C"/>
    <w:rsid w:val="00A87031"/>
    <w:rsid w:val="00A9084C"/>
    <w:rsid w:val="00A90A0A"/>
    <w:rsid w:val="00A90CA2"/>
    <w:rsid w:val="00A91190"/>
    <w:rsid w:val="00A911A3"/>
    <w:rsid w:val="00A91520"/>
    <w:rsid w:val="00A92434"/>
    <w:rsid w:val="00A9372C"/>
    <w:rsid w:val="00A93A51"/>
    <w:rsid w:val="00A94DC4"/>
    <w:rsid w:val="00A956CD"/>
    <w:rsid w:val="00A959C5"/>
    <w:rsid w:val="00A95DC7"/>
    <w:rsid w:val="00A95DFD"/>
    <w:rsid w:val="00A95E7B"/>
    <w:rsid w:val="00A96170"/>
    <w:rsid w:val="00A9646D"/>
    <w:rsid w:val="00A96998"/>
    <w:rsid w:val="00A96A9D"/>
    <w:rsid w:val="00A96AA4"/>
    <w:rsid w:val="00A97A84"/>
    <w:rsid w:val="00AA00EB"/>
    <w:rsid w:val="00AA0358"/>
    <w:rsid w:val="00AA037F"/>
    <w:rsid w:val="00AA0498"/>
    <w:rsid w:val="00AA1079"/>
    <w:rsid w:val="00AA1A7B"/>
    <w:rsid w:val="00AA1D11"/>
    <w:rsid w:val="00AA1FC1"/>
    <w:rsid w:val="00AA34C8"/>
    <w:rsid w:val="00AA34D7"/>
    <w:rsid w:val="00AA3C62"/>
    <w:rsid w:val="00AA4036"/>
    <w:rsid w:val="00AA40A0"/>
    <w:rsid w:val="00AA4B4E"/>
    <w:rsid w:val="00AA4C7C"/>
    <w:rsid w:val="00AA4C97"/>
    <w:rsid w:val="00AA4FFF"/>
    <w:rsid w:val="00AA59C1"/>
    <w:rsid w:val="00AA62AC"/>
    <w:rsid w:val="00AA75D8"/>
    <w:rsid w:val="00AA7636"/>
    <w:rsid w:val="00AA7A23"/>
    <w:rsid w:val="00AB0328"/>
    <w:rsid w:val="00AB06AA"/>
    <w:rsid w:val="00AB082B"/>
    <w:rsid w:val="00AB0D01"/>
    <w:rsid w:val="00AB11AC"/>
    <w:rsid w:val="00AB1AC6"/>
    <w:rsid w:val="00AB1D5E"/>
    <w:rsid w:val="00AB20A1"/>
    <w:rsid w:val="00AB2A49"/>
    <w:rsid w:val="00AB33AB"/>
    <w:rsid w:val="00AB4383"/>
    <w:rsid w:val="00AB43B2"/>
    <w:rsid w:val="00AB45E8"/>
    <w:rsid w:val="00AB4D78"/>
    <w:rsid w:val="00AB5957"/>
    <w:rsid w:val="00AB5A95"/>
    <w:rsid w:val="00AB5D7E"/>
    <w:rsid w:val="00AB5F2E"/>
    <w:rsid w:val="00AB6348"/>
    <w:rsid w:val="00AB6374"/>
    <w:rsid w:val="00AB6542"/>
    <w:rsid w:val="00AB77D7"/>
    <w:rsid w:val="00AB78DB"/>
    <w:rsid w:val="00AB7D97"/>
    <w:rsid w:val="00AC0790"/>
    <w:rsid w:val="00AC0ADE"/>
    <w:rsid w:val="00AC2CA9"/>
    <w:rsid w:val="00AC3377"/>
    <w:rsid w:val="00AC37E3"/>
    <w:rsid w:val="00AC399D"/>
    <w:rsid w:val="00AC3B4C"/>
    <w:rsid w:val="00AC5451"/>
    <w:rsid w:val="00AC57BE"/>
    <w:rsid w:val="00AC62FD"/>
    <w:rsid w:val="00AC6584"/>
    <w:rsid w:val="00AC65EC"/>
    <w:rsid w:val="00AC7357"/>
    <w:rsid w:val="00AC73E0"/>
    <w:rsid w:val="00AC78B0"/>
    <w:rsid w:val="00AC7B04"/>
    <w:rsid w:val="00AD0897"/>
    <w:rsid w:val="00AD1985"/>
    <w:rsid w:val="00AD1B5F"/>
    <w:rsid w:val="00AD1FDC"/>
    <w:rsid w:val="00AD1FF1"/>
    <w:rsid w:val="00AD2A38"/>
    <w:rsid w:val="00AD3FC1"/>
    <w:rsid w:val="00AD41C8"/>
    <w:rsid w:val="00AD48B2"/>
    <w:rsid w:val="00AD49A9"/>
    <w:rsid w:val="00AD50C9"/>
    <w:rsid w:val="00AD5218"/>
    <w:rsid w:val="00AD58CA"/>
    <w:rsid w:val="00AD5975"/>
    <w:rsid w:val="00AD70D7"/>
    <w:rsid w:val="00AD724B"/>
    <w:rsid w:val="00AD7422"/>
    <w:rsid w:val="00AD751B"/>
    <w:rsid w:val="00AD7640"/>
    <w:rsid w:val="00AD78AA"/>
    <w:rsid w:val="00AE0093"/>
    <w:rsid w:val="00AE0192"/>
    <w:rsid w:val="00AE0439"/>
    <w:rsid w:val="00AE05EA"/>
    <w:rsid w:val="00AE0860"/>
    <w:rsid w:val="00AE0CE0"/>
    <w:rsid w:val="00AE0D34"/>
    <w:rsid w:val="00AE11EA"/>
    <w:rsid w:val="00AE1BF4"/>
    <w:rsid w:val="00AE2193"/>
    <w:rsid w:val="00AE2E6D"/>
    <w:rsid w:val="00AE3689"/>
    <w:rsid w:val="00AE36A8"/>
    <w:rsid w:val="00AE4A46"/>
    <w:rsid w:val="00AE5539"/>
    <w:rsid w:val="00AE5584"/>
    <w:rsid w:val="00AE573D"/>
    <w:rsid w:val="00AE5A32"/>
    <w:rsid w:val="00AE5E39"/>
    <w:rsid w:val="00AE684A"/>
    <w:rsid w:val="00AE6B76"/>
    <w:rsid w:val="00AE71BC"/>
    <w:rsid w:val="00AE732B"/>
    <w:rsid w:val="00AE7A04"/>
    <w:rsid w:val="00AE7F74"/>
    <w:rsid w:val="00AF08EC"/>
    <w:rsid w:val="00AF09C0"/>
    <w:rsid w:val="00AF0AD4"/>
    <w:rsid w:val="00AF0BC4"/>
    <w:rsid w:val="00AF1899"/>
    <w:rsid w:val="00AF1DCD"/>
    <w:rsid w:val="00AF2043"/>
    <w:rsid w:val="00AF24AF"/>
    <w:rsid w:val="00AF3689"/>
    <w:rsid w:val="00AF38FB"/>
    <w:rsid w:val="00AF4176"/>
    <w:rsid w:val="00AF47D3"/>
    <w:rsid w:val="00AF5F2C"/>
    <w:rsid w:val="00AF5F78"/>
    <w:rsid w:val="00AF611B"/>
    <w:rsid w:val="00AF6156"/>
    <w:rsid w:val="00AF61E9"/>
    <w:rsid w:val="00AF66D8"/>
    <w:rsid w:val="00AF7044"/>
    <w:rsid w:val="00AF7368"/>
    <w:rsid w:val="00B0032D"/>
    <w:rsid w:val="00B00511"/>
    <w:rsid w:val="00B005D2"/>
    <w:rsid w:val="00B00965"/>
    <w:rsid w:val="00B009A1"/>
    <w:rsid w:val="00B00C51"/>
    <w:rsid w:val="00B0106F"/>
    <w:rsid w:val="00B01180"/>
    <w:rsid w:val="00B0143D"/>
    <w:rsid w:val="00B017BB"/>
    <w:rsid w:val="00B01931"/>
    <w:rsid w:val="00B019D3"/>
    <w:rsid w:val="00B02443"/>
    <w:rsid w:val="00B02CB3"/>
    <w:rsid w:val="00B02D3B"/>
    <w:rsid w:val="00B03259"/>
    <w:rsid w:val="00B03CA1"/>
    <w:rsid w:val="00B04F73"/>
    <w:rsid w:val="00B05639"/>
    <w:rsid w:val="00B05660"/>
    <w:rsid w:val="00B05E16"/>
    <w:rsid w:val="00B05E86"/>
    <w:rsid w:val="00B05F05"/>
    <w:rsid w:val="00B061FA"/>
    <w:rsid w:val="00B069C8"/>
    <w:rsid w:val="00B06A70"/>
    <w:rsid w:val="00B076CF"/>
    <w:rsid w:val="00B10AE9"/>
    <w:rsid w:val="00B10BE7"/>
    <w:rsid w:val="00B10C22"/>
    <w:rsid w:val="00B11109"/>
    <w:rsid w:val="00B113DF"/>
    <w:rsid w:val="00B11A61"/>
    <w:rsid w:val="00B11E3C"/>
    <w:rsid w:val="00B12042"/>
    <w:rsid w:val="00B132D5"/>
    <w:rsid w:val="00B13B1F"/>
    <w:rsid w:val="00B13D82"/>
    <w:rsid w:val="00B141AE"/>
    <w:rsid w:val="00B14F99"/>
    <w:rsid w:val="00B153C2"/>
    <w:rsid w:val="00B15FD5"/>
    <w:rsid w:val="00B16C19"/>
    <w:rsid w:val="00B17198"/>
    <w:rsid w:val="00B1775A"/>
    <w:rsid w:val="00B17EF7"/>
    <w:rsid w:val="00B204B8"/>
    <w:rsid w:val="00B20850"/>
    <w:rsid w:val="00B210BE"/>
    <w:rsid w:val="00B21295"/>
    <w:rsid w:val="00B21338"/>
    <w:rsid w:val="00B21602"/>
    <w:rsid w:val="00B222CF"/>
    <w:rsid w:val="00B222D7"/>
    <w:rsid w:val="00B22634"/>
    <w:rsid w:val="00B229D7"/>
    <w:rsid w:val="00B22B76"/>
    <w:rsid w:val="00B2315E"/>
    <w:rsid w:val="00B24D46"/>
    <w:rsid w:val="00B252B0"/>
    <w:rsid w:val="00B25319"/>
    <w:rsid w:val="00B25742"/>
    <w:rsid w:val="00B25BB8"/>
    <w:rsid w:val="00B26035"/>
    <w:rsid w:val="00B26BA6"/>
    <w:rsid w:val="00B26D10"/>
    <w:rsid w:val="00B26F48"/>
    <w:rsid w:val="00B27223"/>
    <w:rsid w:val="00B27D1D"/>
    <w:rsid w:val="00B30BB0"/>
    <w:rsid w:val="00B31302"/>
    <w:rsid w:val="00B321C3"/>
    <w:rsid w:val="00B3266B"/>
    <w:rsid w:val="00B32833"/>
    <w:rsid w:val="00B32BEF"/>
    <w:rsid w:val="00B3382E"/>
    <w:rsid w:val="00B33BDF"/>
    <w:rsid w:val="00B33CF8"/>
    <w:rsid w:val="00B33D23"/>
    <w:rsid w:val="00B33D26"/>
    <w:rsid w:val="00B344B3"/>
    <w:rsid w:val="00B34E87"/>
    <w:rsid w:val="00B355E9"/>
    <w:rsid w:val="00B35D33"/>
    <w:rsid w:val="00B36256"/>
    <w:rsid w:val="00B372DD"/>
    <w:rsid w:val="00B373A4"/>
    <w:rsid w:val="00B377E0"/>
    <w:rsid w:val="00B37A55"/>
    <w:rsid w:val="00B40959"/>
    <w:rsid w:val="00B413FB"/>
    <w:rsid w:val="00B41750"/>
    <w:rsid w:val="00B41E4B"/>
    <w:rsid w:val="00B421D4"/>
    <w:rsid w:val="00B42379"/>
    <w:rsid w:val="00B42380"/>
    <w:rsid w:val="00B42545"/>
    <w:rsid w:val="00B4287D"/>
    <w:rsid w:val="00B43B22"/>
    <w:rsid w:val="00B45837"/>
    <w:rsid w:val="00B45B5C"/>
    <w:rsid w:val="00B45E2B"/>
    <w:rsid w:val="00B45E3B"/>
    <w:rsid w:val="00B4635B"/>
    <w:rsid w:val="00B46595"/>
    <w:rsid w:val="00B470F6"/>
    <w:rsid w:val="00B47F2F"/>
    <w:rsid w:val="00B50505"/>
    <w:rsid w:val="00B506C6"/>
    <w:rsid w:val="00B507F0"/>
    <w:rsid w:val="00B51315"/>
    <w:rsid w:val="00B51ABC"/>
    <w:rsid w:val="00B51ACF"/>
    <w:rsid w:val="00B51B72"/>
    <w:rsid w:val="00B51CB0"/>
    <w:rsid w:val="00B51E57"/>
    <w:rsid w:val="00B51EF7"/>
    <w:rsid w:val="00B52026"/>
    <w:rsid w:val="00B5287C"/>
    <w:rsid w:val="00B529F5"/>
    <w:rsid w:val="00B532EE"/>
    <w:rsid w:val="00B534F8"/>
    <w:rsid w:val="00B53E47"/>
    <w:rsid w:val="00B53F67"/>
    <w:rsid w:val="00B540E1"/>
    <w:rsid w:val="00B544AB"/>
    <w:rsid w:val="00B5464F"/>
    <w:rsid w:val="00B55235"/>
    <w:rsid w:val="00B55E56"/>
    <w:rsid w:val="00B55EE4"/>
    <w:rsid w:val="00B56434"/>
    <w:rsid w:val="00B5667E"/>
    <w:rsid w:val="00B57419"/>
    <w:rsid w:val="00B57936"/>
    <w:rsid w:val="00B57A14"/>
    <w:rsid w:val="00B6022E"/>
    <w:rsid w:val="00B606F0"/>
    <w:rsid w:val="00B60CEB"/>
    <w:rsid w:val="00B60DF2"/>
    <w:rsid w:val="00B6214E"/>
    <w:rsid w:val="00B621B7"/>
    <w:rsid w:val="00B624E5"/>
    <w:rsid w:val="00B63223"/>
    <w:rsid w:val="00B632FF"/>
    <w:rsid w:val="00B63500"/>
    <w:rsid w:val="00B63633"/>
    <w:rsid w:val="00B637BC"/>
    <w:rsid w:val="00B64381"/>
    <w:rsid w:val="00B643A9"/>
    <w:rsid w:val="00B643AE"/>
    <w:rsid w:val="00B643F9"/>
    <w:rsid w:val="00B64B01"/>
    <w:rsid w:val="00B64EFA"/>
    <w:rsid w:val="00B65773"/>
    <w:rsid w:val="00B66056"/>
    <w:rsid w:val="00B66066"/>
    <w:rsid w:val="00B6607E"/>
    <w:rsid w:val="00B6614E"/>
    <w:rsid w:val="00B661A2"/>
    <w:rsid w:val="00B6665F"/>
    <w:rsid w:val="00B669BE"/>
    <w:rsid w:val="00B66BEF"/>
    <w:rsid w:val="00B66D94"/>
    <w:rsid w:val="00B67025"/>
    <w:rsid w:val="00B670B4"/>
    <w:rsid w:val="00B67612"/>
    <w:rsid w:val="00B705AB"/>
    <w:rsid w:val="00B705CD"/>
    <w:rsid w:val="00B708F3"/>
    <w:rsid w:val="00B70BDE"/>
    <w:rsid w:val="00B71D9C"/>
    <w:rsid w:val="00B71DCB"/>
    <w:rsid w:val="00B7257D"/>
    <w:rsid w:val="00B727E6"/>
    <w:rsid w:val="00B72A8D"/>
    <w:rsid w:val="00B72B92"/>
    <w:rsid w:val="00B72EAB"/>
    <w:rsid w:val="00B72F90"/>
    <w:rsid w:val="00B746A3"/>
    <w:rsid w:val="00B751AD"/>
    <w:rsid w:val="00B751EC"/>
    <w:rsid w:val="00B753F3"/>
    <w:rsid w:val="00B761D9"/>
    <w:rsid w:val="00B76627"/>
    <w:rsid w:val="00B76891"/>
    <w:rsid w:val="00B76B05"/>
    <w:rsid w:val="00B7759B"/>
    <w:rsid w:val="00B77816"/>
    <w:rsid w:val="00B778C2"/>
    <w:rsid w:val="00B779E8"/>
    <w:rsid w:val="00B800D8"/>
    <w:rsid w:val="00B8047B"/>
    <w:rsid w:val="00B813A8"/>
    <w:rsid w:val="00B814C4"/>
    <w:rsid w:val="00B819CA"/>
    <w:rsid w:val="00B81D2B"/>
    <w:rsid w:val="00B8212E"/>
    <w:rsid w:val="00B82C82"/>
    <w:rsid w:val="00B83295"/>
    <w:rsid w:val="00B835F6"/>
    <w:rsid w:val="00B83B3D"/>
    <w:rsid w:val="00B84C72"/>
    <w:rsid w:val="00B84DC3"/>
    <w:rsid w:val="00B86206"/>
    <w:rsid w:val="00B86AA8"/>
    <w:rsid w:val="00B8752B"/>
    <w:rsid w:val="00B87611"/>
    <w:rsid w:val="00B878C2"/>
    <w:rsid w:val="00B87A03"/>
    <w:rsid w:val="00B90991"/>
    <w:rsid w:val="00B911C1"/>
    <w:rsid w:val="00B91A05"/>
    <w:rsid w:val="00B920C7"/>
    <w:rsid w:val="00B9219F"/>
    <w:rsid w:val="00B92B02"/>
    <w:rsid w:val="00B92BA6"/>
    <w:rsid w:val="00B9301D"/>
    <w:rsid w:val="00B9353C"/>
    <w:rsid w:val="00B9426E"/>
    <w:rsid w:val="00B94978"/>
    <w:rsid w:val="00B94A87"/>
    <w:rsid w:val="00B95584"/>
    <w:rsid w:val="00B96965"/>
    <w:rsid w:val="00BA053B"/>
    <w:rsid w:val="00BA1AFB"/>
    <w:rsid w:val="00BA1EEC"/>
    <w:rsid w:val="00BA1F3F"/>
    <w:rsid w:val="00BA23B2"/>
    <w:rsid w:val="00BA27CE"/>
    <w:rsid w:val="00BA2E25"/>
    <w:rsid w:val="00BA33E8"/>
    <w:rsid w:val="00BA3407"/>
    <w:rsid w:val="00BA34BA"/>
    <w:rsid w:val="00BA38DA"/>
    <w:rsid w:val="00BA395D"/>
    <w:rsid w:val="00BA3A97"/>
    <w:rsid w:val="00BA49D1"/>
    <w:rsid w:val="00BA52F5"/>
    <w:rsid w:val="00BA5B62"/>
    <w:rsid w:val="00BA5E2B"/>
    <w:rsid w:val="00BA7253"/>
    <w:rsid w:val="00BA73E7"/>
    <w:rsid w:val="00BA7F57"/>
    <w:rsid w:val="00BB04C3"/>
    <w:rsid w:val="00BB08F3"/>
    <w:rsid w:val="00BB1E99"/>
    <w:rsid w:val="00BB1EE4"/>
    <w:rsid w:val="00BB2428"/>
    <w:rsid w:val="00BB2442"/>
    <w:rsid w:val="00BB24C6"/>
    <w:rsid w:val="00BB2E10"/>
    <w:rsid w:val="00BB3173"/>
    <w:rsid w:val="00BB3813"/>
    <w:rsid w:val="00BB3F85"/>
    <w:rsid w:val="00BB40E1"/>
    <w:rsid w:val="00BB5434"/>
    <w:rsid w:val="00BB61C3"/>
    <w:rsid w:val="00BB663D"/>
    <w:rsid w:val="00BB66C4"/>
    <w:rsid w:val="00BB6E9C"/>
    <w:rsid w:val="00BC0729"/>
    <w:rsid w:val="00BC1397"/>
    <w:rsid w:val="00BC13A1"/>
    <w:rsid w:val="00BC168B"/>
    <w:rsid w:val="00BC177D"/>
    <w:rsid w:val="00BC1821"/>
    <w:rsid w:val="00BC1F49"/>
    <w:rsid w:val="00BC2269"/>
    <w:rsid w:val="00BC2A79"/>
    <w:rsid w:val="00BC2B21"/>
    <w:rsid w:val="00BC2B72"/>
    <w:rsid w:val="00BC3285"/>
    <w:rsid w:val="00BC339F"/>
    <w:rsid w:val="00BC38FD"/>
    <w:rsid w:val="00BC3993"/>
    <w:rsid w:val="00BC3A0E"/>
    <w:rsid w:val="00BC58D6"/>
    <w:rsid w:val="00BC5AB1"/>
    <w:rsid w:val="00BC61D6"/>
    <w:rsid w:val="00BC6435"/>
    <w:rsid w:val="00BC6879"/>
    <w:rsid w:val="00BC6D02"/>
    <w:rsid w:val="00BC6DCF"/>
    <w:rsid w:val="00BC718B"/>
    <w:rsid w:val="00BD01A9"/>
    <w:rsid w:val="00BD094F"/>
    <w:rsid w:val="00BD1C26"/>
    <w:rsid w:val="00BD24E9"/>
    <w:rsid w:val="00BD27C7"/>
    <w:rsid w:val="00BD34FB"/>
    <w:rsid w:val="00BD37FF"/>
    <w:rsid w:val="00BD3E0E"/>
    <w:rsid w:val="00BD3FF3"/>
    <w:rsid w:val="00BD5269"/>
    <w:rsid w:val="00BD557A"/>
    <w:rsid w:val="00BD5BDC"/>
    <w:rsid w:val="00BD7441"/>
    <w:rsid w:val="00BD76DA"/>
    <w:rsid w:val="00BD7AB0"/>
    <w:rsid w:val="00BE04CD"/>
    <w:rsid w:val="00BE05AF"/>
    <w:rsid w:val="00BE1915"/>
    <w:rsid w:val="00BE19A5"/>
    <w:rsid w:val="00BE209B"/>
    <w:rsid w:val="00BE32D6"/>
    <w:rsid w:val="00BE373E"/>
    <w:rsid w:val="00BE3A2C"/>
    <w:rsid w:val="00BE3EF7"/>
    <w:rsid w:val="00BE3F40"/>
    <w:rsid w:val="00BE4513"/>
    <w:rsid w:val="00BE4769"/>
    <w:rsid w:val="00BE56D5"/>
    <w:rsid w:val="00BE58F4"/>
    <w:rsid w:val="00BE5CD0"/>
    <w:rsid w:val="00BE5F1B"/>
    <w:rsid w:val="00BE6122"/>
    <w:rsid w:val="00BE6370"/>
    <w:rsid w:val="00BE673D"/>
    <w:rsid w:val="00BE67E6"/>
    <w:rsid w:val="00BE6971"/>
    <w:rsid w:val="00BE73E0"/>
    <w:rsid w:val="00BE76CA"/>
    <w:rsid w:val="00BF08DA"/>
    <w:rsid w:val="00BF18DE"/>
    <w:rsid w:val="00BF1A57"/>
    <w:rsid w:val="00BF1C0B"/>
    <w:rsid w:val="00BF2AF2"/>
    <w:rsid w:val="00BF3571"/>
    <w:rsid w:val="00BF40A7"/>
    <w:rsid w:val="00BF40C8"/>
    <w:rsid w:val="00BF4699"/>
    <w:rsid w:val="00BF4AE5"/>
    <w:rsid w:val="00BF50D7"/>
    <w:rsid w:val="00BF526E"/>
    <w:rsid w:val="00BF53C3"/>
    <w:rsid w:val="00BF5435"/>
    <w:rsid w:val="00BF6609"/>
    <w:rsid w:val="00BF682C"/>
    <w:rsid w:val="00BF6CE3"/>
    <w:rsid w:val="00BF6CEB"/>
    <w:rsid w:val="00BF771A"/>
    <w:rsid w:val="00BF7CF7"/>
    <w:rsid w:val="00C001B9"/>
    <w:rsid w:val="00C00409"/>
    <w:rsid w:val="00C0061D"/>
    <w:rsid w:val="00C00654"/>
    <w:rsid w:val="00C010B5"/>
    <w:rsid w:val="00C01232"/>
    <w:rsid w:val="00C01534"/>
    <w:rsid w:val="00C01677"/>
    <w:rsid w:val="00C01978"/>
    <w:rsid w:val="00C01CD0"/>
    <w:rsid w:val="00C01EAD"/>
    <w:rsid w:val="00C0204A"/>
    <w:rsid w:val="00C026AE"/>
    <w:rsid w:val="00C02B19"/>
    <w:rsid w:val="00C02C1F"/>
    <w:rsid w:val="00C035B0"/>
    <w:rsid w:val="00C04A88"/>
    <w:rsid w:val="00C05A7A"/>
    <w:rsid w:val="00C05E87"/>
    <w:rsid w:val="00C05F10"/>
    <w:rsid w:val="00C06107"/>
    <w:rsid w:val="00C0642A"/>
    <w:rsid w:val="00C065D6"/>
    <w:rsid w:val="00C07021"/>
    <w:rsid w:val="00C07709"/>
    <w:rsid w:val="00C102F0"/>
    <w:rsid w:val="00C10AE1"/>
    <w:rsid w:val="00C10C4E"/>
    <w:rsid w:val="00C11BEB"/>
    <w:rsid w:val="00C12209"/>
    <w:rsid w:val="00C124BF"/>
    <w:rsid w:val="00C126D7"/>
    <w:rsid w:val="00C1275F"/>
    <w:rsid w:val="00C13985"/>
    <w:rsid w:val="00C1482C"/>
    <w:rsid w:val="00C14AFE"/>
    <w:rsid w:val="00C15199"/>
    <w:rsid w:val="00C15461"/>
    <w:rsid w:val="00C1560D"/>
    <w:rsid w:val="00C15778"/>
    <w:rsid w:val="00C15BAB"/>
    <w:rsid w:val="00C162E3"/>
    <w:rsid w:val="00C16332"/>
    <w:rsid w:val="00C16716"/>
    <w:rsid w:val="00C16C68"/>
    <w:rsid w:val="00C1702B"/>
    <w:rsid w:val="00C170E9"/>
    <w:rsid w:val="00C200A9"/>
    <w:rsid w:val="00C205CB"/>
    <w:rsid w:val="00C2061D"/>
    <w:rsid w:val="00C20AC9"/>
    <w:rsid w:val="00C213B1"/>
    <w:rsid w:val="00C21407"/>
    <w:rsid w:val="00C21A5E"/>
    <w:rsid w:val="00C21FC7"/>
    <w:rsid w:val="00C23EE9"/>
    <w:rsid w:val="00C240FD"/>
    <w:rsid w:val="00C24271"/>
    <w:rsid w:val="00C24B28"/>
    <w:rsid w:val="00C25186"/>
    <w:rsid w:val="00C256CA"/>
    <w:rsid w:val="00C25D69"/>
    <w:rsid w:val="00C26486"/>
    <w:rsid w:val="00C26F66"/>
    <w:rsid w:val="00C26FD5"/>
    <w:rsid w:val="00C27122"/>
    <w:rsid w:val="00C273B1"/>
    <w:rsid w:val="00C2743B"/>
    <w:rsid w:val="00C2758B"/>
    <w:rsid w:val="00C27D70"/>
    <w:rsid w:val="00C27E42"/>
    <w:rsid w:val="00C300D1"/>
    <w:rsid w:val="00C30114"/>
    <w:rsid w:val="00C31ECC"/>
    <w:rsid w:val="00C32119"/>
    <w:rsid w:val="00C32209"/>
    <w:rsid w:val="00C3222F"/>
    <w:rsid w:val="00C32745"/>
    <w:rsid w:val="00C32BD0"/>
    <w:rsid w:val="00C3319B"/>
    <w:rsid w:val="00C334EC"/>
    <w:rsid w:val="00C33837"/>
    <w:rsid w:val="00C33BB0"/>
    <w:rsid w:val="00C34888"/>
    <w:rsid w:val="00C34F18"/>
    <w:rsid w:val="00C35AA9"/>
    <w:rsid w:val="00C35C15"/>
    <w:rsid w:val="00C35C22"/>
    <w:rsid w:val="00C36606"/>
    <w:rsid w:val="00C36D13"/>
    <w:rsid w:val="00C37484"/>
    <w:rsid w:val="00C37BC4"/>
    <w:rsid w:val="00C4014A"/>
    <w:rsid w:val="00C40A2C"/>
    <w:rsid w:val="00C414D4"/>
    <w:rsid w:val="00C41719"/>
    <w:rsid w:val="00C417BE"/>
    <w:rsid w:val="00C41E56"/>
    <w:rsid w:val="00C41EF4"/>
    <w:rsid w:val="00C42025"/>
    <w:rsid w:val="00C4203F"/>
    <w:rsid w:val="00C421CA"/>
    <w:rsid w:val="00C426B7"/>
    <w:rsid w:val="00C42C1C"/>
    <w:rsid w:val="00C43163"/>
    <w:rsid w:val="00C43FA1"/>
    <w:rsid w:val="00C44774"/>
    <w:rsid w:val="00C44DEB"/>
    <w:rsid w:val="00C44EF0"/>
    <w:rsid w:val="00C4591C"/>
    <w:rsid w:val="00C45F2F"/>
    <w:rsid w:val="00C4666F"/>
    <w:rsid w:val="00C46C14"/>
    <w:rsid w:val="00C478C7"/>
    <w:rsid w:val="00C47DFA"/>
    <w:rsid w:val="00C5082A"/>
    <w:rsid w:val="00C508E2"/>
    <w:rsid w:val="00C50A68"/>
    <w:rsid w:val="00C50C97"/>
    <w:rsid w:val="00C51923"/>
    <w:rsid w:val="00C51E0B"/>
    <w:rsid w:val="00C52C3A"/>
    <w:rsid w:val="00C53955"/>
    <w:rsid w:val="00C541A6"/>
    <w:rsid w:val="00C5428A"/>
    <w:rsid w:val="00C54366"/>
    <w:rsid w:val="00C54644"/>
    <w:rsid w:val="00C54E13"/>
    <w:rsid w:val="00C552E9"/>
    <w:rsid w:val="00C55327"/>
    <w:rsid w:val="00C555AF"/>
    <w:rsid w:val="00C560C3"/>
    <w:rsid w:val="00C56699"/>
    <w:rsid w:val="00C56C92"/>
    <w:rsid w:val="00C56F8E"/>
    <w:rsid w:val="00C57A37"/>
    <w:rsid w:val="00C6023F"/>
    <w:rsid w:val="00C60653"/>
    <w:rsid w:val="00C6097E"/>
    <w:rsid w:val="00C60B88"/>
    <w:rsid w:val="00C613E1"/>
    <w:rsid w:val="00C6279F"/>
    <w:rsid w:val="00C6372B"/>
    <w:rsid w:val="00C64874"/>
    <w:rsid w:val="00C64B52"/>
    <w:rsid w:val="00C66286"/>
    <w:rsid w:val="00C66A4B"/>
    <w:rsid w:val="00C6776E"/>
    <w:rsid w:val="00C67B64"/>
    <w:rsid w:val="00C70068"/>
    <w:rsid w:val="00C70260"/>
    <w:rsid w:val="00C70B0E"/>
    <w:rsid w:val="00C7116F"/>
    <w:rsid w:val="00C71216"/>
    <w:rsid w:val="00C71792"/>
    <w:rsid w:val="00C734F9"/>
    <w:rsid w:val="00C739F1"/>
    <w:rsid w:val="00C73E1E"/>
    <w:rsid w:val="00C73E80"/>
    <w:rsid w:val="00C743C1"/>
    <w:rsid w:val="00C743F4"/>
    <w:rsid w:val="00C745C7"/>
    <w:rsid w:val="00C755BD"/>
    <w:rsid w:val="00C75759"/>
    <w:rsid w:val="00C75971"/>
    <w:rsid w:val="00C75A32"/>
    <w:rsid w:val="00C7601A"/>
    <w:rsid w:val="00C76C98"/>
    <w:rsid w:val="00C7763D"/>
    <w:rsid w:val="00C77C83"/>
    <w:rsid w:val="00C800C8"/>
    <w:rsid w:val="00C8075A"/>
    <w:rsid w:val="00C8170A"/>
    <w:rsid w:val="00C81B35"/>
    <w:rsid w:val="00C81E99"/>
    <w:rsid w:val="00C822DA"/>
    <w:rsid w:val="00C827AB"/>
    <w:rsid w:val="00C82FEF"/>
    <w:rsid w:val="00C83BA2"/>
    <w:rsid w:val="00C83D38"/>
    <w:rsid w:val="00C84675"/>
    <w:rsid w:val="00C85184"/>
    <w:rsid w:val="00C85725"/>
    <w:rsid w:val="00C85ABB"/>
    <w:rsid w:val="00C85C36"/>
    <w:rsid w:val="00C85EFC"/>
    <w:rsid w:val="00C8658A"/>
    <w:rsid w:val="00C867EB"/>
    <w:rsid w:val="00C87094"/>
    <w:rsid w:val="00C904E7"/>
    <w:rsid w:val="00C90E6C"/>
    <w:rsid w:val="00C90F8C"/>
    <w:rsid w:val="00C9112E"/>
    <w:rsid w:val="00C91870"/>
    <w:rsid w:val="00C91FB0"/>
    <w:rsid w:val="00C92F26"/>
    <w:rsid w:val="00C93302"/>
    <w:rsid w:val="00C9367B"/>
    <w:rsid w:val="00C93F0F"/>
    <w:rsid w:val="00C94345"/>
    <w:rsid w:val="00C94EEE"/>
    <w:rsid w:val="00C94F09"/>
    <w:rsid w:val="00C95278"/>
    <w:rsid w:val="00C97114"/>
    <w:rsid w:val="00C976B8"/>
    <w:rsid w:val="00CA0988"/>
    <w:rsid w:val="00CA10DA"/>
    <w:rsid w:val="00CA1125"/>
    <w:rsid w:val="00CA11D5"/>
    <w:rsid w:val="00CA1C5E"/>
    <w:rsid w:val="00CA1CEA"/>
    <w:rsid w:val="00CA24F6"/>
    <w:rsid w:val="00CA29D5"/>
    <w:rsid w:val="00CA2AF0"/>
    <w:rsid w:val="00CA2EB0"/>
    <w:rsid w:val="00CA303F"/>
    <w:rsid w:val="00CA3482"/>
    <w:rsid w:val="00CA4529"/>
    <w:rsid w:val="00CA4A0F"/>
    <w:rsid w:val="00CA50C6"/>
    <w:rsid w:val="00CA5166"/>
    <w:rsid w:val="00CA55B6"/>
    <w:rsid w:val="00CA5E6B"/>
    <w:rsid w:val="00CA6783"/>
    <w:rsid w:val="00CA7515"/>
    <w:rsid w:val="00CA784A"/>
    <w:rsid w:val="00CA7971"/>
    <w:rsid w:val="00CB018E"/>
    <w:rsid w:val="00CB037F"/>
    <w:rsid w:val="00CB07BE"/>
    <w:rsid w:val="00CB0E13"/>
    <w:rsid w:val="00CB0F0D"/>
    <w:rsid w:val="00CB1010"/>
    <w:rsid w:val="00CB1343"/>
    <w:rsid w:val="00CB1512"/>
    <w:rsid w:val="00CB1584"/>
    <w:rsid w:val="00CB1B2E"/>
    <w:rsid w:val="00CB1B60"/>
    <w:rsid w:val="00CB24FC"/>
    <w:rsid w:val="00CB2CCA"/>
    <w:rsid w:val="00CB2CE9"/>
    <w:rsid w:val="00CB3717"/>
    <w:rsid w:val="00CB396B"/>
    <w:rsid w:val="00CB3E4C"/>
    <w:rsid w:val="00CB41D5"/>
    <w:rsid w:val="00CB4617"/>
    <w:rsid w:val="00CB46B3"/>
    <w:rsid w:val="00CB4C53"/>
    <w:rsid w:val="00CB4F06"/>
    <w:rsid w:val="00CB4FDF"/>
    <w:rsid w:val="00CB5EA0"/>
    <w:rsid w:val="00CB7103"/>
    <w:rsid w:val="00CB71D3"/>
    <w:rsid w:val="00CB752A"/>
    <w:rsid w:val="00CB75A1"/>
    <w:rsid w:val="00CB7628"/>
    <w:rsid w:val="00CB7C51"/>
    <w:rsid w:val="00CC06CA"/>
    <w:rsid w:val="00CC07BE"/>
    <w:rsid w:val="00CC0EA0"/>
    <w:rsid w:val="00CC17E3"/>
    <w:rsid w:val="00CC294D"/>
    <w:rsid w:val="00CC2AC3"/>
    <w:rsid w:val="00CC315C"/>
    <w:rsid w:val="00CC3645"/>
    <w:rsid w:val="00CC3BA3"/>
    <w:rsid w:val="00CC4219"/>
    <w:rsid w:val="00CC4492"/>
    <w:rsid w:val="00CC4B76"/>
    <w:rsid w:val="00CC5116"/>
    <w:rsid w:val="00CC670C"/>
    <w:rsid w:val="00CC6DAB"/>
    <w:rsid w:val="00CC6F75"/>
    <w:rsid w:val="00CC7458"/>
    <w:rsid w:val="00CC78F3"/>
    <w:rsid w:val="00CD0262"/>
    <w:rsid w:val="00CD08B3"/>
    <w:rsid w:val="00CD096F"/>
    <w:rsid w:val="00CD0AC5"/>
    <w:rsid w:val="00CD1038"/>
    <w:rsid w:val="00CD1058"/>
    <w:rsid w:val="00CD1A5D"/>
    <w:rsid w:val="00CD22B7"/>
    <w:rsid w:val="00CD2B49"/>
    <w:rsid w:val="00CD2D20"/>
    <w:rsid w:val="00CD334F"/>
    <w:rsid w:val="00CD3553"/>
    <w:rsid w:val="00CD44A4"/>
    <w:rsid w:val="00CD4641"/>
    <w:rsid w:val="00CD4B2B"/>
    <w:rsid w:val="00CD579B"/>
    <w:rsid w:val="00CD6664"/>
    <w:rsid w:val="00CD6E49"/>
    <w:rsid w:val="00CD6FD4"/>
    <w:rsid w:val="00CD773F"/>
    <w:rsid w:val="00CD779C"/>
    <w:rsid w:val="00CD7EB3"/>
    <w:rsid w:val="00CE0B62"/>
    <w:rsid w:val="00CE10C8"/>
    <w:rsid w:val="00CE15B4"/>
    <w:rsid w:val="00CE15FA"/>
    <w:rsid w:val="00CE175A"/>
    <w:rsid w:val="00CE1AEC"/>
    <w:rsid w:val="00CE3089"/>
    <w:rsid w:val="00CE38B6"/>
    <w:rsid w:val="00CE3CB4"/>
    <w:rsid w:val="00CE4871"/>
    <w:rsid w:val="00CE5100"/>
    <w:rsid w:val="00CE525B"/>
    <w:rsid w:val="00CE5E08"/>
    <w:rsid w:val="00CE62CA"/>
    <w:rsid w:val="00CE63F1"/>
    <w:rsid w:val="00CE6787"/>
    <w:rsid w:val="00CE6975"/>
    <w:rsid w:val="00CE7DB9"/>
    <w:rsid w:val="00CF0877"/>
    <w:rsid w:val="00CF0D54"/>
    <w:rsid w:val="00CF1454"/>
    <w:rsid w:val="00CF34D0"/>
    <w:rsid w:val="00CF3ED7"/>
    <w:rsid w:val="00CF4333"/>
    <w:rsid w:val="00CF455D"/>
    <w:rsid w:val="00CF4881"/>
    <w:rsid w:val="00CF543C"/>
    <w:rsid w:val="00CF6CA1"/>
    <w:rsid w:val="00CF78B3"/>
    <w:rsid w:val="00CF7B59"/>
    <w:rsid w:val="00D001B6"/>
    <w:rsid w:val="00D002AB"/>
    <w:rsid w:val="00D00857"/>
    <w:rsid w:val="00D013F6"/>
    <w:rsid w:val="00D01466"/>
    <w:rsid w:val="00D016E4"/>
    <w:rsid w:val="00D01F47"/>
    <w:rsid w:val="00D020B7"/>
    <w:rsid w:val="00D0246A"/>
    <w:rsid w:val="00D02B42"/>
    <w:rsid w:val="00D03D55"/>
    <w:rsid w:val="00D048EC"/>
    <w:rsid w:val="00D04BE8"/>
    <w:rsid w:val="00D04F1F"/>
    <w:rsid w:val="00D0503D"/>
    <w:rsid w:val="00D05E3F"/>
    <w:rsid w:val="00D06931"/>
    <w:rsid w:val="00D07099"/>
    <w:rsid w:val="00D07AE6"/>
    <w:rsid w:val="00D07E3C"/>
    <w:rsid w:val="00D1078E"/>
    <w:rsid w:val="00D107CC"/>
    <w:rsid w:val="00D10B26"/>
    <w:rsid w:val="00D11A36"/>
    <w:rsid w:val="00D127BA"/>
    <w:rsid w:val="00D138A9"/>
    <w:rsid w:val="00D14090"/>
    <w:rsid w:val="00D14C47"/>
    <w:rsid w:val="00D14F54"/>
    <w:rsid w:val="00D1505C"/>
    <w:rsid w:val="00D15823"/>
    <w:rsid w:val="00D1640C"/>
    <w:rsid w:val="00D167C0"/>
    <w:rsid w:val="00D173D8"/>
    <w:rsid w:val="00D1762C"/>
    <w:rsid w:val="00D179C6"/>
    <w:rsid w:val="00D17AD9"/>
    <w:rsid w:val="00D17C79"/>
    <w:rsid w:val="00D20555"/>
    <w:rsid w:val="00D20B7D"/>
    <w:rsid w:val="00D212A6"/>
    <w:rsid w:val="00D21CAD"/>
    <w:rsid w:val="00D224B6"/>
    <w:rsid w:val="00D22979"/>
    <w:rsid w:val="00D2318A"/>
    <w:rsid w:val="00D235C0"/>
    <w:rsid w:val="00D23757"/>
    <w:rsid w:val="00D23F09"/>
    <w:rsid w:val="00D24093"/>
    <w:rsid w:val="00D240D9"/>
    <w:rsid w:val="00D24345"/>
    <w:rsid w:val="00D24F48"/>
    <w:rsid w:val="00D254AF"/>
    <w:rsid w:val="00D25558"/>
    <w:rsid w:val="00D25601"/>
    <w:rsid w:val="00D25DF7"/>
    <w:rsid w:val="00D261CC"/>
    <w:rsid w:val="00D26856"/>
    <w:rsid w:val="00D26D70"/>
    <w:rsid w:val="00D27277"/>
    <w:rsid w:val="00D2728A"/>
    <w:rsid w:val="00D27780"/>
    <w:rsid w:val="00D27D95"/>
    <w:rsid w:val="00D30029"/>
    <w:rsid w:val="00D31F19"/>
    <w:rsid w:val="00D34BB4"/>
    <w:rsid w:val="00D356B7"/>
    <w:rsid w:val="00D35B2E"/>
    <w:rsid w:val="00D35DAB"/>
    <w:rsid w:val="00D36045"/>
    <w:rsid w:val="00D367AB"/>
    <w:rsid w:val="00D371B8"/>
    <w:rsid w:val="00D374B8"/>
    <w:rsid w:val="00D376A2"/>
    <w:rsid w:val="00D4029F"/>
    <w:rsid w:val="00D40385"/>
    <w:rsid w:val="00D40681"/>
    <w:rsid w:val="00D41280"/>
    <w:rsid w:val="00D413AC"/>
    <w:rsid w:val="00D41575"/>
    <w:rsid w:val="00D41BD7"/>
    <w:rsid w:val="00D41DD6"/>
    <w:rsid w:val="00D42008"/>
    <w:rsid w:val="00D4227E"/>
    <w:rsid w:val="00D4264C"/>
    <w:rsid w:val="00D428BD"/>
    <w:rsid w:val="00D429C6"/>
    <w:rsid w:val="00D43DF9"/>
    <w:rsid w:val="00D44285"/>
    <w:rsid w:val="00D44C9A"/>
    <w:rsid w:val="00D44F20"/>
    <w:rsid w:val="00D452E2"/>
    <w:rsid w:val="00D45E73"/>
    <w:rsid w:val="00D4682B"/>
    <w:rsid w:val="00D46FEF"/>
    <w:rsid w:val="00D47126"/>
    <w:rsid w:val="00D47844"/>
    <w:rsid w:val="00D47CAB"/>
    <w:rsid w:val="00D50063"/>
    <w:rsid w:val="00D50317"/>
    <w:rsid w:val="00D50D09"/>
    <w:rsid w:val="00D50EDB"/>
    <w:rsid w:val="00D520A6"/>
    <w:rsid w:val="00D5260C"/>
    <w:rsid w:val="00D5278D"/>
    <w:rsid w:val="00D52FD7"/>
    <w:rsid w:val="00D5394D"/>
    <w:rsid w:val="00D53A79"/>
    <w:rsid w:val="00D53A94"/>
    <w:rsid w:val="00D54215"/>
    <w:rsid w:val="00D547AA"/>
    <w:rsid w:val="00D54D12"/>
    <w:rsid w:val="00D5546D"/>
    <w:rsid w:val="00D55B70"/>
    <w:rsid w:val="00D55BA2"/>
    <w:rsid w:val="00D55EFB"/>
    <w:rsid w:val="00D55F13"/>
    <w:rsid w:val="00D563AC"/>
    <w:rsid w:val="00D56554"/>
    <w:rsid w:val="00D56B5B"/>
    <w:rsid w:val="00D57A96"/>
    <w:rsid w:val="00D57AE4"/>
    <w:rsid w:val="00D57D48"/>
    <w:rsid w:val="00D57E5E"/>
    <w:rsid w:val="00D606B3"/>
    <w:rsid w:val="00D60802"/>
    <w:rsid w:val="00D6167F"/>
    <w:rsid w:val="00D617A0"/>
    <w:rsid w:val="00D61AB3"/>
    <w:rsid w:val="00D61DD3"/>
    <w:rsid w:val="00D61FAE"/>
    <w:rsid w:val="00D621EB"/>
    <w:rsid w:val="00D63114"/>
    <w:rsid w:val="00D639B1"/>
    <w:rsid w:val="00D642D9"/>
    <w:rsid w:val="00D64414"/>
    <w:rsid w:val="00D64566"/>
    <w:rsid w:val="00D64A9A"/>
    <w:rsid w:val="00D65008"/>
    <w:rsid w:val="00D6537E"/>
    <w:rsid w:val="00D65F84"/>
    <w:rsid w:val="00D6603F"/>
    <w:rsid w:val="00D662A0"/>
    <w:rsid w:val="00D669E7"/>
    <w:rsid w:val="00D67E1A"/>
    <w:rsid w:val="00D67ECD"/>
    <w:rsid w:val="00D67F38"/>
    <w:rsid w:val="00D70F8F"/>
    <w:rsid w:val="00D714A8"/>
    <w:rsid w:val="00D71D35"/>
    <w:rsid w:val="00D71E2E"/>
    <w:rsid w:val="00D71EC4"/>
    <w:rsid w:val="00D72D7B"/>
    <w:rsid w:val="00D74255"/>
    <w:rsid w:val="00D74535"/>
    <w:rsid w:val="00D749D7"/>
    <w:rsid w:val="00D75720"/>
    <w:rsid w:val="00D75E35"/>
    <w:rsid w:val="00D76451"/>
    <w:rsid w:val="00D76DFB"/>
    <w:rsid w:val="00D7725F"/>
    <w:rsid w:val="00D772CE"/>
    <w:rsid w:val="00D77EEA"/>
    <w:rsid w:val="00D808AD"/>
    <w:rsid w:val="00D812A1"/>
    <w:rsid w:val="00D81F06"/>
    <w:rsid w:val="00D821B4"/>
    <w:rsid w:val="00D8221C"/>
    <w:rsid w:val="00D82627"/>
    <w:rsid w:val="00D844E4"/>
    <w:rsid w:val="00D85482"/>
    <w:rsid w:val="00D85A30"/>
    <w:rsid w:val="00D85BC5"/>
    <w:rsid w:val="00D86FFB"/>
    <w:rsid w:val="00D873D2"/>
    <w:rsid w:val="00D87805"/>
    <w:rsid w:val="00D90204"/>
    <w:rsid w:val="00D90487"/>
    <w:rsid w:val="00D908E1"/>
    <w:rsid w:val="00D90ACD"/>
    <w:rsid w:val="00D916BE"/>
    <w:rsid w:val="00D91754"/>
    <w:rsid w:val="00D9209A"/>
    <w:rsid w:val="00D92264"/>
    <w:rsid w:val="00D935A6"/>
    <w:rsid w:val="00D93C4C"/>
    <w:rsid w:val="00D93C8E"/>
    <w:rsid w:val="00D93F8B"/>
    <w:rsid w:val="00D94555"/>
    <w:rsid w:val="00D94AB0"/>
    <w:rsid w:val="00D94E6A"/>
    <w:rsid w:val="00D95012"/>
    <w:rsid w:val="00D9631D"/>
    <w:rsid w:val="00D966E2"/>
    <w:rsid w:val="00D96852"/>
    <w:rsid w:val="00D96FA1"/>
    <w:rsid w:val="00D9777E"/>
    <w:rsid w:val="00D97DBF"/>
    <w:rsid w:val="00D97DFC"/>
    <w:rsid w:val="00D97EAD"/>
    <w:rsid w:val="00DA0370"/>
    <w:rsid w:val="00DA0BDA"/>
    <w:rsid w:val="00DA0EA5"/>
    <w:rsid w:val="00DA117C"/>
    <w:rsid w:val="00DA14DD"/>
    <w:rsid w:val="00DA173A"/>
    <w:rsid w:val="00DA1936"/>
    <w:rsid w:val="00DA1FB3"/>
    <w:rsid w:val="00DA2540"/>
    <w:rsid w:val="00DA2B70"/>
    <w:rsid w:val="00DA2D0F"/>
    <w:rsid w:val="00DA2E73"/>
    <w:rsid w:val="00DA4938"/>
    <w:rsid w:val="00DA5823"/>
    <w:rsid w:val="00DA5A6F"/>
    <w:rsid w:val="00DA626C"/>
    <w:rsid w:val="00DA65C8"/>
    <w:rsid w:val="00DA6673"/>
    <w:rsid w:val="00DA6E11"/>
    <w:rsid w:val="00DA7169"/>
    <w:rsid w:val="00DA746B"/>
    <w:rsid w:val="00DB00A2"/>
    <w:rsid w:val="00DB0725"/>
    <w:rsid w:val="00DB0DC7"/>
    <w:rsid w:val="00DB1A69"/>
    <w:rsid w:val="00DB2171"/>
    <w:rsid w:val="00DB35EE"/>
    <w:rsid w:val="00DB3713"/>
    <w:rsid w:val="00DB3F6D"/>
    <w:rsid w:val="00DB462B"/>
    <w:rsid w:val="00DB4761"/>
    <w:rsid w:val="00DB556F"/>
    <w:rsid w:val="00DB5645"/>
    <w:rsid w:val="00DB5FBA"/>
    <w:rsid w:val="00DB60C6"/>
    <w:rsid w:val="00DB6AEC"/>
    <w:rsid w:val="00DB7515"/>
    <w:rsid w:val="00DB79D4"/>
    <w:rsid w:val="00DB7D21"/>
    <w:rsid w:val="00DB7DAF"/>
    <w:rsid w:val="00DC0299"/>
    <w:rsid w:val="00DC1102"/>
    <w:rsid w:val="00DC135C"/>
    <w:rsid w:val="00DC1F9C"/>
    <w:rsid w:val="00DC2394"/>
    <w:rsid w:val="00DC3A7E"/>
    <w:rsid w:val="00DC447E"/>
    <w:rsid w:val="00DC4FE4"/>
    <w:rsid w:val="00DC55A5"/>
    <w:rsid w:val="00DC5ACE"/>
    <w:rsid w:val="00DC5AEC"/>
    <w:rsid w:val="00DC5AEE"/>
    <w:rsid w:val="00DC5CEC"/>
    <w:rsid w:val="00DC5D87"/>
    <w:rsid w:val="00DC6094"/>
    <w:rsid w:val="00DC712C"/>
    <w:rsid w:val="00DD0352"/>
    <w:rsid w:val="00DD04F3"/>
    <w:rsid w:val="00DD06EC"/>
    <w:rsid w:val="00DD0A92"/>
    <w:rsid w:val="00DD0DD3"/>
    <w:rsid w:val="00DD1300"/>
    <w:rsid w:val="00DD1ACC"/>
    <w:rsid w:val="00DD2416"/>
    <w:rsid w:val="00DD266F"/>
    <w:rsid w:val="00DD427C"/>
    <w:rsid w:val="00DD465A"/>
    <w:rsid w:val="00DD4A57"/>
    <w:rsid w:val="00DD57D6"/>
    <w:rsid w:val="00DD5C46"/>
    <w:rsid w:val="00DD6A0F"/>
    <w:rsid w:val="00DD6FB8"/>
    <w:rsid w:val="00DD7822"/>
    <w:rsid w:val="00DE0448"/>
    <w:rsid w:val="00DE0879"/>
    <w:rsid w:val="00DE0C4D"/>
    <w:rsid w:val="00DE18F9"/>
    <w:rsid w:val="00DE1ED1"/>
    <w:rsid w:val="00DE22C1"/>
    <w:rsid w:val="00DE2782"/>
    <w:rsid w:val="00DE284E"/>
    <w:rsid w:val="00DE2A92"/>
    <w:rsid w:val="00DE33A0"/>
    <w:rsid w:val="00DE413C"/>
    <w:rsid w:val="00DE4194"/>
    <w:rsid w:val="00DE44E4"/>
    <w:rsid w:val="00DE4727"/>
    <w:rsid w:val="00DE4EE1"/>
    <w:rsid w:val="00DE51EC"/>
    <w:rsid w:val="00DE5B8B"/>
    <w:rsid w:val="00DE5E3D"/>
    <w:rsid w:val="00DE6353"/>
    <w:rsid w:val="00DE6CAD"/>
    <w:rsid w:val="00DE6CEC"/>
    <w:rsid w:val="00DE726A"/>
    <w:rsid w:val="00DE7951"/>
    <w:rsid w:val="00DF09CE"/>
    <w:rsid w:val="00DF0F41"/>
    <w:rsid w:val="00DF114A"/>
    <w:rsid w:val="00DF1252"/>
    <w:rsid w:val="00DF13E0"/>
    <w:rsid w:val="00DF1756"/>
    <w:rsid w:val="00DF1AC4"/>
    <w:rsid w:val="00DF259C"/>
    <w:rsid w:val="00DF25A1"/>
    <w:rsid w:val="00DF2E98"/>
    <w:rsid w:val="00DF3895"/>
    <w:rsid w:val="00DF3F6D"/>
    <w:rsid w:val="00DF42F6"/>
    <w:rsid w:val="00DF43C9"/>
    <w:rsid w:val="00DF5000"/>
    <w:rsid w:val="00DF6F40"/>
    <w:rsid w:val="00DF733C"/>
    <w:rsid w:val="00DF7C9E"/>
    <w:rsid w:val="00E0002C"/>
    <w:rsid w:val="00E0048C"/>
    <w:rsid w:val="00E00726"/>
    <w:rsid w:val="00E01107"/>
    <w:rsid w:val="00E015A3"/>
    <w:rsid w:val="00E03156"/>
    <w:rsid w:val="00E0392C"/>
    <w:rsid w:val="00E055A6"/>
    <w:rsid w:val="00E05C77"/>
    <w:rsid w:val="00E06B5F"/>
    <w:rsid w:val="00E07CBB"/>
    <w:rsid w:val="00E07DA8"/>
    <w:rsid w:val="00E07F19"/>
    <w:rsid w:val="00E101CF"/>
    <w:rsid w:val="00E10418"/>
    <w:rsid w:val="00E11276"/>
    <w:rsid w:val="00E11EC8"/>
    <w:rsid w:val="00E13046"/>
    <w:rsid w:val="00E13073"/>
    <w:rsid w:val="00E13310"/>
    <w:rsid w:val="00E1349A"/>
    <w:rsid w:val="00E13681"/>
    <w:rsid w:val="00E13E72"/>
    <w:rsid w:val="00E14247"/>
    <w:rsid w:val="00E145CE"/>
    <w:rsid w:val="00E14E23"/>
    <w:rsid w:val="00E150FA"/>
    <w:rsid w:val="00E15248"/>
    <w:rsid w:val="00E1527A"/>
    <w:rsid w:val="00E157B8"/>
    <w:rsid w:val="00E157E1"/>
    <w:rsid w:val="00E15837"/>
    <w:rsid w:val="00E15A56"/>
    <w:rsid w:val="00E15C4D"/>
    <w:rsid w:val="00E15CEE"/>
    <w:rsid w:val="00E16211"/>
    <w:rsid w:val="00E170F7"/>
    <w:rsid w:val="00E1718F"/>
    <w:rsid w:val="00E17211"/>
    <w:rsid w:val="00E17D94"/>
    <w:rsid w:val="00E17E8F"/>
    <w:rsid w:val="00E20132"/>
    <w:rsid w:val="00E203F0"/>
    <w:rsid w:val="00E20A95"/>
    <w:rsid w:val="00E20D29"/>
    <w:rsid w:val="00E20F01"/>
    <w:rsid w:val="00E21887"/>
    <w:rsid w:val="00E21ADE"/>
    <w:rsid w:val="00E21DE6"/>
    <w:rsid w:val="00E235D1"/>
    <w:rsid w:val="00E2365B"/>
    <w:rsid w:val="00E23F0C"/>
    <w:rsid w:val="00E241C0"/>
    <w:rsid w:val="00E24622"/>
    <w:rsid w:val="00E24A29"/>
    <w:rsid w:val="00E25AFF"/>
    <w:rsid w:val="00E26BDD"/>
    <w:rsid w:val="00E2794B"/>
    <w:rsid w:val="00E2799A"/>
    <w:rsid w:val="00E30B2D"/>
    <w:rsid w:val="00E30D36"/>
    <w:rsid w:val="00E31049"/>
    <w:rsid w:val="00E317B3"/>
    <w:rsid w:val="00E31D83"/>
    <w:rsid w:val="00E32024"/>
    <w:rsid w:val="00E322EB"/>
    <w:rsid w:val="00E32C9B"/>
    <w:rsid w:val="00E32CAB"/>
    <w:rsid w:val="00E32EC7"/>
    <w:rsid w:val="00E330D0"/>
    <w:rsid w:val="00E337FE"/>
    <w:rsid w:val="00E33A63"/>
    <w:rsid w:val="00E3408F"/>
    <w:rsid w:val="00E3598E"/>
    <w:rsid w:val="00E35A56"/>
    <w:rsid w:val="00E35F4D"/>
    <w:rsid w:val="00E3612E"/>
    <w:rsid w:val="00E36315"/>
    <w:rsid w:val="00E36BC4"/>
    <w:rsid w:val="00E370EA"/>
    <w:rsid w:val="00E3752F"/>
    <w:rsid w:val="00E37962"/>
    <w:rsid w:val="00E37ADA"/>
    <w:rsid w:val="00E40159"/>
    <w:rsid w:val="00E41164"/>
    <w:rsid w:val="00E41576"/>
    <w:rsid w:val="00E420B5"/>
    <w:rsid w:val="00E424DC"/>
    <w:rsid w:val="00E424EE"/>
    <w:rsid w:val="00E4279B"/>
    <w:rsid w:val="00E4280F"/>
    <w:rsid w:val="00E42F90"/>
    <w:rsid w:val="00E42FEC"/>
    <w:rsid w:val="00E43046"/>
    <w:rsid w:val="00E432E1"/>
    <w:rsid w:val="00E444C0"/>
    <w:rsid w:val="00E44805"/>
    <w:rsid w:val="00E44CF4"/>
    <w:rsid w:val="00E45195"/>
    <w:rsid w:val="00E454CB"/>
    <w:rsid w:val="00E45691"/>
    <w:rsid w:val="00E456BB"/>
    <w:rsid w:val="00E458F8"/>
    <w:rsid w:val="00E46206"/>
    <w:rsid w:val="00E465C7"/>
    <w:rsid w:val="00E46747"/>
    <w:rsid w:val="00E46C0C"/>
    <w:rsid w:val="00E474F0"/>
    <w:rsid w:val="00E475DA"/>
    <w:rsid w:val="00E477A1"/>
    <w:rsid w:val="00E47E2F"/>
    <w:rsid w:val="00E515E1"/>
    <w:rsid w:val="00E51B02"/>
    <w:rsid w:val="00E51EFB"/>
    <w:rsid w:val="00E528C0"/>
    <w:rsid w:val="00E5320B"/>
    <w:rsid w:val="00E536B8"/>
    <w:rsid w:val="00E53A11"/>
    <w:rsid w:val="00E53BFD"/>
    <w:rsid w:val="00E54830"/>
    <w:rsid w:val="00E54B98"/>
    <w:rsid w:val="00E54DC3"/>
    <w:rsid w:val="00E54F4F"/>
    <w:rsid w:val="00E5618A"/>
    <w:rsid w:val="00E567CC"/>
    <w:rsid w:val="00E567D1"/>
    <w:rsid w:val="00E56CFA"/>
    <w:rsid w:val="00E57696"/>
    <w:rsid w:val="00E57C04"/>
    <w:rsid w:val="00E6037A"/>
    <w:rsid w:val="00E60680"/>
    <w:rsid w:val="00E61190"/>
    <w:rsid w:val="00E611A5"/>
    <w:rsid w:val="00E6128D"/>
    <w:rsid w:val="00E614BC"/>
    <w:rsid w:val="00E61EF9"/>
    <w:rsid w:val="00E61F89"/>
    <w:rsid w:val="00E622C6"/>
    <w:rsid w:val="00E62543"/>
    <w:rsid w:val="00E62A39"/>
    <w:rsid w:val="00E6401E"/>
    <w:rsid w:val="00E6426E"/>
    <w:rsid w:val="00E642DF"/>
    <w:rsid w:val="00E64638"/>
    <w:rsid w:val="00E6474F"/>
    <w:rsid w:val="00E64BAE"/>
    <w:rsid w:val="00E6561B"/>
    <w:rsid w:val="00E659C3"/>
    <w:rsid w:val="00E65CF9"/>
    <w:rsid w:val="00E66210"/>
    <w:rsid w:val="00E672E6"/>
    <w:rsid w:val="00E6730D"/>
    <w:rsid w:val="00E67A31"/>
    <w:rsid w:val="00E67CB9"/>
    <w:rsid w:val="00E67DC5"/>
    <w:rsid w:val="00E70287"/>
    <w:rsid w:val="00E70359"/>
    <w:rsid w:val="00E704D5"/>
    <w:rsid w:val="00E708EB"/>
    <w:rsid w:val="00E70E6F"/>
    <w:rsid w:val="00E71FCC"/>
    <w:rsid w:val="00E72507"/>
    <w:rsid w:val="00E725BC"/>
    <w:rsid w:val="00E72F10"/>
    <w:rsid w:val="00E73819"/>
    <w:rsid w:val="00E73B44"/>
    <w:rsid w:val="00E73D5F"/>
    <w:rsid w:val="00E73E61"/>
    <w:rsid w:val="00E74298"/>
    <w:rsid w:val="00E75031"/>
    <w:rsid w:val="00E751C8"/>
    <w:rsid w:val="00E755AE"/>
    <w:rsid w:val="00E759B1"/>
    <w:rsid w:val="00E75A9A"/>
    <w:rsid w:val="00E75D16"/>
    <w:rsid w:val="00E75E5B"/>
    <w:rsid w:val="00E7624F"/>
    <w:rsid w:val="00E7739E"/>
    <w:rsid w:val="00E774E2"/>
    <w:rsid w:val="00E77C46"/>
    <w:rsid w:val="00E80165"/>
    <w:rsid w:val="00E801D2"/>
    <w:rsid w:val="00E80D62"/>
    <w:rsid w:val="00E81295"/>
    <w:rsid w:val="00E817B1"/>
    <w:rsid w:val="00E81C80"/>
    <w:rsid w:val="00E824F2"/>
    <w:rsid w:val="00E828AA"/>
    <w:rsid w:val="00E82B25"/>
    <w:rsid w:val="00E830FA"/>
    <w:rsid w:val="00E83B81"/>
    <w:rsid w:val="00E84351"/>
    <w:rsid w:val="00E8524D"/>
    <w:rsid w:val="00E85B0C"/>
    <w:rsid w:val="00E86445"/>
    <w:rsid w:val="00E86931"/>
    <w:rsid w:val="00E86C37"/>
    <w:rsid w:val="00E86FCA"/>
    <w:rsid w:val="00E8773A"/>
    <w:rsid w:val="00E90800"/>
    <w:rsid w:val="00E90B2E"/>
    <w:rsid w:val="00E90EA7"/>
    <w:rsid w:val="00E912FA"/>
    <w:rsid w:val="00E9171A"/>
    <w:rsid w:val="00E91914"/>
    <w:rsid w:val="00E91CE7"/>
    <w:rsid w:val="00E923E5"/>
    <w:rsid w:val="00E92657"/>
    <w:rsid w:val="00E9294A"/>
    <w:rsid w:val="00E92C3E"/>
    <w:rsid w:val="00E92CB2"/>
    <w:rsid w:val="00E93503"/>
    <w:rsid w:val="00E94665"/>
    <w:rsid w:val="00E949B6"/>
    <w:rsid w:val="00E9541A"/>
    <w:rsid w:val="00E9543A"/>
    <w:rsid w:val="00E95E8F"/>
    <w:rsid w:val="00E96235"/>
    <w:rsid w:val="00E9691E"/>
    <w:rsid w:val="00E96ABD"/>
    <w:rsid w:val="00E97AB2"/>
    <w:rsid w:val="00EA04C0"/>
    <w:rsid w:val="00EA0942"/>
    <w:rsid w:val="00EA1555"/>
    <w:rsid w:val="00EA19EB"/>
    <w:rsid w:val="00EA21A4"/>
    <w:rsid w:val="00EA2713"/>
    <w:rsid w:val="00EA2E5A"/>
    <w:rsid w:val="00EA3628"/>
    <w:rsid w:val="00EA3759"/>
    <w:rsid w:val="00EA4C52"/>
    <w:rsid w:val="00EA4F6C"/>
    <w:rsid w:val="00EA5ECA"/>
    <w:rsid w:val="00EA76FB"/>
    <w:rsid w:val="00EA7858"/>
    <w:rsid w:val="00EB029C"/>
    <w:rsid w:val="00EB0836"/>
    <w:rsid w:val="00EB0A9D"/>
    <w:rsid w:val="00EB0B23"/>
    <w:rsid w:val="00EB1606"/>
    <w:rsid w:val="00EB1D91"/>
    <w:rsid w:val="00EB1DCD"/>
    <w:rsid w:val="00EB224C"/>
    <w:rsid w:val="00EB2693"/>
    <w:rsid w:val="00EB2707"/>
    <w:rsid w:val="00EB299B"/>
    <w:rsid w:val="00EB2A8D"/>
    <w:rsid w:val="00EB2C73"/>
    <w:rsid w:val="00EB368E"/>
    <w:rsid w:val="00EB479E"/>
    <w:rsid w:val="00EB4CD7"/>
    <w:rsid w:val="00EB546B"/>
    <w:rsid w:val="00EB5981"/>
    <w:rsid w:val="00EB5E6E"/>
    <w:rsid w:val="00EB6727"/>
    <w:rsid w:val="00EB72C1"/>
    <w:rsid w:val="00EC0139"/>
    <w:rsid w:val="00EC0B19"/>
    <w:rsid w:val="00EC1686"/>
    <w:rsid w:val="00EC1812"/>
    <w:rsid w:val="00EC1F20"/>
    <w:rsid w:val="00EC227D"/>
    <w:rsid w:val="00EC26A5"/>
    <w:rsid w:val="00EC2FCC"/>
    <w:rsid w:val="00EC348D"/>
    <w:rsid w:val="00EC3CE3"/>
    <w:rsid w:val="00EC3D72"/>
    <w:rsid w:val="00EC40DD"/>
    <w:rsid w:val="00EC47DA"/>
    <w:rsid w:val="00EC4A61"/>
    <w:rsid w:val="00EC54D8"/>
    <w:rsid w:val="00EC5A8D"/>
    <w:rsid w:val="00EC5F82"/>
    <w:rsid w:val="00EC6241"/>
    <w:rsid w:val="00EC6395"/>
    <w:rsid w:val="00EC6B7E"/>
    <w:rsid w:val="00EC706C"/>
    <w:rsid w:val="00EC7113"/>
    <w:rsid w:val="00EC7855"/>
    <w:rsid w:val="00ED007F"/>
    <w:rsid w:val="00ED01DC"/>
    <w:rsid w:val="00ED08E1"/>
    <w:rsid w:val="00ED0E08"/>
    <w:rsid w:val="00ED1069"/>
    <w:rsid w:val="00ED1C3E"/>
    <w:rsid w:val="00ED2204"/>
    <w:rsid w:val="00ED2275"/>
    <w:rsid w:val="00ED2859"/>
    <w:rsid w:val="00ED29C4"/>
    <w:rsid w:val="00ED29C5"/>
    <w:rsid w:val="00ED2D77"/>
    <w:rsid w:val="00ED325D"/>
    <w:rsid w:val="00ED341F"/>
    <w:rsid w:val="00ED34BF"/>
    <w:rsid w:val="00ED363A"/>
    <w:rsid w:val="00ED3F4E"/>
    <w:rsid w:val="00ED4971"/>
    <w:rsid w:val="00ED49AA"/>
    <w:rsid w:val="00ED4EC0"/>
    <w:rsid w:val="00ED5474"/>
    <w:rsid w:val="00ED5C24"/>
    <w:rsid w:val="00ED6641"/>
    <w:rsid w:val="00ED67FA"/>
    <w:rsid w:val="00ED68B4"/>
    <w:rsid w:val="00ED7E4B"/>
    <w:rsid w:val="00EE04A7"/>
    <w:rsid w:val="00EE0572"/>
    <w:rsid w:val="00EE076B"/>
    <w:rsid w:val="00EE081A"/>
    <w:rsid w:val="00EE1101"/>
    <w:rsid w:val="00EE142C"/>
    <w:rsid w:val="00EE1580"/>
    <w:rsid w:val="00EE15E9"/>
    <w:rsid w:val="00EE1896"/>
    <w:rsid w:val="00EE1B4A"/>
    <w:rsid w:val="00EE1E55"/>
    <w:rsid w:val="00EE1FA3"/>
    <w:rsid w:val="00EE20BA"/>
    <w:rsid w:val="00EE30D2"/>
    <w:rsid w:val="00EE3DA7"/>
    <w:rsid w:val="00EE3E58"/>
    <w:rsid w:val="00EE3F36"/>
    <w:rsid w:val="00EE4003"/>
    <w:rsid w:val="00EE461E"/>
    <w:rsid w:val="00EE46E4"/>
    <w:rsid w:val="00EE479F"/>
    <w:rsid w:val="00EE4970"/>
    <w:rsid w:val="00EE4FC7"/>
    <w:rsid w:val="00EE56B7"/>
    <w:rsid w:val="00EE5F91"/>
    <w:rsid w:val="00EE6858"/>
    <w:rsid w:val="00EE6A4B"/>
    <w:rsid w:val="00EE6FD7"/>
    <w:rsid w:val="00EE7732"/>
    <w:rsid w:val="00EE7D1C"/>
    <w:rsid w:val="00EE7EAD"/>
    <w:rsid w:val="00EE7EFB"/>
    <w:rsid w:val="00EF0048"/>
    <w:rsid w:val="00EF0909"/>
    <w:rsid w:val="00EF0CA6"/>
    <w:rsid w:val="00EF1AAC"/>
    <w:rsid w:val="00EF253C"/>
    <w:rsid w:val="00EF2879"/>
    <w:rsid w:val="00EF28BD"/>
    <w:rsid w:val="00EF3208"/>
    <w:rsid w:val="00EF33D8"/>
    <w:rsid w:val="00EF353C"/>
    <w:rsid w:val="00EF3724"/>
    <w:rsid w:val="00EF3D13"/>
    <w:rsid w:val="00EF4240"/>
    <w:rsid w:val="00EF6971"/>
    <w:rsid w:val="00EF6DB2"/>
    <w:rsid w:val="00EF7DE3"/>
    <w:rsid w:val="00F00A02"/>
    <w:rsid w:val="00F00D49"/>
    <w:rsid w:val="00F0165C"/>
    <w:rsid w:val="00F01D4F"/>
    <w:rsid w:val="00F02F76"/>
    <w:rsid w:val="00F03266"/>
    <w:rsid w:val="00F03377"/>
    <w:rsid w:val="00F03C8B"/>
    <w:rsid w:val="00F042D6"/>
    <w:rsid w:val="00F046F2"/>
    <w:rsid w:val="00F051B9"/>
    <w:rsid w:val="00F05F0C"/>
    <w:rsid w:val="00F06030"/>
    <w:rsid w:val="00F06EC3"/>
    <w:rsid w:val="00F070AD"/>
    <w:rsid w:val="00F0727A"/>
    <w:rsid w:val="00F07918"/>
    <w:rsid w:val="00F101D9"/>
    <w:rsid w:val="00F10D04"/>
    <w:rsid w:val="00F1260F"/>
    <w:rsid w:val="00F12F9E"/>
    <w:rsid w:val="00F132C8"/>
    <w:rsid w:val="00F13889"/>
    <w:rsid w:val="00F13898"/>
    <w:rsid w:val="00F13931"/>
    <w:rsid w:val="00F13EFD"/>
    <w:rsid w:val="00F13F13"/>
    <w:rsid w:val="00F14EE9"/>
    <w:rsid w:val="00F15116"/>
    <w:rsid w:val="00F15165"/>
    <w:rsid w:val="00F158D9"/>
    <w:rsid w:val="00F1591A"/>
    <w:rsid w:val="00F15E59"/>
    <w:rsid w:val="00F1602B"/>
    <w:rsid w:val="00F16593"/>
    <w:rsid w:val="00F16D92"/>
    <w:rsid w:val="00F16DE5"/>
    <w:rsid w:val="00F17E29"/>
    <w:rsid w:val="00F20B06"/>
    <w:rsid w:val="00F20B35"/>
    <w:rsid w:val="00F21321"/>
    <w:rsid w:val="00F215D0"/>
    <w:rsid w:val="00F21658"/>
    <w:rsid w:val="00F21A86"/>
    <w:rsid w:val="00F21D2F"/>
    <w:rsid w:val="00F22258"/>
    <w:rsid w:val="00F22428"/>
    <w:rsid w:val="00F22ECE"/>
    <w:rsid w:val="00F230AF"/>
    <w:rsid w:val="00F24818"/>
    <w:rsid w:val="00F248E6"/>
    <w:rsid w:val="00F24CBB"/>
    <w:rsid w:val="00F251AC"/>
    <w:rsid w:val="00F25565"/>
    <w:rsid w:val="00F2594D"/>
    <w:rsid w:val="00F268B7"/>
    <w:rsid w:val="00F27492"/>
    <w:rsid w:val="00F276E7"/>
    <w:rsid w:val="00F27A1D"/>
    <w:rsid w:val="00F27C75"/>
    <w:rsid w:val="00F30686"/>
    <w:rsid w:val="00F30A2A"/>
    <w:rsid w:val="00F30C59"/>
    <w:rsid w:val="00F310DB"/>
    <w:rsid w:val="00F31E7E"/>
    <w:rsid w:val="00F323BC"/>
    <w:rsid w:val="00F32866"/>
    <w:rsid w:val="00F32A46"/>
    <w:rsid w:val="00F3317F"/>
    <w:rsid w:val="00F3400C"/>
    <w:rsid w:val="00F34D33"/>
    <w:rsid w:val="00F34E6B"/>
    <w:rsid w:val="00F35A0F"/>
    <w:rsid w:val="00F35D8C"/>
    <w:rsid w:val="00F36342"/>
    <w:rsid w:val="00F36DB6"/>
    <w:rsid w:val="00F37036"/>
    <w:rsid w:val="00F37499"/>
    <w:rsid w:val="00F37B68"/>
    <w:rsid w:val="00F37FF0"/>
    <w:rsid w:val="00F401EE"/>
    <w:rsid w:val="00F408E4"/>
    <w:rsid w:val="00F4098F"/>
    <w:rsid w:val="00F410B2"/>
    <w:rsid w:val="00F41389"/>
    <w:rsid w:val="00F41485"/>
    <w:rsid w:val="00F41A0F"/>
    <w:rsid w:val="00F425F6"/>
    <w:rsid w:val="00F431D7"/>
    <w:rsid w:val="00F445E8"/>
    <w:rsid w:val="00F44D8E"/>
    <w:rsid w:val="00F45A3F"/>
    <w:rsid w:val="00F45CC7"/>
    <w:rsid w:val="00F45D04"/>
    <w:rsid w:val="00F45F52"/>
    <w:rsid w:val="00F47A59"/>
    <w:rsid w:val="00F50483"/>
    <w:rsid w:val="00F50B6B"/>
    <w:rsid w:val="00F51292"/>
    <w:rsid w:val="00F521C2"/>
    <w:rsid w:val="00F52234"/>
    <w:rsid w:val="00F52F85"/>
    <w:rsid w:val="00F5374A"/>
    <w:rsid w:val="00F53BC9"/>
    <w:rsid w:val="00F5411F"/>
    <w:rsid w:val="00F54288"/>
    <w:rsid w:val="00F54A4D"/>
    <w:rsid w:val="00F54F11"/>
    <w:rsid w:val="00F54FF3"/>
    <w:rsid w:val="00F5580A"/>
    <w:rsid w:val="00F55B17"/>
    <w:rsid w:val="00F55BAC"/>
    <w:rsid w:val="00F5659F"/>
    <w:rsid w:val="00F567E8"/>
    <w:rsid w:val="00F5781E"/>
    <w:rsid w:val="00F61139"/>
    <w:rsid w:val="00F6331B"/>
    <w:rsid w:val="00F6358B"/>
    <w:rsid w:val="00F635A4"/>
    <w:rsid w:val="00F63BAB"/>
    <w:rsid w:val="00F6478B"/>
    <w:rsid w:val="00F64C33"/>
    <w:rsid w:val="00F64CBB"/>
    <w:rsid w:val="00F64E98"/>
    <w:rsid w:val="00F6520F"/>
    <w:rsid w:val="00F65538"/>
    <w:rsid w:val="00F66C82"/>
    <w:rsid w:val="00F66E73"/>
    <w:rsid w:val="00F67712"/>
    <w:rsid w:val="00F67916"/>
    <w:rsid w:val="00F679B3"/>
    <w:rsid w:val="00F67A28"/>
    <w:rsid w:val="00F70326"/>
    <w:rsid w:val="00F705BF"/>
    <w:rsid w:val="00F7082E"/>
    <w:rsid w:val="00F70C66"/>
    <w:rsid w:val="00F71821"/>
    <w:rsid w:val="00F71A79"/>
    <w:rsid w:val="00F71B75"/>
    <w:rsid w:val="00F71BEF"/>
    <w:rsid w:val="00F721F0"/>
    <w:rsid w:val="00F72343"/>
    <w:rsid w:val="00F723DB"/>
    <w:rsid w:val="00F72ED8"/>
    <w:rsid w:val="00F7302E"/>
    <w:rsid w:val="00F738F1"/>
    <w:rsid w:val="00F73AD7"/>
    <w:rsid w:val="00F73DF5"/>
    <w:rsid w:val="00F74888"/>
    <w:rsid w:val="00F74BF5"/>
    <w:rsid w:val="00F75BB1"/>
    <w:rsid w:val="00F7655B"/>
    <w:rsid w:val="00F76ED2"/>
    <w:rsid w:val="00F7714C"/>
    <w:rsid w:val="00F775B7"/>
    <w:rsid w:val="00F7786A"/>
    <w:rsid w:val="00F800D3"/>
    <w:rsid w:val="00F803A9"/>
    <w:rsid w:val="00F81586"/>
    <w:rsid w:val="00F81591"/>
    <w:rsid w:val="00F8201B"/>
    <w:rsid w:val="00F82343"/>
    <w:rsid w:val="00F8282B"/>
    <w:rsid w:val="00F82A86"/>
    <w:rsid w:val="00F8314F"/>
    <w:rsid w:val="00F83A41"/>
    <w:rsid w:val="00F849D0"/>
    <w:rsid w:val="00F856CC"/>
    <w:rsid w:val="00F85835"/>
    <w:rsid w:val="00F85856"/>
    <w:rsid w:val="00F85867"/>
    <w:rsid w:val="00F85A8F"/>
    <w:rsid w:val="00F862FB"/>
    <w:rsid w:val="00F86431"/>
    <w:rsid w:val="00F8695D"/>
    <w:rsid w:val="00F871FE"/>
    <w:rsid w:val="00F878DE"/>
    <w:rsid w:val="00F9006C"/>
    <w:rsid w:val="00F904C6"/>
    <w:rsid w:val="00F90FD4"/>
    <w:rsid w:val="00F9123A"/>
    <w:rsid w:val="00F92A36"/>
    <w:rsid w:val="00F93383"/>
    <w:rsid w:val="00F93822"/>
    <w:rsid w:val="00F93E46"/>
    <w:rsid w:val="00F93EE0"/>
    <w:rsid w:val="00F950CA"/>
    <w:rsid w:val="00F958A2"/>
    <w:rsid w:val="00F96781"/>
    <w:rsid w:val="00F96A70"/>
    <w:rsid w:val="00F96D8E"/>
    <w:rsid w:val="00F97461"/>
    <w:rsid w:val="00F97DD6"/>
    <w:rsid w:val="00FA084D"/>
    <w:rsid w:val="00FA0BE6"/>
    <w:rsid w:val="00FA14A1"/>
    <w:rsid w:val="00FA1626"/>
    <w:rsid w:val="00FA18EA"/>
    <w:rsid w:val="00FA1B01"/>
    <w:rsid w:val="00FA27F8"/>
    <w:rsid w:val="00FA31B2"/>
    <w:rsid w:val="00FA31F9"/>
    <w:rsid w:val="00FA37F0"/>
    <w:rsid w:val="00FA43F5"/>
    <w:rsid w:val="00FA4874"/>
    <w:rsid w:val="00FA6DA7"/>
    <w:rsid w:val="00FB012E"/>
    <w:rsid w:val="00FB059A"/>
    <w:rsid w:val="00FB07D8"/>
    <w:rsid w:val="00FB0A79"/>
    <w:rsid w:val="00FB15F8"/>
    <w:rsid w:val="00FB1828"/>
    <w:rsid w:val="00FB1ABB"/>
    <w:rsid w:val="00FB2EA9"/>
    <w:rsid w:val="00FB344C"/>
    <w:rsid w:val="00FB38D8"/>
    <w:rsid w:val="00FB3C75"/>
    <w:rsid w:val="00FB4029"/>
    <w:rsid w:val="00FB512C"/>
    <w:rsid w:val="00FB5502"/>
    <w:rsid w:val="00FB591D"/>
    <w:rsid w:val="00FB680E"/>
    <w:rsid w:val="00FB6B19"/>
    <w:rsid w:val="00FB70E5"/>
    <w:rsid w:val="00FB745D"/>
    <w:rsid w:val="00FB7CFB"/>
    <w:rsid w:val="00FB7CFD"/>
    <w:rsid w:val="00FB7FA3"/>
    <w:rsid w:val="00FC0DC6"/>
    <w:rsid w:val="00FC1819"/>
    <w:rsid w:val="00FC1834"/>
    <w:rsid w:val="00FC21F1"/>
    <w:rsid w:val="00FC28CA"/>
    <w:rsid w:val="00FC2A66"/>
    <w:rsid w:val="00FC4747"/>
    <w:rsid w:val="00FC5123"/>
    <w:rsid w:val="00FC5437"/>
    <w:rsid w:val="00FC5518"/>
    <w:rsid w:val="00FC57D7"/>
    <w:rsid w:val="00FC5ABF"/>
    <w:rsid w:val="00FC6315"/>
    <w:rsid w:val="00FC6770"/>
    <w:rsid w:val="00FD029F"/>
    <w:rsid w:val="00FD041A"/>
    <w:rsid w:val="00FD1515"/>
    <w:rsid w:val="00FD1D0C"/>
    <w:rsid w:val="00FD1F98"/>
    <w:rsid w:val="00FD22C4"/>
    <w:rsid w:val="00FD248A"/>
    <w:rsid w:val="00FD24A9"/>
    <w:rsid w:val="00FD28E5"/>
    <w:rsid w:val="00FD297C"/>
    <w:rsid w:val="00FD29BF"/>
    <w:rsid w:val="00FD3164"/>
    <w:rsid w:val="00FD3408"/>
    <w:rsid w:val="00FD43C1"/>
    <w:rsid w:val="00FD44B2"/>
    <w:rsid w:val="00FD4913"/>
    <w:rsid w:val="00FD4959"/>
    <w:rsid w:val="00FD4C3A"/>
    <w:rsid w:val="00FD55A8"/>
    <w:rsid w:val="00FD5EEE"/>
    <w:rsid w:val="00FD61B5"/>
    <w:rsid w:val="00FD746F"/>
    <w:rsid w:val="00FD794A"/>
    <w:rsid w:val="00FD7D6F"/>
    <w:rsid w:val="00FE014F"/>
    <w:rsid w:val="00FE02B9"/>
    <w:rsid w:val="00FE0323"/>
    <w:rsid w:val="00FE05AA"/>
    <w:rsid w:val="00FE0768"/>
    <w:rsid w:val="00FE0969"/>
    <w:rsid w:val="00FE14E4"/>
    <w:rsid w:val="00FE32B2"/>
    <w:rsid w:val="00FE3368"/>
    <w:rsid w:val="00FE35B6"/>
    <w:rsid w:val="00FE3C09"/>
    <w:rsid w:val="00FE3D03"/>
    <w:rsid w:val="00FE41EE"/>
    <w:rsid w:val="00FE4712"/>
    <w:rsid w:val="00FE65B8"/>
    <w:rsid w:val="00FE707F"/>
    <w:rsid w:val="00FE7269"/>
    <w:rsid w:val="00FE7708"/>
    <w:rsid w:val="00FE7AF9"/>
    <w:rsid w:val="00FE7CB0"/>
    <w:rsid w:val="00FF030F"/>
    <w:rsid w:val="00FF0732"/>
    <w:rsid w:val="00FF2290"/>
    <w:rsid w:val="00FF22B1"/>
    <w:rsid w:val="00FF2963"/>
    <w:rsid w:val="00FF3140"/>
    <w:rsid w:val="00FF40A2"/>
    <w:rsid w:val="00FF4485"/>
    <w:rsid w:val="00FF5944"/>
    <w:rsid w:val="00FF600A"/>
    <w:rsid w:val="00FF609A"/>
    <w:rsid w:val="00FF631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43"/>
    <w:rPr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59446C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9446C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9446C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59446C"/>
    <w:pPr>
      <w:keepNext/>
      <w:jc w:val="right"/>
      <w:outlineLvl w:val="3"/>
    </w:pPr>
    <w:rPr>
      <w:rFonts w:ascii="Monotype Corsiva" w:hAnsi="Monotype Corsiva" w:cs="Tahoma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59446C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446C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446C"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446C"/>
    <w:pPr>
      <w:keepNext/>
      <w:spacing w:line="360" w:lineRule="auto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446C"/>
    <w:pPr>
      <w:keepNext/>
      <w:spacing w:line="360" w:lineRule="auto"/>
      <w:jc w:val="right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1B2F"/>
    <w:rPr>
      <w:sz w:val="28"/>
      <w:szCs w:val="28"/>
      <w:lang w:bidi="ar-EG"/>
    </w:rPr>
  </w:style>
  <w:style w:type="character" w:customStyle="1" w:styleId="Heading2Char">
    <w:name w:val="Heading 2 Char"/>
    <w:link w:val="Heading2"/>
    <w:rsid w:val="007A1B2F"/>
    <w:rPr>
      <w:b/>
      <w:bCs/>
      <w:sz w:val="36"/>
      <w:szCs w:val="36"/>
      <w:lang w:bidi="ar-EG"/>
    </w:rPr>
  </w:style>
  <w:style w:type="character" w:customStyle="1" w:styleId="Heading3Char">
    <w:name w:val="Heading 3 Char"/>
    <w:link w:val="Heading3"/>
    <w:rsid w:val="007A1B2F"/>
    <w:rPr>
      <w:b/>
      <w:bCs/>
      <w:sz w:val="36"/>
      <w:szCs w:val="36"/>
      <w:lang w:bidi="ar-EG"/>
    </w:rPr>
  </w:style>
  <w:style w:type="character" w:customStyle="1" w:styleId="Heading4Char">
    <w:name w:val="Heading 4 Char"/>
    <w:link w:val="Heading4"/>
    <w:rsid w:val="007A1B2F"/>
    <w:rPr>
      <w:rFonts w:ascii="Monotype Corsiva" w:hAnsi="Monotype Corsiva" w:cs="Tahoma"/>
      <w:b/>
      <w:bCs/>
      <w:sz w:val="40"/>
      <w:szCs w:val="40"/>
      <w:lang w:bidi="ar-EG"/>
    </w:rPr>
  </w:style>
  <w:style w:type="character" w:customStyle="1" w:styleId="Heading5Char">
    <w:name w:val="Heading 5 Char"/>
    <w:link w:val="Heading5"/>
    <w:rsid w:val="007A1B2F"/>
    <w:rPr>
      <w:b/>
      <w:bCs/>
      <w:sz w:val="28"/>
      <w:szCs w:val="28"/>
      <w:lang w:bidi="ar-EG"/>
    </w:rPr>
  </w:style>
  <w:style w:type="character" w:customStyle="1" w:styleId="Heading6Char">
    <w:name w:val="Heading 6 Char"/>
    <w:link w:val="Heading6"/>
    <w:rsid w:val="007A1B2F"/>
    <w:rPr>
      <w:sz w:val="28"/>
      <w:szCs w:val="28"/>
      <w:lang w:bidi="ar-EG"/>
    </w:rPr>
  </w:style>
  <w:style w:type="character" w:customStyle="1" w:styleId="Heading7Char">
    <w:name w:val="Heading 7 Char"/>
    <w:link w:val="Heading7"/>
    <w:uiPriority w:val="99"/>
    <w:rsid w:val="007A1B2F"/>
    <w:rPr>
      <w:sz w:val="36"/>
      <w:szCs w:val="36"/>
      <w:lang w:bidi="ar-EG"/>
    </w:rPr>
  </w:style>
  <w:style w:type="character" w:customStyle="1" w:styleId="Heading8Char">
    <w:name w:val="Heading 8 Char"/>
    <w:link w:val="Heading8"/>
    <w:uiPriority w:val="99"/>
    <w:rsid w:val="007A1B2F"/>
    <w:rPr>
      <w:b/>
      <w:bCs/>
      <w:sz w:val="40"/>
      <w:szCs w:val="40"/>
      <w:lang w:bidi="ar-EG"/>
    </w:rPr>
  </w:style>
  <w:style w:type="character" w:customStyle="1" w:styleId="Heading9Char">
    <w:name w:val="Heading 9 Char"/>
    <w:link w:val="Heading9"/>
    <w:uiPriority w:val="99"/>
    <w:rsid w:val="007A1B2F"/>
    <w:rPr>
      <w:b/>
      <w:bCs/>
      <w:sz w:val="28"/>
      <w:szCs w:val="28"/>
      <w:lang w:bidi="ar-EG"/>
    </w:rPr>
  </w:style>
  <w:style w:type="paragraph" w:styleId="BodyText">
    <w:name w:val="Body Text"/>
    <w:basedOn w:val="Normal"/>
    <w:link w:val="BodyTextChar"/>
    <w:uiPriority w:val="99"/>
    <w:rsid w:val="0059446C"/>
    <w:pPr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link w:val="BodyText"/>
    <w:uiPriority w:val="99"/>
    <w:rsid w:val="007A1B2F"/>
    <w:rPr>
      <w:b/>
      <w:bCs/>
      <w:sz w:val="36"/>
      <w:szCs w:val="36"/>
      <w:lang w:bidi="ar-EG"/>
    </w:rPr>
  </w:style>
  <w:style w:type="paragraph" w:styleId="BodyText2">
    <w:name w:val="Body Text 2"/>
    <w:basedOn w:val="Normal"/>
    <w:link w:val="BodyText2Char"/>
    <w:uiPriority w:val="99"/>
    <w:rsid w:val="0059446C"/>
    <w:pPr>
      <w:spacing w:line="360" w:lineRule="auto"/>
      <w:jc w:val="lowKashida"/>
    </w:pPr>
    <w:rPr>
      <w:sz w:val="28"/>
      <w:szCs w:val="28"/>
    </w:rPr>
  </w:style>
  <w:style w:type="character" w:customStyle="1" w:styleId="BodyText2Char">
    <w:name w:val="Body Text 2 Char"/>
    <w:link w:val="BodyText2"/>
    <w:uiPriority w:val="99"/>
    <w:rsid w:val="007A1B2F"/>
    <w:rPr>
      <w:sz w:val="28"/>
      <w:szCs w:val="28"/>
      <w:lang w:bidi="ar-EG"/>
    </w:rPr>
  </w:style>
  <w:style w:type="paragraph" w:styleId="Caption">
    <w:name w:val="caption"/>
    <w:basedOn w:val="Normal"/>
    <w:next w:val="Normal"/>
    <w:uiPriority w:val="99"/>
    <w:qFormat/>
    <w:rsid w:val="0059446C"/>
    <w:pPr>
      <w:spacing w:line="360" w:lineRule="auto"/>
    </w:pPr>
    <w:rPr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59446C"/>
    <w:rPr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rsid w:val="007A1B2F"/>
    <w:rPr>
      <w:b/>
      <w:bCs/>
      <w:sz w:val="28"/>
      <w:szCs w:val="28"/>
      <w:lang w:bidi="ar-EG"/>
    </w:rPr>
  </w:style>
  <w:style w:type="paragraph" w:styleId="Header">
    <w:name w:val="header"/>
    <w:basedOn w:val="Normal"/>
    <w:link w:val="HeaderChar"/>
    <w:uiPriority w:val="99"/>
    <w:rsid w:val="0059446C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link w:val="Header"/>
    <w:uiPriority w:val="99"/>
    <w:rsid w:val="007A1B2F"/>
    <w:rPr>
      <w:rFonts w:cs="Traditional Arabic"/>
      <w:noProof/>
      <w:lang w:bidi="ar-EG"/>
    </w:rPr>
  </w:style>
  <w:style w:type="character" w:styleId="Strong">
    <w:name w:val="Strong"/>
    <w:uiPriority w:val="22"/>
    <w:qFormat/>
    <w:rsid w:val="0059446C"/>
    <w:rPr>
      <w:b/>
      <w:bCs/>
    </w:rPr>
  </w:style>
  <w:style w:type="character" w:customStyle="1" w:styleId="indent">
    <w:name w:val="indent"/>
    <w:basedOn w:val="DefaultParagraphFont"/>
    <w:rsid w:val="0059446C"/>
  </w:style>
  <w:style w:type="table" w:styleId="TableGrid">
    <w:name w:val="Table Grid"/>
    <w:basedOn w:val="TableNormal"/>
    <w:uiPriority w:val="59"/>
    <w:rsid w:val="002724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s">
    <w:name w:val="references"/>
    <w:basedOn w:val="DefaultParagraphFont"/>
    <w:rsid w:val="00E41164"/>
  </w:style>
  <w:style w:type="character" w:customStyle="1" w:styleId="flag">
    <w:name w:val="flag"/>
    <w:basedOn w:val="DefaultParagraphFont"/>
    <w:rsid w:val="00E41164"/>
  </w:style>
  <w:style w:type="character" w:customStyle="1" w:styleId="authornames">
    <w:name w:val="authornames"/>
    <w:basedOn w:val="DefaultParagraphFont"/>
    <w:rsid w:val="00E41164"/>
  </w:style>
  <w:style w:type="character" w:styleId="Hyperlink">
    <w:name w:val="Hyperlink"/>
    <w:uiPriority w:val="99"/>
    <w:unhideWhenUsed/>
    <w:rsid w:val="00E41164"/>
    <w:rPr>
      <w:color w:val="0000FF"/>
      <w:u w:val="single"/>
    </w:rPr>
  </w:style>
  <w:style w:type="character" w:customStyle="1" w:styleId="spanplus">
    <w:name w:val="spanplus"/>
    <w:basedOn w:val="DefaultParagraphFont"/>
    <w:rsid w:val="00E41164"/>
  </w:style>
  <w:style w:type="paragraph" w:styleId="NormalWeb">
    <w:name w:val="Normal (Web)"/>
    <w:basedOn w:val="Normal"/>
    <w:uiPriority w:val="99"/>
    <w:unhideWhenUsed/>
    <w:rsid w:val="00E41164"/>
    <w:pPr>
      <w:spacing w:before="100" w:beforeAutospacing="1" w:after="100" w:afterAutospacing="1"/>
    </w:pPr>
  </w:style>
  <w:style w:type="paragraph" w:customStyle="1" w:styleId="para">
    <w:name w:val="para"/>
    <w:basedOn w:val="Normal"/>
    <w:uiPriority w:val="99"/>
    <w:rsid w:val="00E41164"/>
    <w:pPr>
      <w:spacing w:before="100" w:beforeAutospacing="1" w:after="100" w:afterAutospacing="1"/>
    </w:pPr>
  </w:style>
  <w:style w:type="character" w:customStyle="1" w:styleId="table">
    <w:name w:val="table"/>
    <w:basedOn w:val="DefaultParagraphFont"/>
    <w:rsid w:val="00E41164"/>
  </w:style>
  <w:style w:type="character" w:customStyle="1" w:styleId="figurelabel">
    <w:name w:val="figurelabel"/>
    <w:basedOn w:val="DefaultParagraphFont"/>
    <w:rsid w:val="00E41164"/>
  </w:style>
  <w:style w:type="character" w:customStyle="1" w:styleId="figurecaption">
    <w:name w:val="figurecaption"/>
    <w:basedOn w:val="DefaultParagraphFont"/>
    <w:rsid w:val="00E41164"/>
  </w:style>
  <w:style w:type="character" w:customStyle="1" w:styleId="lblsubtitle">
    <w:name w:val="lblsubtitle"/>
    <w:basedOn w:val="DefaultParagraphFont"/>
    <w:rsid w:val="00B076CF"/>
  </w:style>
  <w:style w:type="character" w:customStyle="1" w:styleId="pubmedlink">
    <w:name w:val="pubmedlink"/>
    <w:basedOn w:val="DefaultParagraphFont"/>
    <w:rsid w:val="00BC2269"/>
  </w:style>
  <w:style w:type="character" w:customStyle="1" w:styleId="crossrefdoi">
    <w:name w:val="crossrefdoi"/>
    <w:basedOn w:val="DefaultParagraphFont"/>
    <w:rsid w:val="00BC2269"/>
  </w:style>
  <w:style w:type="paragraph" w:styleId="Footer">
    <w:name w:val="footer"/>
    <w:basedOn w:val="Normal"/>
    <w:link w:val="FooterChar"/>
    <w:uiPriority w:val="99"/>
    <w:rsid w:val="00BE32D6"/>
    <w:pPr>
      <w:tabs>
        <w:tab w:val="center" w:pos="4153"/>
        <w:tab w:val="right" w:pos="8306"/>
      </w:tabs>
    </w:pPr>
    <w:rPr>
      <w:lang w:eastAsia="ar-SA" w:bidi="ar-SA"/>
    </w:rPr>
  </w:style>
  <w:style w:type="character" w:customStyle="1" w:styleId="FooterChar">
    <w:name w:val="Footer Char"/>
    <w:link w:val="Footer"/>
    <w:uiPriority w:val="99"/>
    <w:rsid w:val="00BE32D6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4E41C5"/>
    <w:rPr>
      <w:i/>
      <w:iCs/>
    </w:rPr>
  </w:style>
  <w:style w:type="character" w:customStyle="1" w:styleId="name">
    <w:name w:val="name"/>
    <w:basedOn w:val="DefaultParagraphFont"/>
    <w:rsid w:val="002440D1"/>
  </w:style>
  <w:style w:type="character" w:customStyle="1" w:styleId="collab">
    <w:name w:val="collab"/>
    <w:basedOn w:val="DefaultParagraphFont"/>
    <w:rsid w:val="002440D1"/>
  </w:style>
  <w:style w:type="character" w:styleId="HTMLCite">
    <w:name w:val="HTML Cite"/>
    <w:uiPriority w:val="99"/>
    <w:unhideWhenUsed/>
    <w:rsid w:val="002440D1"/>
    <w:rPr>
      <w:i/>
      <w:iCs/>
    </w:rPr>
  </w:style>
  <w:style w:type="character" w:customStyle="1" w:styleId="slug-pub-date">
    <w:name w:val="slug-pub-date"/>
    <w:basedOn w:val="DefaultParagraphFont"/>
    <w:rsid w:val="002440D1"/>
  </w:style>
  <w:style w:type="character" w:customStyle="1" w:styleId="slug-vol">
    <w:name w:val="slug-vol"/>
    <w:basedOn w:val="DefaultParagraphFont"/>
    <w:rsid w:val="002440D1"/>
  </w:style>
  <w:style w:type="character" w:customStyle="1" w:styleId="slug-issue">
    <w:name w:val="slug-issue"/>
    <w:basedOn w:val="DefaultParagraphFont"/>
    <w:rsid w:val="002440D1"/>
  </w:style>
  <w:style w:type="character" w:customStyle="1" w:styleId="slug-pages">
    <w:name w:val="slug-pages"/>
    <w:basedOn w:val="DefaultParagraphFont"/>
    <w:rsid w:val="002440D1"/>
  </w:style>
  <w:style w:type="character" w:customStyle="1" w:styleId="slug-doi-wrapper">
    <w:name w:val="slug-doi-wrapper"/>
    <w:basedOn w:val="DefaultParagraphFont"/>
    <w:rsid w:val="002440D1"/>
  </w:style>
  <w:style w:type="character" w:customStyle="1" w:styleId="slug-doi">
    <w:name w:val="slug-doi"/>
    <w:basedOn w:val="DefaultParagraphFont"/>
    <w:rsid w:val="002440D1"/>
  </w:style>
  <w:style w:type="character" w:customStyle="1" w:styleId="issue-title">
    <w:name w:val="issue-title"/>
    <w:basedOn w:val="DefaultParagraphFont"/>
    <w:rsid w:val="002440D1"/>
  </w:style>
  <w:style w:type="paragraph" w:customStyle="1" w:styleId="Default">
    <w:name w:val="Default"/>
    <w:uiPriority w:val="99"/>
    <w:rsid w:val="009179AE"/>
    <w:pPr>
      <w:autoSpaceDE w:val="0"/>
      <w:autoSpaceDN w:val="0"/>
      <w:adjustRightInd w:val="0"/>
    </w:pPr>
    <w:rPr>
      <w:rFonts w:ascii="Janson Text LT" w:hAnsi="Janson Text LT" w:cs="Janson Text LT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179AE"/>
    <w:rPr>
      <w:rFonts w:cs="Janson Text LT"/>
      <w:color w:val="000000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C23F5"/>
    <w:rPr>
      <w:rFonts w:cs="Janson Text LT"/>
      <w:color w:val="000000"/>
    </w:rPr>
  </w:style>
  <w:style w:type="paragraph" w:customStyle="1" w:styleId="Pa27">
    <w:name w:val="Pa27"/>
    <w:basedOn w:val="Default"/>
    <w:next w:val="Default"/>
    <w:uiPriority w:val="99"/>
    <w:rsid w:val="00B2315E"/>
    <w:pPr>
      <w:spacing w:line="241" w:lineRule="atLeast"/>
    </w:pPr>
    <w:rPr>
      <w:rFonts w:cs="Times New Roman"/>
      <w:color w:val="auto"/>
    </w:rPr>
  </w:style>
  <w:style w:type="character" w:customStyle="1" w:styleId="cit">
    <w:name w:val="cit"/>
    <w:basedOn w:val="DefaultParagraphFont"/>
    <w:rsid w:val="009D3E68"/>
  </w:style>
  <w:style w:type="paragraph" w:customStyle="1" w:styleId="Pa10">
    <w:name w:val="Pa10"/>
    <w:basedOn w:val="Default"/>
    <w:next w:val="Default"/>
    <w:uiPriority w:val="99"/>
    <w:rsid w:val="00865BA6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4139A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E567D1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B3F10"/>
    <w:pPr>
      <w:spacing w:line="181" w:lineRule="atLeast"/>
    </w:pPr>
    <w:rPr>
      <w:rFonts w:ascii="Times" w:hAnsi="Times" w:cs="Times"/>
      <w:color w:val="auto"/>
    </w:rPr>
  </w:style>
  <w:style w:type="character" w:customStyle="1" w:styleId="A7">
    <w:name w:val="A7"/>
    <w:uiPriority w:val="99"/>
    <w:rsid w:val="001B3F10"/>
    <w:rPr>
      <w:color w:val="000000"/>
      <w:sz w:val="18"/>
      <w:szCs w:val="18"/>
    </w:rPr>
  </w:style>
  <w:style w:type="character" w:customStyle="1" w:styleId="element-citation">
    <w:name w:val="element-citation"/>
    <w:basedOn w:val="DefaultParagraphFont"/>
    <w:rsid w:val="00414237"/>
  </w:style>
  <w:style w:type="character" w:customStyle="1" w:styleId="ref-journal">
    <w:name w:val="ref-journal"/>
    <w:basedOn w:val="DefaultParagraphFont"/>
    <w:rsid w:val="00414237"/>
  </w:style>
  <w:style w:type="character" w:customStyle="1" w:styleId="ref-vol">
    <w:name w:val="ref-vol"/>
    <w:basedOn w:val="DefaultParagraphFont"/>
    <w:rsid w:val="00D50D09"/>
  </w:style>
  <w:style w:type="character" w:customStyle="1" w:styleId="citation">
    <w:name w:val="citation"/>
    <w:basedOn w:val="DefaultParagraphFont"/>
    <w:rsid w:val="000A7A8B"/>
  </w:style>
  <w:style w:type="paragraph" w:customStyle="1" w:styleId="Pa11">
    <w:name w:val="Pa11"/>
    <w:basedOn w:val="Default"/>
    <w:next w:val="Default"/>
    <w:uiPriority w:val="99"/>
    <w:rsid w:val="000E5238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91747A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1710C"/>
    <w:pPr>
      <w:spacing w:line="201" w:lineRule="atLeast"/>
    </w:pPr>
    <w:rPr>
      <w:rFonts w:ascii="Rotis SansSerif Std Light" w:hAnsi="Rotis SansSerif Std Light" w:cs="Times New Roman"/>
      <w:color w:val="auto"/>
    </w:rPr>
  </w:style>
  <w:style w:type="paragraph" w:customStyle="1" w:styleId="Pa7">
    <w:name w:val="Pa7"/>
    <w:basedOn w:val="Normal"/>
    <w:next w:val="Normal"/>
    <w:uiPriority w:val="99"/>
    <w:rsid w:val="004752EA"/>
    <w:pPr>
      <w:autoSpaceDE w:val="0"/>
      <w:autoSpaceDN w:val="0"/>
      <w:adjustRightInd w:val="0"/>
      <w:spacing w:line="201" w:lineRule="atLeast"/>
    </w:pPr>
    <w:rPr>
      <w:rFonts w:ascii="Franklin Gothic Book" w:eastAsia="Times New Roman" w:hAnsi="Franklin Gothic Book" w:cs="Arial"/>
      <w:lang w:bidi="ar-SA"/>
    </w:rPr>
  </w:style>
  <w:style w:type="character" w:customStyle="1" w:styleId="algo-summary">
    <w:name w:val="algo-summary"/>
    <w:basedOn w:val="DefaultParagraphFont"/>
    <w:rsid w:val="004752EA"/>
  </w:style>
  <w:style w:type="paragraph" w:styleId="NoSpacing">
    <w:name w:val="No Spacing"/>
    <w:link w:val="NoSpacingChar"/>
    <w:qFormat/>
    <w:rsid w:val="008F3EDE"/>
    <w:pPr>
      <w:bidi/>
    </w:pPr>
    <w:rPr>
      <w:rFonts w:ascii="Calibri" w:hAnsi="Calibri" w:cs="Arial"/>
      <w:sz w:val="22"/>
      <w:szCs w:val="22"/>
      <w:lang w:eastAsia="en-US"/>
    </w:rPr>
  </w:style>
  <w:style w:type="character" w:customStyle="1" w:styleId="cit-source">
    <w:name w:val="cit-source"/>
    <w:basedOn w:val="DefaultParagraphFont"/>
    <w:rsid w:val="00145469"/>
  </w:style>
  <w:style w:type="character" w:customStyle="1" w:styleId="cit-pub-date">
    <w:name w:val="cit-pub-date"/>
    <w:basedOn w:val="DefaultParagraphFont"/>
    <w:rsid w:val="00145469"/>
  </w:style>
  <w:style w:type="character" w:customStyle="1" w:styleId="cit-vol">
    <w:name w:val="cit-vol"/>
    <w:basedOn w:val="DefaultParagraphFont"/>
    <w:rsid w:val="00145469"/>
  </w:style>
  <w:style w:type="character" w:customStyle="1" w:styleId="cit-fpage">
    <w:name w:val="cit-fpage"/>
    <w:basedOn w:val="DefaultParagraphFont"/>
    <w:rsid w:val="00145469"/>
  </w:style>
  <w:style w:type="character" w:customStyle="1" w:styleId="st">
    <w:name w:val="st"/>
    <w:basedOn w:val="DefaultParagraphFont"/>
    <w:rsid w:val="00223822"/>
  </w:style>
  <w:style w:type="character" w:styleId="CommentReference">
    <w:name w:val="annotation reference"/>
    <w:rsid w:val="00A765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5DD"/>
    <w:rPr>
      <w:sz w:val="20"/>
      <w:szCs w:val="20"/>
    </w:rPr>
  </w:style>
  <w:style w:type="character" w:customStyle="1" w:styleId="CommentTextChar">
    <w:name w:val="Comment Text Char"/>
    <w:link w:val="CommentText"/>
    <w:rsid w:val="00A765DD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rsid w:val="00A765DD"/>
    <w:rPr>
      <w:b/>
      <w:bCs/>
    </w:rPr>
  </w:style>
  <w:style w:type="character" w:customStyle="1" w:styleId="CommentSubjectChar">
    <w:name w:val="Comment Subject Char"/>
    <w:link w:val="CommentSubject"/>
    <w:rsid w:val="00A765DD"/>
    <w:rPr>
      <w:b/>
      <w:bCs/>
      <w:lang w:bidi="ar-EG"/>
    </w:rPr>
  </w:style>
  <w:style w:type="paragraph" w:styleId="BalloonText">
    <w:name w:val="Balloon Text"/>
    <w:basedOn w:val="Normal"/>
    <w:link w:val="BalloonTextChar"/>
    <w:rsid w:val="00A7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5DD"/>
    <w:rPr>
      <w:rFonts w:ascii="Tahoma" w:hAnsi="Tahoma" w:cs="Tahoma"/>
      <w:sz w:val="16"/>
      <w:szCs w:val="16"/>
      <w:lang w:bidi="ar-EG"/>
    </w:rPr>
  </w:style>
  <w:style w:type="character" w:customStyle="1" w:styleId="highlight">
    <w:name w:val="highlight"/>
    <w:rsid w:val="00451314"/>
  </w:style>
  <w:style w:type="character" w:customStyle="1" w:styleId="apple-converted-space">
    <w:name w:val="apple-converted-space"/>
    <w:rsid w:val="00451314"/>
  </w:style>
  <w:style w:type="paragraph" w:customStyle="1" w:styleId="desc">
    <w:name w:val="desc"/>
    <w:basedOn w:val="Normal"/>
    <w:rsid w:val="005A0320"/>
    <w:pPr>
      <w:spacing w:before="100" w:beforeAutospacing="1" w:after="100" w:afterAutospacing="1"/>
    </w:pPr>
    <w:rPr>
      <w:lang w:bidi="ar-SA"/>
    </w:rPr>
  </w:style>
  <w:style w:type="paragraph" w:customStyle="1" w:styleId="details">
    <w:name w:val="details"/>
    <w:basedOn w:val="Normal"/>
    <w:rsid w:val="005A0320"/>
    <w:pPr>
      <w:spacing w:before="100" w:beforeAutospacing="1" w:after="100" w:afterAutospacing="1"/>
    </w:pPr>
    <w:rPr>
      <w:lang w:bidi="ar-SA"/>
    </w:rPr>
  </w:style>
  <w:style w:type="character" w:customStyle="1" w:styleId="jrnl">
    <w:name w:val="jrnl"/>
    <w:rsid w:val="005A0320"/>
  </w:style>
  <w:style w:type="character" w:customStyle="1" w:styleId="NoSpacingChar">
    <w:name w:val="No Spacing Char"/>
    <w:basedOn w:val="DefaultParagraphFont"/>
    <w:link w:val="NoSpacing"/>
    <w:locked/>
    <w:rsid w:val="002B2928"/>
    <w:rPr>
      <w:rFonts w:ascii="Calibri" w:hAnsi="Calibri" w:cs="Arial"/>
      <w:sz w:val="22"/>
      <w:szCs w:val="22"/>
      <w:lang w:eastAsia="en-US"/>
    </w:rPr>
  </w:style>
  <w:style w:type="character" w:customStyle="1" w:styleId="msonormal0">
    <w:name w:val="msonormal0"/>
    <w:basedOn w:val="DefaultParagraphFont"/>
    <w:rsid w:val="002B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2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1.pn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x.doi.org/10.7537/marscbj060416.05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10" Type="http://schemas.openxmlformats.org/officeDocument/2006/relationships/hyperlink" Target="http://www.cancerbio.net" TargetMode="Externa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laamaria1@hotmail.com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CE7B-C0F8-4F9C-B89D-00359E96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نتاناهلا</vt:lpstr>
    </vt:vector>
  </TitlesOfParts>
  <Company>China</Company>
  <LinksUpToDate>false</LinksUpToDate>
  <CharactersWithSpaces>28718</CharactersWithSpaces>
  <SharedDoc>false</SharedDoc>
  <HLinks>
    <vt:vector size="12" baseType="variant"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mailto:alaamaria1@hotmail.com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نتاناهلا</dc:title>
  <dc:creator>dr.mohamed</dc:creator>
  <cp:lastModifiedBy>hp</cp:lastModifiedBy>
  <cp:revision>60</cp:revision>
  <dcterms:created xsi:type="dcterms:W3CDTF">2019-03-12T09:17:00Z</dcterms:created>
  <dcterms:modified xsi:type="dcterms:W3CDTF">2019-03-27T22:52:00Z</dcterms:modified>
</cp:coreProperties>
</file>