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92" w:rsidRPr="001C1ABA" w:rsidRDefault="007E2857" w:rsidP="008272B1">
      <w:pPr>
        <w:adjustRightInd w:val="0"/>
        <w:snapToGrid w:val="0"/>
        <w:spacing w:after="0" w:line="240" w:lineRule="auto"/>
        <w:jc w:val="center"/>
        <w:rPr>
          <w:rFonts w:ascii="Times New Roman" w:hAnsi="Times New Roman" w:cs="Times New Roman"/>
          <w:b/>
          <w:bCs/>
          <w:sz w:val="20"/>
          <w:szCs w:val="20"/>
        </w:rPr>
      </w:pPr>
      <w:r w:rsidRPr="001C1ABA">
        <w:rPr>
          <w:rFonts w:ascii="Times New Roman" w:hAnsi="Times New Roman" w:cs="Times New Roman"/>
          <w:b/>
          <w:bCs/>
          <w:sz w:val="20"/>
          <w:szCs w:val="20"/>
        </w:rPr>
        <w:t>Evaluation</w:t>
      </w:r>
      <w:r w:rsidR="00EC0D92" w:rsidRPr="001C1ABA">
        <w:rPr>
          <w:rFonts w:ascii="Times New Roman" w:hAnsi="Times New Roman" w:cs="Times New Roman"/>
          <w:b/>
          <w:bCs/>
          <w:sz w:val="20"/>
          <w:szCs w:val="20"/>
        </w:rPr>
        <w:t xml:space="preserve"> of TAZ and PKM2 expression in gas</w:t>
      </w:r>
      <w:r w:rsidR="00444D26" w:rsidRPr="001C1ABA">
        <w:rPr>
          <w:rFonts w:ascii="Times New Roman" w:hAnsi="Times New Roman" w:cs="Times New Roman"/>
          <w:b/>
          <w:bCs/>
          <w:sz w:val="20"/>
          <w:szCs w:val="20"/>
        </w:rPr>
        <w:t>tric signet ring cell carcinoma</w:t>
      </w:r>
    </w:p>
    <w:p w:rsidR="0044451A" w:rsidRPr="001C1ABA" w:rsidRDefault="0044451A" w:rsidP="008272B1">
      <w:pPr>
        <w:adjustRightInd w:val="0"/>
        <w:snapToGrid w:val="0"/>
        <w:spacing w:after="0" w:line="240" w:lineRule="auto"/>
        <w:jc w:val="center"/>
        <w:rPr>
          <w:rFonts w:ascii="Times New Roman" w:hAnsi="Times New Roman" w:cs="Times New Roman"/>
          <w:b/>
          <w:bCs/>
          <w:sz w:val="20"/>
          <w:szCs w:val="20"/>
        </w:rPr>
      </w:pPr>
    </w:p>
    <w:p w:rsidR="0044451A" w:rsidRPr="001C1ABA" w:rsidRDefault="0044451A" w:rsidP="008272B1">
      <w:pPr>
        <w:adjustRightInd w:val="0"/>
        <w:snapToGrid w:val="0"/>
        <w:spacing w:after="0" w:line="240" w:lineRule="auto"/>
        <w:jc w:val="center"/>
        <w:rPr>
          <w:rFonts w:ascii="Times New Roman" w:hAnsi="Times New Roman" w:cs="Times New Roman"/>
          <w:sz w:val="20"/>
          <w:szCs w:val="20"/>
        </w:rPr>
      </w:pPr>
      <w:proofErr w:type="spellStart"/>
      <w:proofErr w:type="gramStart"/>
      <w:r w:rsidRPr="001C1ABA">
        <w:rPr>
          <w:rFonts w:ascii="Times New Roman" w:hAnsi="Times New Roman" w:cs="Times New Roman"/>
          <w:sz w:val="20"/>
          <w:szCs w:val="20"/>
        </w:rPr>
        <w:t>Aliaa</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Atef</w:t>
      </w:r>
      <w:proofErr w:type="spellEnd"/>
      <w:r w:rsidRPr="001C1ABA">
        <w:rPr>
          <w:rFonts w:ascii="Times New Roman" w:hAnsi="Times New Roman" w:cs="Times New Roman"/>
          <w:sz w:val="20"/>
          <w:szCs w:val="20"/>
        </w:rPr>
        <w:t xml:space="preserve">, MD and Mohammed </w:t>
      </w:r>
      <w:proofErr w:type="spellStart"/>
      <w:r w:rsidRPr="001C1ABA">
        <w:rPr>
          <w:rFonts w:ascii="Times New Roman" w:hAnsi="Times New Roman" w:cs="Times New Roman"/>
          <w:sz w:val="20"/>
          <w:szCs w:val="20"/>
        </w:rPr>
        <w:t>Alrashidy</w:t>
      </w:r>
      <w:proofErr w:type="spellEnd"/>
      <w:r w:rsidRPr="001C1ABA">
        <w:rPr>
          <w:rFonts w:ascii="Times New Roman" w:hAnsi="Times New Roman" w:cs="Times New Roman"/>
          <w:sz w:val="20"/>
          <w:szCs w:val="20"/>
        </w:rPr>
        <w:t>, MD.</w:t>
      </w:r>
      <w:proofErr w:type="gramEnd"/>
    </w:p>
    <w:p w:rsidR="00EF0B40" w:rsidRPr="001C1ABA" w:rsidRDefault="00EF0B40" w:rsidP="008272B1">
      <w:pPr>
        <w:adjustRightInd w:val="0"/>
        <w:snapToGrid w:val="0"/>
        <w:spacing w:after="0" w:line="240" w:lineRule="auto"/>
        <w:jc w:val="center"/>
        <w:rPr>
          <w:rFonts w:ascii="Times New Roman" w:hAnsi="Times New Roman" w:cs="Times New Roman"/>
          <w:sz w:val="20"/>
          <w:szCs w:val="20"/>
        </w:rPr>
      </w:pPr>
    </w:p>
    <w:p w:rsidR="0044451A" w:rsidRPr="001C1ABA" w:rsidRDefault="0044451A" w:rsidP="008272B1">
      <w:pPr>
        <w:adjustRightInd w:val="0"/>
        <w:snapToGrid w:val="0"/>
        <w:spacing w:after="0" w:line="240" w:lineRule="auto"/>
        <w:jc w:val="center"/>
        <w:rPr>
          <w:rFonts w:ascii="Times New Roman" w:hAnsi="Times New Roman" w:cs="Times New Roman"/>
          <w:sz w:val="20"/>
          <w:szCs w:val="20"/>
        </w:rPr>
      </w:pPr>
      <w:proofErr w:type="gramStart"/>
      <w:r w:rsidRPr="001C1ABA">
        <w:rPr>
          <w:rFonts w:ascii="Times New Roman" w:hAnsi="Times New Roman" w:cs="Times New Roman"/>
          <w:sz w:val="20"/>
          <w:szCs w:val="20"/>
        </w:rPr>
        <w:t>Department of Pathology, Faculty of medicine, University of Tanta, Egypt.</w:t>
      </w:r>
      <w:proofErr w:type="gramEnd"/>
    </w:p>
    <w:p w:rsidR="0044451A" w:rsidRPr="001C1ABA" w:rsidRDefault="00050A94" w:rsidP="008272B1">
      <w:pPr>
        <w:adjustRightInd w:val="0"/>
        <w:snapToGrid w:val="0"/>
        <w:spacing w:after="0" w:line="240" w:lineRule="auto"/>
        <w:jc w:val="center"/>
        <w:rPr>
          <w:rFonts w:ascii="Times New Roman" w:hAnsi="Times New Roman" w:cs="Times New Roman"/>
          <w:sz w:val="20"/>
          <w:szCs w:val="20"/>
        </w:rPr>
      </w:pPr>
      <w:hyperlink r:id="rId7" w:history="1">
        <w:r w:rsidR="00444D26" w:rsidRPr="001C1ABA">
          <w:rPr>
            <w:rStyle w:val="Hyperlink"/>
            <w:rFonts w:ascii="Times New Roman" w:hAnsi="Times New Roman" w:cs="Times New Roman"/>
            <w:sz w:val="20"/>
            <w:szCs w:val="20"/>
          </w:rPr>
          <w:t>dr-aliaaatef@hotmail.com</w:t>
        </w:r>
      </w:hyperlink>
    </w:p>
    <w:p w:rsidR="00444D26" w:rsidRPr="001C1ABA" w:rsidRDefault="00444D26" w:rsidP="008272B1">
      <w:pPr>
        <w:adjustRightInd w:val="0"/>
        <w:snapToGrid w:val="0"/>
        <w:spacing w:after="0" w:line="240" w:lineRule="auto"/>
        <w:jc w:val="center"/>
        <w:rPr>
          <w:rFonts w:ascii="Times New Roman" w:hAnsi="Times New Roman" w:cs="Times New Roman"/>
          <w:sz w:val="20"/>
          <w:szCs w:val="20"/>
        </w:rPr>
      </w:pPr>
    </w:p>
    <w:p w:rsidR="000531F9" w:rsidRPr="001C1ABA" w:rsidRDefault="000531F9" w:rsidP="008272B1">
      <w:pPr>
        <w:adjustRightInd w:val="0"/>
        <w:snapToGrid w:val="0"/>
        <w:spacing w:after="0" w:line="240" w:lineRule="auto"/>
        <w:jc w:val="both"/>
        <w:rPr>
          <w:rFonts w:ascii="Times New Roman" w:hAnsi="Times New Roman" w:cs="Times New Roman"/>
          <w:sz w:val="20"/>
          <w:szCs w:val="20"/>
        </w:rPr>
      </w:pPr>
      <w:r w:rsidRPr="001C1ABA">
        <w:rPr>
          <w:rFonts w:ascii="Times New Roman" w:hAnsi="Times New Roman" w:cs="Times New Roman"/>
          <w:b/>
          <w:bCs/>
          <w:sz w:val="20"/>
          <w:szCs w:val="20"/>
        </w:rPr>
        <w:t>Abstract:</w:t>
      </w:r>
      <w:r w:rsidR="00DB096E">
        <w:rPr>
          <w:rFonts w:ascii="Times New Roman" w:hAnsi="Times New Roman" w:cs="Times New Roman" w:hint="eastAsia"/>
          <w:b/>
          <w:bCs/>
          <w:sz w:val="20"/>
          <w:szCs w:val="20"/>
          <w:lang w:eastAsia="zh-CN"/>
        </w:rPr>
        <w:t xml:space="preserve"> </w:t>
      </w:r>
      <w:r w:rsidRPr="001C1ABA">
        <w:rPr>
          <w:rFonts w:ascii="Times New Roman" w:hAnsi="Times New Roman" w:cs="Times New Roman"/>
          <w:b/>
          <w:bCs/>
          <w:sz w:val="20"/>
          <w:szCs w:val="20"/>
          <w:lang w:val="en-US"/>
        </w:rPr>
        <w:t>Background:</w:t>
      </w:r>
      <w:r w:rsidRPr="001C1ABA">
        <w:rPr>
          <w:rFonts w:ascii="Times New Roman" w:hAnsi="Times New Roman" w:cs="Times New Roman"/>
          <w:sz w:val="20"/>
          <w:szCs w:val="20"/>
          <w:lang w:val="en-US"/>
        </w:rPr>
        <w:t xml:space="preserve"> Gastric cancer is the fourth most common cancer and the second cause of cancer-related death worldwide. Signet ring cell carcinoma SRCC is a </w:t>
      </w:r>
      <w:proofErr w:type="spellStart"/>
      <w:r w:rsidRPr="001C1ABA">
        <w:rPr>
          <w:rFonts w:ascii="Times New Roman" w:hAnsi="Times New Roman" w:cs="Times New Roman"/>
          <w:sz w:val="20"/>
          <w:szCs w:val="20"/>
          <w:lang w:val="en-US"/>
        </w:rPr>
        <w:t>histologic</w:t>
      </w:r>
      <w:proofErr w:type="spellEnd"/>
      <w:r w:rsidRPr="001C1ABA">
        <w:rPr>
          <w:rFonts w:ascii="Times New Roman" w:hAnsi="Times New Roman" w:cs="Times New Roman"/>
          <w:sz w:val="20"/>
          <w:szCs w:val="20"/>
          <w:lang w:val="en-US"/>
        </w:rPr>
        <w:t xml:space="preserve"> subtype</w:t>
      </w:r>
      <w:r w:rsidRPr="001C1ABA">
        <w:rPr>
          <w:rFonts w:ascii="Times New Roman" w:hAnsi="Times New Roman" w:cs="Times New Roman"/>
          <w:sz w:val="20"/>
          <w:szCs w:val="20"/>
        </w:rPr>
        <w:t xml:space="preserve"> characterized by poor differentiation, strong invasive tendency and poor prognosis. Transcriptional </w:t>
      </w:r>
      <w:proofErr w:type="spellStart"/>
      <w:r w:rsidRPr="001C1ABA">
        <w:rPr>
          <w:rFonts w:ascii="Times New Roman" w:hAnsi="Times New Roman" w:cs="Times New Roman"/>
          <w:sz w:val="20"/>
          <w:szCs w:val="20"/>
        </w:rPr>
        <w:t>coactivator</w:t>
      </w:r>
      <w:proofErr w:type="spellEnd"/>
      <w:r w:rsidRPr="001C1ABA">
        <w:rPr>
          <w:rFonts w:ascii="Times New Roman" w:hAnsi="Times New Roman" w:cs="Times New Roman"/>
          <w:sz w:val="20"/>
          <w:szCs w:val="20"/>
        </w:rPr>
        <w:t xml:space="preserve"> with PDZ-binding motif (TAZ) is known to bind to a variety of transcription factors to control cell differentiation and organ development. PKM2 (M2 </w:t>
      </w:r>
      <w:proofErr w:type="spellStart"/>
      <w:r w:rsidRPr="001C1ABA">
        <w:rPr>
          <w:rFonts w:ascii="Times New Roman" w:hAnsi="Times New Roman" w:cs="Times New Roman"/>
          <w:sz w:val="20"/>
          <w:szCs w:val="20"/>
        </w:rPr>
        <w:t>isoform</w:t>
      </w:r>
      <w:proofErr w:type="spellEnd"/>
      <w:r w:rsidRPr="001C1ABA">
        <w:rPr>
          <w:rFonts w:ascii="Times New Roman" w:hAnsi="Times New Roman" w:cs="Times New Roman"/>
          <w:sz w:val="20"/>
          <w:szCs w:val="20"/>
        </w:rPr>
        <w:t xml:space="preserve"> of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was identified as a driver of aerobic </w:t>
      </w:r>
      <w:proofErr w:type="spellStart"/>
      <w:r w:rsidRPr="001C1ABA">
        <w:rPr>
          <w:rFonts w:ascii="Times New Roman" w:hAnsi="Times New Roman" w:cs="Times New Roman"/>
          <w:sz w:val="20"/>
          <w:szCs w:val="20"/>
        </w:rPr>
        <w:t>glycolysis</w:t>
      </w:r>
      <w:proofErr w:type="spellEnd"/>
      <w:r w:rsidRPr="001C1ABA">
        <w:rPr>
          <w:rFonts w:ascii="Times New Roman" w:hAnsi="Times New Roman" w:cs="Times New Roman"/>
          <w:sz w:val="20"/>
          <w:szCs w:val="20"/>
        </w:rPr>
        <w:t xml:space="preserve">, leading to cell growth and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development. </w:t>
      </w:r>
      <w:r w:rsidRPr="001C1ABA">
        <w:rPr>
          <w:rFonts w:ascii="Times New Roman" w:hAnsi="Times New Roman" w:cs="Times New Roman"/>
          <w:b/>
          <w:bCs/>
          <w:sz w:val="20"/>
          <w:szCs w:val="20"/>
        </w:rPr>
        <w:t>Materials and methods:</w:t>
      </w:r>
      <w:r w:rsidRPr="001C1ABA">
        <w:rPr>
          <w:rFonts w:ascii="Times New Roman" w:hAnsi="Times New Roman" w:cs="Times New Roman"/>
          <w:sz w:val="20"/>
          <w:szCs w:val="20"/>
        </w:rPr>
        <w:t xml:space="preserve"> This study was carried out on 46 gastric SRCC cases received as paraffin blocks and as fresh specimens. </w:t>
      </w:r>
      <w:r w:rsidRPr="001C1ABA">
        <w:rPr>
          <w:rFonts w:ascii="Times New Roman" w:hAnsi="Times New Roman" w:cs="Times New Roman"/>
          <w:b/>
          <w:bCs/>
          <w:sz w:val="20"/>
          <w:szCs w:val="20"/>
        </w:rPr>
        <w:t>Results:</w:t>
      </w:r>
      <w:r w:rsidRPr="001C1ABA">
        <w:rPr>
          <w:rFonts w:ascii="Times New Roman" w:hAnsi="Times New Roman" w:cs="Times New Roman"/>
          <w:sz w:val="20"/>
          <w:szCs w:val="20"/>
        </w:rPr>
        <w:t xml:space="preserve"> The </w:t>
      </w:r>
      <w:proofErr w:type="spellStart"/>
      <w:r w:rsidRPr="001C1ABA">
        <w:rPr>
          <w:rFonts w:ascii="Times New Roman" w:hAnsi="Times New Roman" w:cs="Times New Roman"/>
          <w:sz w:val="20"/>
          <w:szCs w:val="20"/>
        </w:rPr>
        <w:t>immunohistochemical</w:t>
      </w:r>
      <w:proofErr w:type="spellEnd"/>
      <w:r w:rsidRPr="001C1ABA">
        <w:rPr>
          <w:rFonts w:ascii="Times New Roman" w:hAnsi="Times New Roman" w:cs="Times New Roman"/>
          <w:sz w:val="20"/>
          <w:szCs w:val="20"/>
        </w:rPr>
        <w:t xml:space="preserve"> expression of TAZ was positive in the cytoplasm and nuclei of 38 out of 46 (82.6%) gastric </w:t>
      </w:r>
      <w:r w:rsidRPr="001C1ABA">
        <w:rPr>
          <w:rFonts w:ascii="Times New Roman" w:hAnsi="Times New Roman" w:cs="Times New Roman"/>
          <w:sz w:val="20"/>
          <w:szCs w:val="20"/>
          <w:lang w:val="en-US"/>
        </w:rPr>
        <w:t xml:space="preserve">SRCC </w:t>
      </w:r>
      <w:r w:rsidRPr="001C1ABA">
        <w:rPr>
          <w:rFonts w:ascii="Times New Roman" w:hAnsi="Times New Roman" w:cs="Times New Roman"/>
          <w:sz w:val="20"/>
          <w:szCs w:val="20"/>
        </w:rPr>
        <w:t>samples. PKM2 expression was also investigated in all 46 gastric SRCC cases. PKM2 expression was positive in 40 (87%) out of 46 cases.</w:t>
      </w:r>
      <w:r w:rsidR="00DB096E">
        <w:rPr>
          <w:rFonts w:ascii="Times New Roman" w:hAnsi="Times New Roman" w:cs="Times New Roman"/>
          <w:sz w:val="20"/>
          <w:szCs w:val="20"/>
        </w:rPr>
        <w:t xml:space="preserve"> </w:t>
      </w:r>
      <w:r w:rsidR="00444D26" w:rsidRPr="001C1ABA">
        <w:rPr>
          <w:rFonts w:ascii="Times New Roman" w:hAnsi="Times New Roman" w:cs="Times New Roman"/>
          <w:sz w:val="20"/>
          <w:szCs w:val="20"/>
        </w:rPr>
        <w:t>PKM2 expression</w:t>
      </w:r>
      <w:r w:rsidRPr="001C1ABA">
        <w:rPr>
          <w:rFonts w:ascii="Times New Roman" w:hAnsi="Times New Roman" w:cs="Times New Roman"/>
          <w:sz w:val="20"/>
          <w:szCs w:val="20"/>
        </w:rPr>
        <w:t xml:space="preserve"> was positive in gastric SRCC compared to negative adjacent normal gastric glands from the same patients. </w:t>
      </w:r>
      <w:r w:rsidRPr="001C1ABA">
        <w:rPr>
          <w:rFonts w:ascii="Times New Roman" w:hAnsi="Times New Roman" w:cs="Times New Roman"/>
          <w:b/>
          <w:bCs/>
          <w:sz w:val="20"/>
          <w:szCs w:val="20"/>
        </w:rPr>
        <w:t>Conclusions:</w:t>
      </w:r>
      <w:r w:rsidRPr="001C1ABA">
        <w:rPr>
          <w:rFonts w:ascii="Times New Roman" w:hAnsi="Times New Roman" w:cs="Times New Roman"/>
          <w:sz w:val="20"/>
          <w:szCs w:val="20"/>
        </w:rPr>
        <w:t xml:space="preserve"> These results show that TAZ and PKM2</w:t>
      </w:r>
      <w:r w:rsidR="00CD7B5C" w:rsidRPr="001C1ABA">
        <w:rPr>
          <w:rFonts w:ascii="Times New Roman" w:hAnsi="Times New Roman" w:cs="Times New Roman"/>
          <w:sz w:val="20"/>
          <w:szCs w:val="20"/>
        </w:rPr>
        <w:t xml:space="preserve"> </w:t>
      </w:r>
      <w:r w:rsidRPr="001C1ABA">
        <w:rPr>
          <w:rFonts w:ascii="Times New Roman" w:hAnsi="Times New Roman" w:cs="Times New Roman"/>
          <w:sz w:val="20"/>
          <w:szCs w:val="20"/>
        </w:rPr>
        <w:t>might be considered as targets for the treatment of gastric SRCC in the future.</w:t>
      </w:r>
    </w:p>
    <w:p w:rsidR="001C1ABA" w:rsidRPr="001C1ABA" w:rsidRDefault="00444D26" w:rsidP="008272B1">
      <w:pPr>
        <w:adjustRightInd w:val="0"/>
        <w:snapToGrid w:val="0"/>
        <w:spacing w:after="0" w:line="240" w:lineRule="auto"/>
        <w:jc w:val="both"/>
        <w:rPr>
          <w:rFonts w:ascii="Times New Roman" w:hAnsi="Times New Roman" w:cs="Times New Roman"/>
          <w:color w:val="000000"/>
          <w:sz w:val="20"/>
          <w:szCs w:val="20"/>
          <w:shd w:val="clear" w:color="auto" w:fill="FFFFFF"/>
        </w:rPr>
      </w:pPr>
      <w:proofErr w:type="gramStart"/>
      <w:r w:rsidRPr="001C1ABA">
        <w:rPr>
          <w:rFonts w:ascii="Times New Roman" w:hAnsi="Times New Roman" w:cs="Times New Roman"/>
          <w:sz w:val="20"/>
          <w:szCs w:val="20"/>
        </w:rPr>
        <w:t>[</w:t>
      </w:r>
      <w:proofErr w:type="spellStart"/>
      <w:r w:rsidRPr="001C1ABA">
        <w:rPr>
          <w:rFonts w:ascii="Times New Roman" w:hAnsi="Times New Roman" w:cs="Times New Roman"/>
          <w:sz w:val="20"/>
          <w:szCs w:val="20"/>
        </w:rPr>
        <w:t>Aliaa</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Atef</w:t>
      </w:r>
      <w:proofErr w:type="spellEnd"/>
      <w:r w:rsidRPr="001C1ABA">
        <w:rPr>
          <w:rFonts w:ascii="Times New Roman" w:hAnsi="Times New Roman" w:cs="Times New Roman"/>
          <w:sz w:val="20"/>
          <w:szCs w:val="20"/>
        </w:rPr>
        <w:t xml:space="preserve"> and Mohammed </w:t>
      </w:r>
      <w:proofErr w:type="spellStart"/>
      <w:r w:rsidRPr="001C1ABA">
        <w:rPr>
          <w:rFonts w:ascii="Times New Roman" w:hAnsi="Times New Roman" w:cs="Times New Roman"/>
          <w:sz w:val="20"/>
          <w:szCs w:val="20"/>
        </w:rPr>
        <w:t>Alrashidy</w:t>
      </w:r>
      <w:proofErr w:type="spellEnd"/>
      <w:r w:rsidR="001C1ABA" w:rsidRPr="001C1ABA">
        <w:rPr>
          <w:rFonts w:ascii="Times New Roman" w:hAnsi="Times New Roman" w:cs="Times New Roman" w:hint="eastAsia"/>
          <w:sz w:val="20"/>
          <w:szCs w:val="20"/>
          <w:lang w:eastAsia="zh-CN"/>
        </w:rPr>
        <w:t>.</w:t>
      </w:r>
      <w:proofErr w:type="gramEnd"/>
      <w:r w:rsidRPr="001C1ABA">
        <w:rPr>
          <w:rFonts w:ascii="Times New Roman" w:hAnsi="Times New Roman" w:cs="Times New Roman"/>
          <w:b/>
          <w:bCs/>
          <w:sz w:val="20"/>
          <w:szCs w:val="20"/>
        </w:rPr>
        <w:t xml:space="preserve"> </w:t>
      </w:r>
      <w:proofErr w:type="gramStart"/>
      <w:r w:rsidRPr="001C1ABA">
        <w:rPr>
          <w:rFonts w:ascii="Times New Roman" w:hAnsi="Times New Roman" w:cs="Times New Roman"/>
          <w:b/>
          <w:bCs/>
          <w:sz w:val="20"/>
          <w:szCs w:val="20"/>
        </w:rPr>
        <w:t>Evaluation of TAZ and PKM2 expression in gastric signet ring cell carcinoma</w:t>
      </w:r>
      <w:r w:rsidR="001C1ABA" w:rsidRPr="001C1ABA">
        <w:rPr>
          <w:rFonts w:ascii="Times New Roman" w:hAnsi="Times New Roman" w:cs="Times New Roman" w:hint="eastAsia"/>
          <w:b/>
          <w:bCs/>
          <w:sz w:val="20"/>
          <w:szCs w:val="20"/>
          <w:lang w:eastAsia="zh-CN"/>
        </w:rPr>
        <w:t>.</w:t>
      </w:r>
      <w:proofErr w:type="gramEnd"/>
      <w:r w:rsidR="003C290C" w:rsidRPr="001C1ABA">
        <w:rPr>
          <w:rFonts w:ascii="Times New Roman" w:hAnsi="Times New Roman" w:cs="Times New Roman"/>
          <w:i/>
          <w:sz w:val="20"/>
          <w:szCs w:val="20"/>
        </w:rPr>
        <w:t xml:space="preserve"> </w:t>
      </w:r>
      <w:r w:rsidR="001C1ABA" w:rsidRPr="001C1ABA">
        <w:rPr>
          <w:rFonts w:ascii="Times New Roman" w:hAnsi="Times New Roman" w:cs="Times New Roman"/>
          <w:i/>
          <w:sz w:val="20"/>
          <w:szCs w:val="20"/>
        </w:rPr>
        <w:t>Cancer Biology</w:t>
      </w:r>
      <w:r w:rsidR="001C1ABA" w:rsidRPr="001C1ABA">
        <w:rPr>
          <w:rFonts w:ascii="Times New Roman" w:hAnsi="Times New Roman" w:cs="Times New Roman"/>
          <w:sz w:val="20"/>
          <w:szCs w:val="20"/>
        </w:rPr>
        <w:t xml:space="preserve"> 201</w:t>
      </w:r>
      <w:r w:rsidR="001C1ABA" w:rsidRPr="001C1ABA">
        <w:rPr>
          <w:rFonts w:ascii="Times New Roman" w:hAnsi="Times New Roman" w:cs="Times New Roman" w:hint="eastAsia"/>
          <w:sz w:val="20"/>
          <w:szCs w:val="20"/>
        </w:rPr>
        <w:t>6</w:t>
      </w:r>
      <w:proofErr w:type="gramStart"/>
      <w:r w:rsidR="001C1ABA" w:rsidRPr="001C1ABA">
        <w:rPr>
          <w:rFonts w:ascii="Times New Roman" w:hAnsi="Times New Roman" w:cs="Times New Roman"/>
          <w:sz w:val="20"/>
          <w:szCs w:val="20"/>
        </w:rPr>
        <w:t>;</w:t>
      </w:r>
      <w:r w:rsidR="001C1ABA" w:rsidRPr="001C1ABA">
        <w:rPr>
          <w:rFonts w:ascii="Times New Roman" w:hAnsi="Times New Roman" w:cs="Times New Roman" w:hint="eastAsia"/>
          <w:sz w:val="20"/>
          <w:szCs w:val="20"/>
        </w:rPr>
        <w:t>6</w:t>
      </w:r>
      <w:proofErr w:type="gramEnd"/>
      <w:r w:rsidR="001C1ABA" w:rsidRPr="001C1ABA">
        <w:rPr>
          <w:rFonts w:ascii="Times New Roman" w:hAnsi="Times New Roman" w:cs="Times New Roman"/>
          <w:sz w:val="20"/>
          <w:szCs w:val="20"/>
        </w:rPr>
        <w:t>(</w:t>
      </w:r>
      <w:r w:rsidR="001C1ABA" w:rsidRPr="001C1ABA">
        <w:rPr>
          <w:rFonts w:ascii="Times New Roman" w:hAnsi="Times New Roman" w:cs="Times New Roman" w:hint="eastAsia"/>
          <w:sz w:val="20"/>
          <w:szCs w:val="20"/>
        </w:rPr>
        <w:t>3</w:t>
      </w:r>
      <w:r w:rsidR="001C1ABA" w:rsidRPr="001C1ABA">
        <w:rPr>
          <w:rFonts w:ascii="Times New Roman" w:hAnsi="Times New Roman" w:cs="Times New Roman"/>
          <w:sz w:val="20"/>
          <w:szCs w:val="20"/>
        </w:rPr>
        <w:t>):</w:t>
      </w:r>
      <w:r w:rsidR="009226BE">
        <w:rPr>
          <w:rFonts w:ascii="Times New Roman" w:hAnsi="Times New Roman" w:cs="Times New Roman"/>
          <w:noProof/>
          <w:color w:val="000000"/>
          <w:sz w:val="20"/>
          <w:szCs w:val="20"/>
        </w:rPr>
        <w:t>42</w:t>
      </w:r>
      <w:r w:rsidR="001C1ABA" w:rsidRPr="001C1ABA">
        <w:rPr>
          <w:rFonts w:ascii="Times New Roman" w:hAnsi="Times New Roman" w:cs="Times New Roman"/>
          <w:color w:val="000000"/>
          <w:sz w:val="20"/>
          <w:szCs w:val="20"/>
        </w:rPr>
        <w:t>-</w:t>
      </w:r>
      <w:r w:rsidR="009226BE">
        <w:rPr>
          <w:rFonts w:ascii="Times New Roman" w:hAnsi="Times New Roman" w:cs="Times New Roman"/>
          <w:noProof/>
          <w:color w:val="000000"/>
          <w:sz w:val="20"/>
          <w:szCs w:val="20"/>
        </w:rPr>
        <w:t>49</w:t>
      </w:r>
      <w:r w:rsidR="001C1ABA" w:rsidRPr="001C1ABA">
        <w:rPr>
          <w:rFonts w:ascii="Times New Roman" w:hAnsi="Times New Roman" w:cs="Times New Roman"/>
          <w:sz w:val="20"/>
          <w:szCs w:val="20"/>
        </w:rPr>
        <w:t xml:space="preserve">]. </w:t>
      </w:r>
      <w:r w:rsidR="001C1ABA" w:rsidRPr="001C1ABA">
        <w:rPr>
          <w:rStyle w:val="msonormal0"/>
          <w:rFonts w:ascii="Times New Roman" w:eastAsia="宋" w:hAnsi="Times New Roman" w:cs="Times New Roman"/>
          <w:sz w:val="20"/>
          <w:szCs w:val="20"/>
        </w:rPr>
        <w:t>ISSN: 2150-1041 (print); ISSN: 2150-105X (online)</w:t>
      </w:r>
      <w:r w:rsidR="001C1ABA" w:rsidRPr="001C1ABA">
        <w:rPr>
          <w:rFonts w:ascii="Times New Roman" w:hAnsi="Times New Roman" w:cs="Times New Roman"/>
          <w:sz w:val="20"/>
          <w:szCs w:val="20"/>
        </w:rPr>
        <w:t xml:space="preserve">. </w:t>
      </w:r>
      <w:hyperlink r:id="rId8" w:history="1">
        <w:r w:rsidR="001C1ABA" w:rsidRPr="001C1ABA">
          <w:rPr>
            <w:rStyle w:val="Hyperlink"/>
            <w:rFonts w:ascii="Times New Roman" w:hAnsi="Times New Roman" w:cs="Times New Roman"/>
            <w:sz w:val="20"/>
            <w:szCs w:val="20"/>
          </w:rPr>
          <w:t>http://www.cancerbio.net</w:t>
        </w:r>
      </w:hyperlink>
      <w:r w:rsidR="001C1ABA" w:rsidRPr="001C1ABA">
        <w:rPr>
          <w:rFonts w:ascii="Times New Roman" w:hAnsi="Times New Roman" w:cs="Times New Roman"/>
          <w:sz w:val="20"/>
          <w:szCs w:val="20"/>
        </w:rPr>
        <w:t>.</w:t>
      </w:r>
      <w:r w:rsidR="001C1ABA" w:rsidRPr="001C1ABA">
        <w:rPr>
          <w:rFonts w:ascii="Times New Roman" w:hAnsi="Times New Roman" w:cs="Times New Roman" w:hint="eastAsia"/>
          <w:sz w:val="20"/>
          <w:szCs w:val="20"/>
        </w:rPr>
        <w:t xml:space="preserve"> </w:t>
      </w:r>
      <w:r w:rsidR="001C1ABA">
        <w:rPr>
          <w:rFonts w:ascii="Times New Roman" w:hAnsi="Times New Roman" w:cs="Times New Roman" w:hint="eastAsia"/>
          <w:sz w:val="20"/>
          <w:szCs w:val="20"/>
          <w:lang w:eastAsia="zh-CN"/>
        </w:rPr>
        <w:t>6</w:t>
      </w:r>
      <w:r w:rsidR="001C1ABA" w:rsidRPr="001C1ABA">
        <w:rPr>
          <w:rFonts w:ascii="Times New Roman" w:hAnsi="Times New Roman" w:cs="Times New Roman" w:hint="eastAsia"/>
          <w:sz w:val="20"/>
          <w:szCs w:val="20"/>
        </w:rPr>
        <w:t xml:space="preserve">. </w:t>
      </w:r>
      <w:proofErr w:type="gramStart"/>
      <w:r w:rsidR="001C1ABA" w:rsidRPr="001C1ABA">
        <w:rPr>
          <w:rFonts w:ascii="Times New Roman" w:hAnsi="Times New Roman" w:cs="Times New Roman"/>
          <w:color w:val="000000"/>
          <w:sz w:val="20"/>
          <w:szCs w:val="20"/>
          <w:shd w:val="clear" w:color="auto" w:fill="FFFFFF"/>
        </w:rPr>
        <w:t>doi</w:t>
      </w:r>
      <w:proofErr w:type="gramEnd"/>
      <w:r w:rsidR="001C1ABA" w:rsidRPr="001C1ABA">
        <w:rPr>
          <w:rFonts w:ascii="Times New Roman" w:hAnsi="Times New Roman" w:cs="Times New Roman"/>
          <w:color w:val="000000"/>
          <w:sz w:val="20"/>
          <w:szCs w:val="20"/>
          <w:shd w:val="clear" w:color="auto" w:fill="FFFFFF"/>
        </w:rPr>
        <w:t>:</w:t>
      </w:r>
      <w:hyperlink r:id="rId9" w:history="1">
        <w:r w:rsidR="001C1ABA" w:rsidRPr="001C1ABA">
          <w:rPr>
            <w:rStyle w:val="Hyperlink"/>
            <w:rFonts w:ascii="Times New Roman" w:hAnsi="Times New Roman" w:cs="Times New Roman"/>
            <w:sz w:val="20"/>
            <w:szCs w:val="20"/>
            <w:shd w:val="clear" w:color="auto" w:fill="FFFFFF"/>
          </w:rPr>
          <w:t>10.7537/mars</w:t>
        </w:r>
        <w:r w:rsidR="001C1ABA" w:rsidRPr="001C1ABA">
          <w:rPr>
            <w:rStyle w:val="Hyperlink"/>
            <w:rFonts w:ascii="Times New Roman" w:hAnsi="Times New Roman" w:cs="Times New Roman" w:hint="eastAsia"/>
            <w:sz w:val="20"/>
            <w:szCs w:val="20"/>
            <w:shd w:val="clear" w:color="auto" w:fill="FFFFFF"/>
          </w:rPr>
          <w:t>cbj0603</w:t>
        </w:r>
        <w:r w:rsidR="001C1ABA" w:rsidRPr="001C1ABA">
          <w:rPr>
            <w:rStyle w:val="Hyperlink"/>
            <w:rFonts w:ascii="Times New Roman" w:hAnsi="Times New Roman" w:cs="Times New Roman"/>
            <w:sz w:val="20"/>
            <w:szCs w:val="20"/>
            <w:shd w:val="clear" w:color="auto" w:fill="FFFFFF"/>
          </w:rPr>
          <w:t>1</w:t>
        </w:r>
        <w:r w:rsidR="001C1ABA" w:rsidRPr="001C1ABA">
          <w:rPr>
            <w:rStyle w:val="Hyperlink"/>
            <w:rFonts w:ascii="Times New Roman" w:hAnsi="Times New Roman" w:cs="Times New Roman" w:hint="eastAsia"/>
            <w:sz w:val="20"/>
            <w:szCs w:val="20"/>
            <w:shd w:val="clear" w:color="auto" w:fill="FFFFFF"/>
          </w:rPr>
          <w:t>6.</w:t>
        </w:r>
        <w:r w:rsidR="001C1ABA" w:rsidRPr="001C1ABA">
          <w:rPr>
            <w:rStyle w:val="Hyperlink"/>
            <w:rFonts w:ascii="Times New Roman" w:hAnsi="Times New Roman" w:cs="Times New Roman"/>
            <w:sz w:val="20"/>
            <w:szCs w:val="20"/>
            <w:shd w:val="clear" w:color="auto" w:fill="FFFFFF"/>
          </w:rPr>
          <w:t>0</w:t>
        </w:r>
        <w:r w:rsidR="001C1ABA">
          <w:rPr>
            <w:rStyle w:val="Hyperlink"/>
            <w:rFonts w:ascii="Times New Roman" w:hAnsi="Times New Roman" w:cs="Times New Roman" w:hint="eastAsia"/>
            <w:sz w:val="20"/>
            <w:szCs w:val="20"/>
            <w:shd w:val="clear" w:color="auto" w:fill="FFFFFF"/>
            <w:lang w:eastAsia="zh-CN"/>
          </w:rPr>
          <w:t>6</w:t>
        </w:r>
      </w:hyperlink>
      <w:r w:rsidR="001C1ABA" w:rsidRPr="001C1ABA">
        <w:rPr>
          <w:rFonts w:ascii="Times New Roman" w:hAnsi="Times New Roman" w:cs="Times New Roman"/>
          <w:color w:val="000000"/>
          <w:sz w:val="20"/>
          <w:szCs w:val="20"/>
          <w:shd w:val="clear" w:color="auto" w:fill="FFFFFF"/>
        </w:rPr>
        <w:t>.</w:t>
      </w:r>
    </w:p>
    <w:p w:rsidR="00444D26" w:rsidRPr="001C1ABA" w:rsidRDefault="00444D26" w:rsidP="008272B1">
      <w:pPr>
        <w:adjustRightInd w:val="0"/>
        <w:snapToGrid w:val="0"/>
        <w:spacing w:after="0" w:line="240" w:lineRule="auto"/>
        <w:jc w:val="both"/>
        <w:rPr>
          <w:rFonts w:ascii="Times New Roman" w:hAnsi="Times New Roman" w:cs="Times New Roman"/>
          <w:b/>
          <w:bCs/>
          <w:sz w:val="20"/>
          <w:szCs w:val="20"/>
        </w:rPr>
      </w:pPr>
    </w:p>
    <w:p w:rsidR="00444D26" w:rsidRPr="001C1ABA" w:rsidRDefault="00444D26" w:rsidP="008272B1">
      <w:pPr>
        <w:adjustRightInd w:val="0"/>
        <w:snapToGrid w:val="0"/>
        <w:spacing w:after="0" w:line="240" w:lineRule="auto"/>
        <w:jc w:val="both"/>
        <w:rPr>
          <w:rFonts w:ascii="Times New Roman" w:hAnsi="Times New Roman" w:cs="Times New Roman"/>
          <w:sz w:val="20"/>
          <w:szCs w:val="20"/>
        </w:rPr>
      </w:pPr>
      <w:r w:rsidRPr="001C1ABA">
        <w:rPr>
          <w:rFonts w:ascii="Times New Roman" w:hAnsi="Times New Roman" w:cs="Times New Roman"/>
          <w:b/>
          <w:bCs/>
          <w:sz w:val="20"/>
          <w:szCs w:val="20"/>
        </w:rPr>
        <w:t>Keywords:</w:t>
      </w:r>
      <w:r w:rsidR="00CD7B5C" w:rsidRPr="001C1ABA">
        <w:rPr>
          <w:rFonts w:ascii="Times New Roman" w:hAnsi="Times New Roman" w:cs="Times New Roman"/>
          <w:sz w:val="20"/>
          <w:szCs w:val="20"/>
        </w:rPr>
        <w:t xml:space="preserve"> TAZ, PKM2, Signet ring cell carcinoma</w:t>
      </w:r>
    </w:p>
    <w:p w:rsidR="001C1ABA" w:rsidRPr="001C1ABA" w:rsidRDefault="001C1ABA" w:rsidP="008272B1">
      <w:pPr>
        <w:pStyle w:val="Default"/>
        <w:snapToGrid w:val="0"/>
        <w:jc w:val="both"/>
        <w:rPr>
          <w:rFonts w:ascii="Times New Roman" w:hAnsi="Times New Roman" w:cs="Times New Roman"/>
          <w:b/>
          <w:bCs/>
          <w:sz w:val="20"/>
          <w:szCs w:val="20"/>
        </w:rPr>
      </w:pPr>
    </w:p>
    <w:p w:rsidR="001C1ABA" w:rsidRPr="001C1ABA" w:rsidRDefault="001C1ABA" w:rsidP="008272B1">
      <w:pPr>
        <w:pStyle w:val="Default"/>
        <w:snapToGrid w:val="0"/>
        <w:jc w:val="both"/>
        <w:rPr>
          <w:rFonts w:ascii="Times New Roman" w:hAnsi="Times New Roman" w:cs="Times New Roman"/>
          <w:b/>
          <w:bCs/>
          <w:sz w:val="20"/>
          <w:szCs w:val="20"/>
        </w:rPr>
        <w:sectPr w:rsidR="001C1ABA" w:rsidRPr="001C1ABA" w:rsidSect="009226BE">
          <w:headerReference w:type="default" r:id="rId10"/>
          <w:footerReference w:type="default" r:id="rId11"/>
          <w:type w:val="continuous"/>
          <w:pgSz w:w="12242" w:h="15842" w:code="1"/>
          <w:pgMar w:top="1440" w:right="1440" w:bottom="1440" w:left="1440" w:header="720" w:footer="720" w:gutter="0"/>
          <w:pgNumType w:start="42"/>
          <w:cols w:space="708"/>
          <w:docGrid w:linePitch="360"/>
        </w:sectPr>
      </w:pPr>
    </w:p>
    <w:p w:rsidR="00EC0D92" w:rsidRPr="001C1ABA" w:rsidRDefault="00444D26" w:rsidP="008272B1">
      <w:pPr>
        <w:pStyle w:val="Default"/>
        <w:snapToGrid w:val="0"/>
        <w:jc w:val="both"/>
        <w:rPr>
          <w:rFonts w:ascii="Times New Roman" w:hAnsi="Times New Roman" w:cs="Times New Roman"/>
          <w:b/>
          <w:bCs/>
          <w:sz w:val="20"/>
          <w:szCs w:val="20"/>
        </w:rPr>
      </w:pPr>
      <w:r w:rsidRPr="001C1ABA">
        <w:rPr>
          <w:rFonts w:ascii="Times New Roman" w:hAnsi="Times New Roman" w:cs="Times New Roman"/>
          <w:b/>
          <w:bCs/>
          <w:sz w:val="20"/>
          <w:szCs w:val="20"/>
        </w:rPr>
        <w:lastRenderedPageBreak/>
        <w:t>1.</w:t>
      </w:r>
      <w:r w:rsidR="00DB096E">
        <w:rPr>
          <w:rFonts w:ascii="Times New Roman" w:hAnsi="Times New Roman" w:cs="Times New Roman"/>
          <w:b/>
          <w:bCs/>
          <w:sz w:val="20"/>
          <w:szCs w:val="20"/>
        </w:rPr>
        <w:t xml:space="preserve"> </w:t>
      </w:r>
      <w:r w:rsidR="00EC0D92" w:rsidRPr="001C1ABA">
        <w:rPr>
          <w:rFonts w:ascii="Times New Roman" w:hAnsi="Times New Roman" w:cs="Times New Roman"/>
          <w:b/>
          <w:bCs/>
          <w:sz w:val="20"/>
          <w:szCs w:val="20"/>
        </w:rPr>
        <w:t>Introduction:</w:t>
      </w:r>
    </w:p>
    <w:p w:rsidR="007E2857" w:rsidRPr="001C1ABA" w:rsidRDefault="00EC0D92" w:rsidP="008272B1">
      <w:pPr>
        <w:tabs>
          <w:tab w:val="left" w:pos="709"/>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1C1ABA">
        <w:rPr>
          <w:rFonts w:ascii="Times New Roman" w:hAnsi="Times New Roman" w:cs="Times New Roman"/>
          <w:sz w:val="20"/>
          <w:szCs w:val="20"/>
        </w:rPr>
        <w:t>Gastric cancer is the fourth most common cancer with the leading causes of cancer death in East Asian countries and some western countries</w:t>
      </w:r>
      <w:r w:rsidR="00DB096E">
        <w:rPr>
          <w:rFonts w:ascii="Times New Roman" w:hAnsi="Times New Roman" w:cs="Times New Roman" w:hint="eastAsia"/>
          <w:sz w:val="20"/>
          <w:szCs w:val="20"/>
          <w:lang w:eastAsia="zh-CN"/>
        </w:rPr>
        <w:t xml:space="preserve"> </w:t>
      </w:r>
      <w:r w:rsidR="00107C9B" w:rsidRPr="001C1ABA">
        <w:rPr>
          <w:rFonts w:ascii="Times New Roman" w:hAnsi="Times New Roman" w:cs="Times New Roman"/>
          <w:sz w:val="20"/>
          <w:szCs w:val="20"/>
        </w:rPr>
        <w:t>[Cho et al</w:t>
      </w:r>
      <w:r w:rsidR="00702943" w:rsidRPr="001C1ABA">
        <w:rPr>
          <w:rFonts w:ascii="Times New Roman" w:hAnsi="Times New Roman" w:cs="Times New Roman"/>
          <w:sz w:val="20"/>
          <w:szCs w:val="20"/>
        </w:rPr>
        <w:t>.</w:t>
      </w:r>
      <w:r w:rsidR="00107C9B" w:rsidRPr="001C1ABA">
        <w:rPr>
          <w:rFonts w:ascii="Times New Roman" w:hAnsi="Times New Roman" w:cs="Times New Roman"/>
          <w:sz w:val="20"/>
          <w:szCs w:val="20"/>
        </w:rPr>
        <w:t xml:space="preserve">, 2011 and </w:t>
      </w:r>
      <w:proofErr w:type="spellStart"/>
      <w:r w:rsidR="00107C9B" w:rsidRPr="001C1ABA">
        <w:rPr>
          <w:rFonts w:ascii="Times New Roman" w:hAnsi="Times New Roman" w:cs="Times New Roman"/>
          <w:sz w:val="20"/>
          <w:szCs w:val="20"/>
        </w:rPr>
        <w:t>Jemal</w:t>
      </w:r>
      <w:proofErr w:type="spellEnd"/>
      <w:r w:rsidR="00107C9B" w:rsidRPr="001C1ABA">
        <w:rPr>
          <w:rFonts w:ascii="Times New Roman" w:hAnsi="Times New Roman" w:cs="Times New Roman"/>
          <w:sz w:val="20"/>
          <w:szCs w:val="20"/>
        </w:rPr>
        <w:t xml:space="preserve"> et al</w:t>
      </w:r>
      <w:r w:rsidR="00702943" w:rsidRPr="001C1ABA">
        <w:rPr>
          <w:rFonts w:ascii="Times New Roman" w:hAnsi="Times New Roman" w:cs="Times New Roman"/>
          <w:sz w:val="20"/>
          <w:szCs w:val="20"/>
        </w:rPr>
        <w:t>.</w:t>
      </w:r>
      <w:r w:rsidR="00107C9B" w:rsidRPr="001C1ABA">
        <w:rPr>
          <w:rFonts w:ascii="Times New Roman" w:hAnsi="Times New Roman" w:cs="Times New Roman"/>
          <w:sz w:val="20"/>
          <w:szCs w:val="20"/>
        </w:rPr>
        <w:t>, 2011]</w:t>
      </w:r>
      <w:r w:rsidRPr="001C1ABA">
        <w:rPr>
          <w:rFonts w:ascii="Times New Roman" w:hAnsi="Times New Roman" w:cs="Times New Roman"/>
          <w:sz w:val="20"/>
          <w:szCs w:val="20"/>
        </w:rPr>
        <w:t>.</w:t>
      </w:r>
      <w:r w:rsidR="00DB096E">
        <w:rPr>
          <w:rFonts w:ascii="Times New Roman" w:hAnsi="Times New Roman" w:cs="Times New Roman" w:hint="eastAsia"/>
          <w:sz w:val="20"/>
          <w:szCs w:val="20"/>
          <w:lang w:eastAsia="zh-CN"/>
        </w:rPr>
        <w:t xml:space="preserve"> </w:t>
      </w:r>
      <w:r w:rsidRPr="001C1ABA">
        <w:rPr>
          <w:rFonts w:ascii="Times New Roman" w:hAnsi="Times New Roman" w:cs="Times New Roman"/>
          <w:sz w:val="20"/>
          <w:szCs w:val="20"/>
        </w:rPr>
        <w:t>Signet ring cell gastric carcinoma (SRCC)</w:t>
      </w:r>
      <w:r w:rsidR="00DB096E">
        <w:rPr>
          <w:rFonts w:ascii="Times New Roman" w:hAnsi="Times New Roman" w:cs="Times New Roman"/>
          <w:sz w:val="20"/>
          <w:szCs w:val="20"/>
        </w:rPr>
        <w:t xml:space="preserve"> </w:t>
      </w:r>
      <w:r w:rsidRPr="001C1ABA">
        <w:rPr>
          <w:rFonts w:ascii="Times New Roman" w:hAnsi="Times New Roman" w:cs="Times New Roman"/>
          <w:sz w:val="20"/>
          <w:szCs w:val="20"/>
        </w:rPr>
        <w:t xml:space="preserve">is a </w:t>
      </w:r>
      <w:proofErr w:type="spellStart"/>
      <w:r w:rsidRPr="001C1ABA">
        <w:rPr>
          <w:rFonts w:ascii="Times New Roman" w:hAnsi="Times New Roman" w:cs="Times New Roman"/>
          <w:sz w:val="20"/>
          <w:szCs w:val="20"/>
        </w:rPr>
        <w:t>histologic</w:t>
      </w:r>
      <w:proofErr w:type="spellEnd"/>
      <w:r w:rsidRPr="001C1ABA">
        <w:rPr>
          <w:rFonts w:ascii="Times New Roman" w:hAnsi="Times New Roman" w:cs="Times New Roman"/>
          <w:sz w:val="20"/>
          <w:szCs w:val="20"/>
        </w:rPr>
        <w:t xml:space="preserve"> diagnosis based on microscopic characteristics as described by the World Health Organization</w:t>
      </w:r>
      <w:r w:rsidR="00DB096E">
        <w:rPr>
          <w:rFonts w:ascii="Times New Roman" w:hAnsi="Times New Roman" w:cs="Times New Roman" w:hint="eastAsia"/>
          <w:sz w:val="20"/>
          <w:szCs w:val="20"/>
          <w:lang w:eastAsia="zh-CN"/>
        </w:rPr>
        <w:t xml:space="preserve"> </w:t>
      </w:r>
      <w:r w:rsidR="00107C9B" w:rsidRPr="001C1ABA">
        <w:rPr>
          <w:rFonts w:ascii="Times New Roman" w:hAnsi="Times New Roman" w:cs="Times New Roman"/>
          <w:sz w:val="20"/>
          <w:szCs w:val="20"/>
        </w:rPr>
        <w:t>[</w:t>
      </w:r>
      <w:r w:rsidR="00107C9B" w:rsidRPr="001C1ABA">
        <w:rPr>
          <w:rFonts w:ascii="Times New Roman" w:eastAsia="JCbgK-Identity-H" w:hAnsi="Times New Roman" w:cs="Times New Roman"/>
          <w:sz w:val="20"/>
          <w:szCs w:val="20"/>
        </w:rPr>
        <w:t xml:space="preserve">Hamilton and </w:t>
      </w:r>
      <w:proofErr w:type="spellStart"/>
      <w:r w:rsidR="00107C9B" w:rsidRPr="001C1ABA">
        <w:rPr>
          <w:rFonts w:ascii="Times New Roman" w:eastAsia="JCbgK-Identity-H" w:hAnsi="Times New Roman" w:cs="Times New Roman"/>
          <w:sz w:val="20"/>
          <w:szCs w:val="20"/>
        </w:rPr>
        <w:t>Aaltonen</w:t>
      </w:r>
      <w:proofErr w:type="spellEnd"/>
      <w:r w:rsidR="00107C9B" w:rsidRPr="001C1ABA">
        <w:rPr>
          <w:rFonts w:ascii="Times New Roman" w:eastAsia="JCbgK-Identity-H" w:hAnsi="Times New Roman" w:cs="Times New Roman"/>
          <w:sz w:val="20"/>
          <w:szCs w:val="20"/>
        </w:rPr>
        <w:t>, 2004]</w:t>
      </w:r>
      <w:r w:rsidRPr="001C1ABA">
        <w:rPr>
          <w:rFonts w:ascii="Times New Roman" w:hAnsi="Times New Roman" w:cs="Times New Roman"/>
          <w:sz w:val="20"/>
          <w:szCs w:val="20"/>
        </w:rPr>
        <w:t xml:space="preserve">.Signet ring cell carcinoma is characterized by cells with abundant </w:t>
      </w:r>
      <w:proofErr w:type="spellStart"/>
      <w:r w:rsidRPr="001C1ABA">
        <w:rPr>
          <w:rFonts w:ascii="Times New Roman" w:hAnsi="Times New Roman" w:cs="Times New Roman"/>
          <w:sz w:val="20"/>
          <w:szCs w:val="20"/>
        </w:rPr>
        <w:t>mucin</w:t>
      </w:r>
      <w:proofErr w:type="spellEnd"/>
      <w:r w:rsidRPr="001C1ABA">
        <w:rPr>
          <w:rFonts w:ascii="Times New Roman" w:hAnsi="Times New Roman" w:cs="Times New Roman"/>
          <w:sz w:val="20"/>
          <w:szCs w:val="20"/>
        </w:rPr>
        <w:t xml:space="preserve"> in the cytoplasm and nuclei located at the cell periphery. It has long been thought to have a worse prognosis than other forms of gastric cancer</w:t>
      </w:r>
      <w:r w:rsidR="00DB096E">
        <w:rPr>
          <w:rFonts w:ascii="Times New Roman" w:hAnsi="Times New Roman" w:cs="Times New Roman" w:hint="eastAsia"/>
          <w:sz w:val="20"/>
          <w:szCs w:val="20"/>
          <w:lang w:eastAsia="zh-CN"/>
        </w:rPr>
        <w:t xml:space="preserve"> </w:t>
      </w:r>
      <w:r w:rsidR="00107C9B" w:rsidRPr="001C1ABA">
        <w:rPr>
          <w:rFonts w:ascii="Times New Roman" w:hAnsi="Times New Roman" w:cs="Times New Roman"/>
          <w:sz w:val="20"/>
          <w:szCs w:val="20"/>
        </w:rPr>
        <w:t>[</w:t>
      </w:r>
      <w:proofErr w:type="spellStart"/>
      <w:r w:rsidR="00107C9B" w:rsidRPr="001C1ABA">
        <w:rPr>
          <w:rFonts w:ascii="Times New Roman" w:hAnsi="Times New Roman" w:cs="Times New Roman"/>
          <w:sz w:val="20"/>
          <w:szCs w:val="20"/>
        </w:rPr>
        <w:t>Taghavi</w:t>
      </w:r>
      <w:proofErr w:type="spellEnd"/>
      <w:r w:rsidR="00107C9B" w:rsidRPr="001C1ABA">
        <w:rPr>
          <w:rFonts w:ascii="Times New Roman" w:hAnsi="Times New Roman" w:cs="Times New Roman"/>
          <w:sz w:val="20"/>
          <w:szCs w:val="20"/>
        </w:rPr>
        <w:t xml:space="preserve"> et al</w:t>
      </w:r>
      <w:r w:rsidR="00702943" w:rsidRPr="001C1ABA">
        <w:rPr>
          <w:rFonts w:ascii="Times New Roman" w:hAnsi="Times New Roman" w:cs="Times New Roman"/>
          <w:sz w:val="20"/>
          <w:szCs w:val="20"/>
        </w:rPr>
        <w:t>.</w:t>
      </w:r>
      <w:r w:rsidR="00107C9B" w:rsidRPr="001C1ABA">
        <w:rPr>
          <w:rFonts w:ascii="Times New Roman" w:hAnsi="Times New Roman" w:cs="Times New Roman"/>
          <w:sz w:val="20"/>
          <w:szCs w:val="20"/>
        </w:rPr>
        <w:t>, 2012]</w:t>
      </w:r>
      <w:r w:rsidRPr="001C1ABA">
        <w:rPr>
          <w:rFonts w:ascii="Times New Roman" w:hAnsi="Times New Roman" w:cs="Times New Roman"/>
          <w:sz w:val="20"/>
          <w:szCs w:val="20"/>
        </w:rPr>
        <w:t xml:space="preserve">. The genetic background of SRCC has rarely been investigated, and the molecular basis of their growth and differentiation still remains unclear. Therefore, studies of the molecular profile of gastric SRCC and identification of new molecular markers are both relevant to improve the diagnosis and the prognosis of the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w:t>
      </w:r>
    </w:p>
    <w:p w:rsidR="00EC0D92" w:rsidRPr="001C1ABA" w:rsidRDefault="00EC0D92" w:rsidP="008272B1">
      <w:pPr>
        <w:tabs>
          <w:tab w:val="left" w:pos="709"/>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1C1ABA">
        <w:rPr>
          <w:rFonts w:ascii="Times New Roman" w:hAnsi="Times New Roman" w:cs="Times New Roman"/>
          <w:sz w:val="20"/>
          <w:szCs w:val="20"/>
        </w:rPr>
        <w:t xml:space="preserve">Transcriptional </w:t>
      </w:r>
      <w:proofErr w:type="spellStart"/>
      <w:r w:rsidRPr="001C1ABA">
        <w:rPr>
          <w:rFonts w:ascii="Times New Roman" w:hAnsi="Times New Roman" w:cs="Times New Roman"/>
          <w:sz w:val="20"/>
          <w:szCs w:val="20"/>
        </w:rPr>
        <w:t>coactivator</w:t>
      </w:r>
      <w:proofErr w:type="spellEnd"/>
      <w:r w:rsidRPr="001C1ABA">
        <w:rPr>
          <w:rFonts w:ascii="Times New Roman" w:hAnsi="Times New Roman" w:cs="Times New Roman"/>
          <w:sz w:val="20"/>
          <w:szCs w:val="20"/>
        </w:rPr>
        <w:t xml:space="preserve"> with PDZ-binding motif (TAZ), also called WW-domain containing transcription regulator 1 (WWTR1), has been defined for its role in the nucleus</w:t>
      </w:r>
      <w:r w:rsidR="00DB096E">
        <w:rPr>
          <w:rFonts w:ascii="Times New Roman" w:hAnsi="Times New Roman" w:cs="Times New Roman" w:hint="eastAsia"/>
          <w:sz w:val="20"/>
          <w:szCs w:val="20"/>
          <w:lang w:eastAsia="zh-CN"/>
        </w:rPr>
        <w:t xml:space="preserve"> </w:t>
      </w:r>
      <w:r w:rsidR="00107C9B" w:rsidRPr="001C1ABA">
        <w:rPr>
          <w:rFonts w:ascii="Times New Roman" w:hAnsi="Times New Roman" w:cs="Times New Roman"/>
          <w:sz w:val="20"/>
          <w:szCs w:val="20"/>
        </w:rPr>
        <w:t>[Di Palma et al</w:t>
      </w:r>
      <w:r w:rsidR="00702943" w:rsidRPr="001C1ABA">
        <w:rPr>
          <w:rFonts w:ascii="Times New Roman" w:hAnsi="Times New Roman" w:cs="Times New Roman"/>
          <w:sz w:val="20"/>
          <w:szCs w:val="20"/>
        </w:rPr>
        <w:t>.</w:t>
      </w:r>
      <w:r w:rsidR="00107C9B" w:rsidRPr="001C1ABA">
        <w:rPr>
          <w:rFonts w:ascii="Times New Roman" w:hAnsi="Times New Roman" w:cs="Times New Roman"/>
          <w:sz w:val="20"/>
          <w:szCs w:val="20"/>
        </w:rPr>
        <w:t>, 2009]</w:t>
      </w:r>
      <w:r w:rsidRPr="001C1ABA">
        <w:rPr>
          <w:rFonts w:ascii="Times New Roman" w:hAnsi="Times New Roman" w:cs="Times New Roman"/>
          <w:sz w:val="20"/>
          <w:szCs w:val="20"/>
        </w:rPr>
        <w:t>. It functions directly as a transcriptional regulator by interacting with several nuclear factors and plays a central role in the Hippo pathway, which regulates the size and shape of organ development</w:t>
      </w:r>
      <w:r w:rsidR="00DB096E">
        <w:rPr>
          <w:rFonts w:ascii="Times New Roman" w:hAnsi="Times New Roman" w:cs="Times New Roman" w:hint="eastAsia"/>
          <w:sz w:val="20"/>
          <w:szCs w:val="20"/>
          <w:lang w:eastAsia="zh-CN"/>
        </w:rPr>
        <w:t xml:space="preserve"> </w:t>
      </w:r>
      <w:r w:rsidR="00107C9B" w:rsidRPr="001C1ABA">
        <w:rPr>
          <w:rFonts w:ascii="Times New Roman" w:hAnsi="Times New Roman" w:cs="Times New Roman"/>
          <w:sz w:val="20"/>
          <w:szCs w:val="20"/>
        </w:rPr>
        <w:t>[</w:t>
      </w:r>
      <w:proofErr w:type="spellStart"/>
      <w:r w:rsidR="00107C9B" w:rsidRPr="001C1ABA">
        <w:rPr>
          <w:rFonts w:ascii="Times New Roman" w:hAnsi="Times New Roman" w:cs="Times New Roman"/>
          <w:sz w:val="20"/>
          <w:szCs w:val="20"/>
        </w:rPr>
        <w:t>Varelas</w:t>
      </w:r>
      <w:proofErr w:type="spellEnd"/>
      <w:r w:rsidR="00107C9B" w:rsidRPr="001C1ABA">
        <w:rPr>
          <w:rFonts w:ascii="Times New Roman" w:hAnsi="Times New Roman" w:cs="Times New Roman"/>
          <w:sz w:val="20"/>
          <w:szCs w:val="20"/>
        </w:rPr>
        <w:t xml:space="preserve"> et al</w:t>
      </w:r>
      <w:r w:rsidR="00702943" w:rsidRPr="001C1ABA">
        <w:rPr>
          <w:rFonts w:ascii="Times New Roman" w:hAnsi="Times New Roman" w:cs="Times New Roman"/>
          <w:sz w:val="20"/>
          <w:szCs w:val="20"/>
        </w:rPr>
        <w:t>.</w:t>
      </w:r>
      <w:r w:rsidR="00107C9B" w:rsidRPr="001C1ABA">
        <w:rPr>
          <w:rFonts w:ascii="Times New Roman" w:hAnsi="Times New Roman" w:cs="Times New Roman"/>
          <w:sz w:val="20"/>
          <w:szCs w:val="20"/>
        </w:rPr>
        <w:t>, 2008]</w:t>
      </w:r>
      <w:r w:rsidRPr="001C1ABA">
        <w:rPr>
          <w:rFonts w:ascii="Times New Roman" w:hAnsi="Times New Roman" w:cs="Times New Roman"/>
          <w:sz w:val="20"/>
          <w:szCs w:val="20"/>
        </w:rPr>
        <w:t>.</w:t>
      </w:r>
      <w:r w:rsidR="00DB096E">
        <w:rPr>
          <w:rFonts w:ascii="Times New Roman" w:hAnsi="Times New Roman" w:cs="Times New Roman" w:hint="eastAsia"/>
          <w:sz w:val="20"/>
          <w:szCs w:val="20"/>
          <w:lang w:eastAsia="zh-CN"/>
        </w:rPr>
        <w:t xml:space="preserve"> </w:t>
      </w:r>
      <w:proofErr w:type="spellStart"/>
      <w:r w:rsidRPr="001C1ABA">
        <w:rPr>
          <w:rFonts w:ascii="Times New Roman" w:hAnsi="Times New Roman" w:cs="Times New Roman"/>
          <w:sz w:val="20"/>
          <w:szCs w:val="20"/>
        </w:rPr>
        <w:t>TAZwas</w:t>
      </w:r>
      <w:proofErr w:type="spellEnd"/>
      <w:r w:rsidRPr="001C1ABA">
        <w:rPr>
          <w:rFonts w:ascii="Times New Roman" w:hAnsi="Times New Roman" w:cs="Times New Roman"/>
          <w:sz w:val="20"/>
          <w:szCs w:val="20"/>
        </w:rPr>
        <w:t xml:space="preserve"> described as controlling gene important for muscle differentiation, lung and respiratory epithelial differentiation, cardiac and limb development, </w:t>
      </w:r>
      <w:proofErr w:type="spellStart"/>
      <w:r w:rsidRPr="001C1ABA">
        <w:rPr>
          <w:rFonts w:ascii="Times New Roman" w:hAnsi="Times New Roman" w:cs="Times New Roman"/>
          <w:sz w:val="20"/>
          <w:szCs w:val="20"/>
        </w:rPr>
        <w:t>adipogenesis</w:t>
      </w:r>
      <w:proofErr w:type="spellEnd"/>
      <w:r w:rsidRPr="001C1ABA">
        <w:rPr>
          <w:rFonts w:ascii="Times New Roman" w:hAnsi="Times New Roman" w:cs="Times New Roman"/>
          <w:sz w:val="20"/>
          <w:szCs w:val="20"/>
        </w:rPr>
        <w:t xml:space="preserve"> and </w:t>
      </w:r>
      <w:proofErr w:type="spellStart"/>
      <w:r w:rsidRPr="001C1ABA">
        <w:rPr>
          <w:rFonts w:ascii="Times New Roman" w:hAnsi="Times New Roman" w:cs="Times New Roman"/>
          <w:sz w:val="20"/>
          <w:szCs w:val="20"/>
        </w:rPr>
        <w:t>osteogenesis</w:t>
      </w:r>
      <w:proofErr w:type="spellEnd"/>
      <w:r w:rsidRPr="001C1ABA">
        <w:rPr>
          <w:rFonts w:ascii="Times New Roman" w:hAnsi="Times New Roman" w:cs="Times New Roman"/>
          <w:sz w:val="20"/>
          <w:szCs w:val="20"/>
        </w:rPr>
        <w:t xml:space="preserve">, and </w:t>
      </w:r>
      <w:proofErr w:type="spellStart"/>
      <w:r w:rsidRPr="001C1ABA">
        <w:rPr>
          <w:rFonts w:ascii="Times New Roman" w:hAnsi="Times New Roman" w:cs="Times New Roman"/>
          <w:sz w:val="20"/>
          <w:szCs w:val="20"/>
        </w:rPr>
        <w:t>tumorigenesis</w:t>
      </w:r>
      <w:proofErr w:type="spellEnd"/>
      <w:r w:rsidRPr="001C1ABA">
        <w:rPr>
          <w:rFonts w:ascii="Times New Roman" w:hAnsi="Times New Roman" w:cs="Times New Roman"/>
          <w:sz w:val="20"/>
          <w:szCs w:val="20"/>
        </w:rPr>
        <w:t>. TAZ</w:t>
      </w:r>
      <w:r w:rsidR="00DB096E">
        <w:rPr>
          <w:rFonts w:ascii="Times New Roman" w:hAnsi="Times New Roman" w:cs="Times New Roman" w:hint="eastAsia"/>
          <w:sz w:val="20"/>
          <w:szCs w:val="20"/>
          <w:lang w:eastAsia="zh-CN"/>
        </w:rPr>
        <w:t xml:space="preserve"> </w:t>
      </w:r>
      <w:r w:rsidRPr="001C1ABA">
        <w:rPr>
          <w:rFonts w:ascii="Times New Roman" w:hAnsi="Times New Roman" w:cs="Times New Roman"/>
          <w:sz w:val="20"/>
          <w:szCs w:val="20"/>
        </w:rPr>
        <w:t xml:space="preserve">has been identified as an </w:t>
      </w:r>
      <w:proofErr w:type="spellStart"/>
      <w:r w:rsidRPr="001C1ABA">
        <w:rPr>
          <w:rFonts w:ascii="Times New Roman" w:hAnsi="Times New Roman" w:cs="Times New Roman"/>
          <w:sz w:val="20"/>
          <w:szCs w:val="20"/>
        </w:rPr>
        <w:lastRenderedPageBreak/>
        <w:t>oncogene</w:t>
      </w:r>
      <w:proofErr w:type="spellEnd"/>
      <w:r w:rsidRPr="001C1ABA">
        <w:rPr>
          <w:rFonts w:ascii="Times New Roman" w:hAnsi="Times New Roman" w:cs="Times New Roman"/>
          <w:sz w:val="20"/>
          <w:szCs w:val="20"/>
        </w:rPr>
        <w:t xml:space="preserve"> and has an important role in </w:t>
      </w:r>
      <w:proofErr w:type="spellStart"/>
      <w:r w:rsidRPr="001C1ABA">
        <w:rPr>
          <w:rFonts w:ascii="Times New Roman" w:hAnsi="Times New Roman" w:cs="Times New Roman"/>
          <w:sz w:val="20"/>
          <w:szCs w:val="20"/>
        </w:rPr>
        <w:t>tumorigenicity</w:t>
      </w:r>
      <w:proofErr w:type="spellEnd"/>
      <w:r w:rsidRPr="001C1ABA">
        <w:rPr>
          <w:rFonts w:ascii="Times New Roman" w:hAnsi="Times New Roman" w:cs="Times New Roman"/>
          <w:sz w:val="20"/>
          <w:szCs w:val="20"/>
        </w:rPr>
        <w:t xml:space="preserve"> of many cancers, such as non-small cell lung cancer</w:t>
      </w:r>
      <w:r w:rsidR="00DB096E">
        <w:rPr>
          <w:rFonts w:ascii="Times New Roman" w:hAnsi="Times New Roman" w:cs="Times New Roman" w:hint="eastAsia"/>
          <w:sz w:val="20"/>
          <w:szCs w:val="20"/>
          <w:lang w:eastAsia="zh-CN"/>
        </w:rPr>
        <w:t xml:space="preserve"> </w:t>
      </w:r>
      <w:r w:rsidR="00107C9B" w:rsidRPr="001C1ABA">
        <w:rPr>
          <w:rFonts w:ascii="Times New Roman" w:hAnsi="Times New Roman" w:cs="Times New Roman"/>
          <w:sz w:val="20"/>
          <w:szCs w:val="20"/>
        </w:rPr>
        <w:t>[</w:t>
      </w:r>
      <w:proofErr w:type="spellStart"/>
      <w:r w:rsidR="00107C9B" w:rsidRPr="001C1ABA">
        <w:rPr>
          <w:rFonts w:ascii="Times New Roman" w:hAnsi="Times New Roman" w:cs="Times New Roman"/>
          <w:sz w:val="20"/>
          <w:szCs w:val="20"/>
        </w:rPr>
        <w:t>Xie</w:t>
      </w:r>
      <w:proofErr w:type="spellEnd"/>
      <w:r w:rsidR="00107C9B" w:rsidRPr="001C1ABA">
        <w:rPr>
          <w:rFonts w:ascii="Times New Roman" w:hAnsi="Times New Roman" w:cs="Times New Roman"/>
          <w:sz w:val="20"/>
          <w:szCs w:val="20"/>
        </w:rPr>
        <w:t xml:space="preserve"> et al</w:t>
      </w:r>
      <w:r w:rsidR="00702943" w:rsidRPr="001C1ABA">
        <w:rPr>
          <w:rFonts w:ascii="Times New Roman" w:hAnsi="Times New Roman" w:cs="Times New Roman"/>
          <w:sz w:val="20"/>
          <w:szCs w:val="20"/>
        </w:rPr>
        <w:t>.</w:t>
      </w:r>
      <w:r w:rsidR="00107C9B" w:rsidRPr="001C1ABA">
        <w:rPr>
          <w:rFonts w:ascii="Times New Roman" w:hAnsi="Times New Roman" w:cs="Times New Roman"/>
          <w:sz w:val="20"/>
          <w:szCs w:val="20"/>
        </w:rPr>
        <w:t>, 2012]</w:t>
      </w:r>
      <w:r w:rsidRPr="001C1ABA">
        <w:rPr>
          <w:rFonts w:ascii="Times New Roman" w:hAnsi="Times New Roman" w:cs="Times New Roman"/>
          <w:sz w:val="20"/>
          <w:szCs w:val="20"/>
        </w:rPr>
        <w:t>, papillary thyroid carcinoma</w:t>
      </w:r>
      <w:r w:rsidR="00DB096E">
        <w:rPr>
          <w:rFonts w:ascii="Times New Roman" w:hAnsi="Times New Roman" w:cs="Times New Roman" w:hint="eastAsia"/>
          <w:sz w:val="20"/>
          <w:szCs w:val="20"/>
          <w:lang w:eastAsia="zh-CN"/>
        </w:rPr>
        <w:t xml:space="preserve"> </w:t>
      </w:r>
      <w:r w:rsidR="00107C9B" w:rsidRPr="001C1ABA">
        <w:rPr>
          <w:rFonts w:ascii="Times New Roman" w:hAnsi="Times New Roman" w:cs="Times New Roman"/>
          <w:sz w:val="20"/>
          <w:szCs w:val="20"/>
        </w:rPr>
        <w:t xml:space="preserve">[De </w:t>
      </w:r>
      <w:proofErr w:type="spellStart"/>
      <w:r w:rsidR="00107C9B" w:rsidRPr="001C1ABA">
        <w:rPr>
          <w:rFonts w:ascii="Times New Roman" w:hAnsi="Times New Roman" w:cs="Times New Roman"/>
          <w:sz w:val="20"/>
          <w:szCs w:val="20"/>
        </w:rPr>
        <w:t>Cristofaro</w:t>
      </w:r>
      <w:proofErr w:type="spellEnd"/>
      <w:r w:rsidR="00107C9B" w:rsidRPr="001C1ABA">
        <w:rPr>
          <w:rFonts w:ascii="Times New Roman" w:hAnsi="Times New Roman" w:cs="Times New Roman"/>
          <w:sz w:val="20"/>
          <w:szCs w:val="20"/>
        </w:rPr>
        <w:t xml:space="preserve"> et al</w:t>
      </w:r>
      <w:r w:rsidR="00702943" w:rsidRPr="001C1ABA">
        <w:rPr>
          <w:rFonts w:ascii="Times New Roman" w:hAnsi="Times New Roman" w:cs="Times New Roman"/>
          <w:sz w:val="20"/>
          <w:szCs w:val="20"/>
        </w:rPr>
        <w:t>.</w:t>
      </w:r>
      <w:r w:rsidR="00107C9B" w:rsidRPr="001C1ABA">
        <w:rPr>
          <w:rFonts w:ascii="Times New Roman" w:hAnsi="Times New Roman" w:cs="Times New Roman"/>
          <w:sz w:val="20"/>
          <w:szCs w:val="20"/>
        </w:rPr>
        <w:t>, 2011]</w:t>
      </w:r>
      <w:r w:rsidRPr="001C1ABA">
        <w:rPr>
          <w:rFonts w:ascii="Times New Roman" w:hAnsi="Times New Roman" w:cs="Times New Roman"/>
          <w:sz w:val="20"/>
          <w:szCs w:val="20"/>
        </w:rPr>
        <w:t>, and colon cancer</w:t>
      </w:r>
      <w:r w:rsidR="00CD7B5C" w:rsidRPr="001C1ABA">
        <w:rPr>
          <w:rFonts w:ascii="Times New Roman" w:hAnsi="Times New Roman" w:cs="Times New Roman"/>
          <w:sz w:val="20"/>
          <w:szCs w:val="20"/>
        </w:rPr>
        <w:t xml:space="preserve"> </w:t>
      </w:r>
      <w:r w:rsidR="00107C9B" w:rsidRPr="001C1ABA">
        <w:rPr>
          <w:rFonts w:ascii="Times New Roman" w:hAnsi="Times New Roman" w:cs="Times New Roman"/>
          <w:sz w:val="20"/>
          <w:szCs w:val="20"/>
        </w:rPr>
        <w:t>[Yuen et al</w:t>
      </w:r>
      <w:r w:rsidR="00702943" w:rsidRPr="001C1ABA">
        <w:rPr>
          <w:rFonts w:ascii="Times New Roman" w:hAnsi="Times New Roman" w:cs="Times New Roman"/>
          <w:sz w:val="20"/>
          <w:szCs w:val="20"/>
        </w:rPr>
        <w:t>.</w:t>
      </w:r>
      <w:r w:rsidR="00107C9B" w:rsidRPr="001C1ABA">
        <w:rPr>
          <w:rFonts w:ascii="Times New Roman" w:hAnsi="Times New Roman" w:cs="Times New Roman"/>
          <w:sz w:val="20"/>
          <w:szCs w:val="20"/>
        </w:rPr>
        <w:t>, 2013]</w:t>
      </w:r>
      <w:r w:rsidRPr="001C1ABA">
        <w:rPr>
          <w:rFonts w:ascii="Times New Roman" w:hAnsi="Times New Roman" w:cs="Times New Roman"/>
          <w:sz w:val="20"/>
          <w:szCs w:val="20"/>
        </w:rPr>
        <w:t>. They found that TAZ</w:t>
      </w:r>
      <w:r w:rsidR="00DB096E">
        <w:rPr>
          <w:rFonts w:ascii="Times New Roman" w:hAnsi="Times New Roman" w:cs="Times New Roman" w:hint="eastAsia"/>
          <w:sz w:val="20"/>
          <w:szCs w:val="20"/>
          <w:lang w:eastAsia="zh-CN"/>
        </w:rPr>
        <w:t xml:space="preserve"> </w:t>
      </w:r>
      <w:r w:rsidRPr="001C1ABA">
        <w:rPr>
          <w:rFonts w:ascii="Times New Roman" w:hAnsi="Times New Roman" w:cs="Times New Roman"/>
          <w:sz w:val="20"/>
          <w:szCs w:val="20"/>
        </w:rPr>
        <w:t xml:space="preserve">gene expression signature was over-represented in poorly differentiated </w:t>
      </w:r>
      <w:proofErr w:type="spellStart"/>
      <w:r w:rsidRPr="001C1ABA">
        <w:rPr>
          <w:rFonts w:ascii="Times New Roman" w:hAnsi="Times New Roman" w:cs="Times New Roman"/>
          <w:sz w:val="20"/>
          <w:szCs w:val="20"/>
        </w:rPr>
        <w:t>tumors</w:t>
      </w:r>
      <w:proofErr w:type="spellEnd"/>
      <w:r w:rsidRPr="001C1ABA">
        <w:rPr>
          <w:rFonts w:ascii="Times New Roman" w:hAnsi="Times New Roman" w:cs="Times New Roman"/>
          <w:sz w:val="20"/>
          <w:szCs w:val="20"/>
        </w:rPr>
        <w:t xml:space="preserve"> compared with well-differentiated low-grade </w:t>
      </w:r>
      <w:proofErr w:type="spellStart"/>
      <w:r w:rsidRPr="001C1ABA">
        <w:rPr>
          <w:rFonts w:ascii="Times New Roman" w:hAnsi="Times New Roman" w:cs="Times New Roman"/>
          <w:sz w:val="20"/>
          <w:szCs w:val="20"/>
        </w:rPr>
        <w:t>tumors</w:t>
      </w:r>
      <w:proofErr w:type="spellEnd"/>
      <w:r w:rsidRPr="001C1ABA">
        <w:rPr>
          <w:rFonts w:ascii="Times New Roman" w:hAnsi="Times New Roman" w:cs="Times New Roman"/>
          <w:sz w:val="20"/>
          <w:szCs w:val="20"/>
        </w:rPr>
        <w:t>. Importantly, TAZ confers cancer stem cell-related traits in breast cancer cells</w:t>
      </w:r>
      <w:r w:rsidR="00DB096E">
        <w:rPr>
          <w:rFonts w:ascii="Times New Roman" w:hAnsi="Times New Roman" w:cs="Times New Roman" w:hint="eastAsia"/>
          <w:sz w:val="20"/>
          <w:szCs w:val="20"/>
          <w:lang w:eastAsia="zh-CN"/>
        </w:rPr>
        <w:t xml:space="preserve"> </w:t>
      </w:r>
      <w:r w:rsidR="00107C9B" w:rsidRPr="001C1ABA">
        <w:rPr>
          <w:rFonts w:ascii="Times New Roman" w:hAnsi="Times New Roman" w:cs="Times New Roman"/>
          <w:sz w:val="20"/>
          <w:szCs w:val="20"/>
        </w:rPr>
        <w:t>[Zhao et al</w:t>
      </w:r>
      <w:r w:rsidR="00702943" w:rsidRPr="001C1ABA">
        <w:rPr>
          <w:rFonts w:ascii="Times New Roman" w:hAnsi="Times New Roman" w:cs="Times New Roman"/>
          <w:sz w:val="20"/>
          <w:szCs w:val="20"/>
        </w:rPr>
        <w:t>.</w:t>
      </w:r>
      <w:r w:rsidR="00107C9B" w:rsidRPr="001C1ABA">
        <w:rPr>
          <w:rFonts w:ascii="Times New Roman" w:hAnsi="Times New Roman" w:cs="Times New Roman"/>
          <w:sz w:val="20"/>
          <w:szCs w:val="20"/>
        </w:rPr>
        <w:t>, 2012]</w:t>
      </w:r>
      <w:r w:rsidRPr="001C1ABA">
        <w:rPr>
          <w:rFonts w:ascii="Times New Roman" w:hAnsi="Times New Roman" w:cs="Times New Roman"/>
          <w:sz w:val="20"/>
          <w:szCs w:val="20"/>
        </w:rPr>
        <w:t>,</w:t>
      </w:r>
      <w:r w:rsidR="00DB096E">
        <w:rPr>
          <w:rFonts w:ascii="Times New Roman" w:hAnsi="Times New Roman" w:cs="Times New Roman" w:hint="eastAsia"/>
          <w:sz w:val="20"/>
          <w:szCs w:val="20"/>
          <w:lang w:eastAsia="zh-CN"/>
        </w:rPr>
        <w:t xml:space="preserve"> </w:t>
      </w:r>
      <w:r w:rsidRPr="001C1ABA">
        <w:rPr>
          <w:rFonts w:ascii="Times New Roman" w:hAnsi="Times New Roman" w:cs="Times New Roman"/>
          <w:sz w:val="20"/>
          <w:szCs w:val="20"/>
        </w:rPr>
        <w:t xml:space="preserve">further highlighting its importance in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initiation and progression.</w:t>
      </w:r>
    </w:p>
    <w:p w:rsidR="00EC0D92" w:rsidRPr="001C1ABA" w:rsidRDefault="00EC0D92" w:rsidP="008272B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C1ABA">
        <w:rPr>
          <w:rFonts w:ascii="Times New Roman" w:hAnsi="Times New Roman" w:cs="Times New Roman"/>
          <w:sz w:val="20"/>
          <w:szCs w:val="20"/>
        </w:rPr>
        <w:t xml:space="preserve">Cancer cells take up glucose at higher rates than do normal cells but produce energy mainly by </w:t>
      </w:r>
      <w:proofErr w:type="spellStart"/>
      <w:r w:rsidRPr="001C1ABA">
        <w:rPr>
          <w:rFonts w:ascii="Times New Roman" w:hAnsi="Times New Roman" w:cs="Times New Roman"/>
          <w:sz w:val="20"/>
          <w:szCs w:val="20"/>
        </w:rPr>
        <w:t>glycolysis</w:t>
      </w:r>
      <w:proofErr w:type="spellEnd"/>
      <w:r w:rsidRPr="001C1ABA">
        <w:rPr>
          <w:rFonts w:ascii="Times New Roman" w:hAnsi="Times New Roman" w:cs="Times New Roman"/>
          <w:sz w:val="20"/>
          <w:szCs w:val="20"/>
        </w:rPr>
        <w:t xml:space="preserve">, rather than by mitochondrial oxidation of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This process, called aerobic </w:t>
      </w:r>
      <w:proofErr w:type="spellStart"/>
      <w:r w:rsidRPr="001C1ABA">
        <w:rPr>
          <w:rFonts w:ascii="Times New Roman" w:hAnsi="Times New Roman" w:cs="Times New Roman"/>
          <w:sz w:val="20"/>
          <w:szCs w:val="20"/>
        </w:rPr>
        <w:t>glycolysis</w:t>
      </w:r>
      <w:proofErr w:type="spellEnd"/>
      <w:r w:rsidRPr="001C1ABA">
        <w:rPr>
          <w:rFonts w:ascii="Times New Roman" w:hAnsi="Times New Roman" w:cs="Times New Roman"/>
          <w:sz w:val="20"/>
          <w:szCs w:val="20"/>
        </w:rPr>
        <w:t xml:space="preserve"> or the Warburg effect, is very important for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growth</w:t>
      </w:r>
      <w:r w:rsidR="00DB096E">
        <w:rPr>
          <w:rFonts w:ascii="Times New Roman" w:hAnsi="Times New Roman" w:cs="Times New Roman" w:hint="eastAsia"/>
          <w:sz w:val="20"/>
          <w:szCs w:val="20"/>
          <w:lang w:eastAsia="zh-CN"/>
        </w:rPr>
        <w:t xml:space="preserve"> </w:t>
      </w:r>
      <w:r w:rsidR="00470005" w:rsidRPr="001C1ABA">
        <w:rPr>
          <w:rFonts w:ascii="Times New Roman" w:hAnsi="Times New Roman" w:cs="Times New Roman"/>
          <w:sz w:val="20"/>
          <w:szCs w:val="20"/>
        </w:rPr>
        <w:t>[</w:t>
      </w:r>
      <w:proofErr w:type="spellStart"/>
      <w:r w:rsidR="00470005" w:rsidRPr="001C1ABA">
        <w:rPr>
          <w:rFonts w:ascii="Times New Roman" w:hAnsi="Times New Roman" w:cs="Times New Roman"/>
          <w:sz w:val="20"/>
          <w:szCs w:val="20"/>
        </w:rPr>
        <w:t>Mazurek</w:t>
      </w:r>
      <w:proofErr w:type="spellEnd"/>
      <w:r w:rsidR="00470005" w:rsidRPr="001C1ABA">
        <w:rPr>
          <w:rFonts w:ascii="Times New Roman" w:hAnsi="Times New Roman" w:cs="Times New Roman"/>
          <w:sz w:val="20"/>
          <w:szCs w:val="20"/>
        </w:rPr>
        <w:t>, 2011]</w:t>
      </w:r>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Glycolysis</w:t>
      </w:r>
      <w:proofErr w:type="spellEnd"/>
      <w:r w:rsidRPr="001C1ABA">
        <w:rPr>
          <w:rFonts w:ascii="Times New Roman" w:hAnsi="Times New Roman" w:cs="Times New Roman"/>
          <w:sz w:val="20"/>
          <w:szCs w:val="20"/>
        </w:rPr>
        <w:t xml:space="preserve"> in</w:t>
      </w:r>
      <w:r w:rsidRPr="001C1ABA">
        <w:rPr>
          <w:rFonts w:ascii="Times New Roman" w:hAnsi="Times New Roman" w:cs="Times New Roman"/>
          <w:sz w:val="20"/>
          <w:szCs w:val="20"/>
        </w:rPr>
        <w:softHyphen/>
        <w:t>creases lactate production resulting in acidification of the extracellular environment, which is believed to facilitate cell invasion and metastasis</w:t>
      </w:r>
      <w:r w:rsidR="00DB096E">
        <w:rPr>
          <w:rFonts w:ascii="Times New Roman" w:hAnsi="Times New Roman" w:cs="Times New Roman" w:hint="eastAsia"/>
          <w:sz w:val="20"/>
          <w:szCs w:val="20"/>
          <w:lang w:eastAsia="zh-CN"/>
        </w:rPr>
        <w:t xml:space="preserve"> </w:t>
      </w:r>
      <w:r w:rsidR="00470005" w:rsidRPr="001C1ABA">
        <w:rPr>
          <w:rFonts w:ascii="Times New Roman" w:hAnsi="Times New Roman" w:cs="Times New Roman"/>
          <w:sz w:val="20"/>
          <w:szCs w:val="20"/>
        </w:rPr>
        <w:t>[</w:t>
      </w:r>
      <w:proofErr w:type="spellStart"/>
      <w:r w:rsidR="00470005" w:rsidRPr="001C1ABA">
        <w:rPr>
          <w:rFonts w:ascii="Times New Roman" w:hAnsi="Times New Roman" w:cs="Times New Roman"/>
          <w:sz w:val="20"/>
          <w:szCs w:val="20"/>
        </w:rPr>
        <w:t>Gatenby</w:t>
      </w:r>
      <w:proofErr w:type="spellEnd"/>
      <w:r w:rsidR="00470005" w:rsidRPr="001C1ABA">
        <w:rPr>
          <w:rFonts w:ascii="Times New Roman" w:hAnsi="Times New Roman" w:cs="Times New Roman"/>
          <w:sz w:val="20"/>
          <w:szCs w:val="20"/>
        </w:rPr>
        <w:t xml:space="preserve"> &amp; </w:t>
      </w:r>
      <w:proofErr w:type="spellStart"/>
      <w:r w:rsidR="00470005" w:rsidRPr="001C1ABA">
        <w:rPr>
          <w:rFonts w:ascii="Times New Roman" w:hAnsi="Times New Roman" w:cs="Times New Roman"/>
          <w:sz w:val="20"/>
          <w:szCs w:val="20"/>
        </w:rPr>
        <w:t>Gillies</w:t>
      </w:r>
      <w:proofErr w:type="spellEnd"/>
      <w:r w:rsidR="00470005" w:rsidRPr="001C1ABA">
        <w:rPr>
          <w:rFonts w:ascii="Times New Roman" w:hAnsi="Times New Roman" w:cs="Times New Roman"/>
          <w:sz w:val="20"/>
          <w:szCs w:val="20"/>
        </w:rPr>
        <w:t xml:space="preserve"> 2004]</w:t>
      </w:r>
      <w:r w:rsidRPr="001C1ABA">
        <w:rPr>
          <w:rFonts w:ascii="Times New Roman" w:hAnsi="Times New Roman" w:cs="Times New Roman"/>
          <w:sz w:val="20"/>
          <w:szCs w:val="20"/>
        </w:rPr>
        <w:t xml:space="preserve">. The M2 </w:t>
      </w:r>
      <w:proofErr w:type="spellStart"/>
      <w:r w:rsidRPr="001C1ABA">
        <w:rPr>
          <w:rFonts w:ascii="Times New Roman" w:hAnsi="Times New Roman" w:cs="Times New Roman"/>
          <w:sz w:val="20"/>
          <w:szCs w:val="20"/>
        </w:rPr>
        <w:t>isoform</w:t>
      </w:r>
      <w:proofErr w:type="spellEnd"/>
      <w:r w:rsidRPr="001C1ABA">
        <w:rPr>
          <w:rFonts w:ascii="Times New Roman" w:hAnsi="Times New Roman" w:cs="Times New Roman"/>
          <w:sz w:val="20"/>
          <w:szCs w:val="20"/>
        </w:rPr>
        <w:t xml:space="preserve"> of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(PKM2) was identified as a driver of aerobic </w:t>
      </w:r>
      <w:proofErr w:type="spellStart"/>
      <w:r w:rsidRPr="001C1ABA">
        <w:rPr>
          <w:rFonts w:ascii="Times New Roman" w:hAnsi="Times New Roman" w:cs="Times New Roman"/>
          <w:sz w:val="20"/>
          <w:szCs w:val="20"/>
        </w:rPr>
        <w:t>glycolysis</w:t>
      </w:r>
      <w:proofErr w:type="spellEnd"/>
      <w:r w:rsidRPr="001C1ABA">
        <w:rPr>
          <w:rFonts w:ascii="Times New Roman" w:hAnsi="Times New Roman" w:cs="Times New Roman"/>
          <w:sz w:val="20"/>
          <w:szCs w:val="20"/>
        </w:rPr>
        <w:t xml:space="preserve">, and has been shown to be the </w:t>
      </w:r>
      <w:proofErr w:type="spellStart"/>
      <w:r w:rsidRPr="001C1ABA">
        <w:rPr>
          <w:rFonts w:ascii="Times New Roman" w:hAnsi="Times New Roman" w:cs="Times New Roman"/>
          <w:sz w:val="20"/>
          <w:szCs w:val="20"/>
        </w:rPr>
        <w:t>isoform</w:t>
      </w:r>
      <w:proofErr w:type="spellEnd"/>
      <w:r w:rsidRPr="001C1ABA">
        <w:rPr>
          <w:rFonts w:ascii="Times New Roman" w:hAnsi="Times New Roman" w:cs="Times New Roman"/>
          <w:sz w:val="20"/>
          <w:szCs w:val="20"/>
        </w:rPr>
        <w:t xml:space="preserve"> prefer</w:t>
      </w:r>
      <w:r w:rsidRPr="001C1ABA">
        <w:rPr>
          <w:rFonts w:ascii="Times New Roman" w:hAnsi="Times New Roman" w:cs="Times New Roman"/>
          <w:sz w:val="20"/>
          <w:szCs w:val="20"/>
        </w:rPr>
        <w:softHyphen/>
        <w:t xml:space="preserve">entially </w:t>
      </w:r>
      <w:proofErr w:type="spellStart"/>
      <w:r w:rsidRPr="001C1ABA">
        <w:rPr>
          <w:rFonts w:ascii="Times New Roman" w:hAnsi="Times New Roman" w:cs="Times New Roman"/>
          <w:sz w:val="20"/>
          <w:szCs w:val="20"/>
        </w:rPr>
        <w:t>overexpressed</w:t>
      </w:r>
      <w:proofErr w:type="spellEnd"/>
      <w:r w:rsidRPr="001C1ABA">
        <w:rPr>
          <w:rFonts w:ascii="Times New Roman" w:hAnsi="Times New Roman" w:cs="Times New Roman"/>
          <w:sz w:val="20"/>
          <w:szCs w:val="20"/>
        </w:rPr>
        <w:t xml:space="preserve"> in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cells. Other </w:t>
      </w:r>
      <w:proofErr w:type="spellStart"/>
      <w:r w:rsidRPr="001C1ABA">
        <w:rPr>
          <w:rFonts w:ascii="Times New Roman" w:hAnsi="Times New Roman" w:cs="Times New Roman"/>
          <w:sz w:val="20"/>
          <w:szCs w:val="20"/>
        </w:rPr>
        <w:t>isoenzymes</w:t>
      </w:r>
      <w:proofErr w:type="spellEnd"/>
      <w:r w:rsidRPr="001C1ABA">
        <w:rPr>
          <w:rFonts w:ascii="Times New Roman" w:hAnsi="Times New Roman" w:cs="Times New Roman"/>
          <w:sz w:val="20"/>
          <w:szCs w:val="20"/>
        </w:rPr>
        <w:t xml:space="preserve"> of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type M1,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type L,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type R) are expressed de</w:t>
      </w:r>
      <w:r w:rsidRPr="001C1ABA">
        <w:rPr>
          <w:rFonts w:ascii="Times New Roman" w:hAnsi="Times New Roman" w:cs="Times New Roman"/>
          <w:sz w:val="20"/>
          <w:szCs w:val="20"/>
        </w:rPr>
        <w:softHyphen/>
        <w:t>pending upon the metabolic responsibilities of the vari</w:t>
      </w:r>
      <w:r w:rsidRPr="001C1ABA">
        <w:rPr>
          <w:rFonts w:ascii="Times New Roman" w:hAnsi="Times New Roman" w:cs="Times New Roman"/>
          <w:sz w:val="20"/>
          <w:szCs w:val="20"/>
        </w:rPr>
        <w:softHyphen/>
        <w:t>ous non-cancerous cells and tissues</w:t>
      </w:r>
      <w:r w:rsidR="0068100F" w:rsidRPr="001C1ABA">
        <w:rPr>
          <w:rFonts w:ascii="Times New Roman" w:hAnsi="Times New Roman" w:cs="Times New Roman"/>
          <w:sz w:val="20"/>
          <w:szCs w:val="20"/>
        </w:rPr>
        <w:t xml:space="preserve">.PKM1 and PKM2 </w:t>
      </w:r>
      <w:proofErr w:type="spellStart"/>
      <w:r w:rsidR="0068100F" w:rsidRPr="001C1ABA">
        <w:rPr>
          <w:rFonts w:ascii="Times New Roman" w:hAnsi="Times New Roman" w:cs="Times New Roman"/>
          <w:sz w:val="20"/>
          <w:szCs w:val="20"/>
        </w:rPr>
        <w:t>aresplicing</w:t>
      </w:r>
      <w:proofErr w:type="spellEnd"/>
      <w:r w:rsidR="0068100F" w:rsidRPr="001C1ABA">
        <w:rPr>
          <w:rFonts w:ascii="Times New Roman" w:hAnsi="Times New Roman" w:cs="Times New Roman"/>
          <w:sz w:val="20"/>
          <w:szCs w:val="20"/>
        </w:rPr>
        <w:t xml:space="preserve"> products of the M-gene (</w:t>
      </w:r>
      <w:proofErr w:type="spellStart"/>
      <w:r w:rsidR="0068100F" w:rsidRPr="001C1ABA">
        <w:rPr>
          <w:rFonts w:ascii="Times New Roman" w:hAnsi="Times New Roman" w:cs="Times New Roman"/>
          <w:sz w:val="20"/>
          <w:szCs w:val="20"/>
        </w:rPr>
        <w:t>exon</w:t>
      </w:r>
      <w:proofErr w:type="spellEnd"/>
      <w:r w:rsidR="0068100F" w:rsidRPr="001C1ABA">
        <w:rPr>
          <w:rFonts w:ascii="Times New Roman" w:hAnsi="Times New Roman" w:cs="Times New Roman"/>
          <w:sz w:val="20"/>
          <w:szCs w:val="20"/>
        </w:rPr>
        <w:t xml:space="preserve"> 9 for PKM1 and </w:t>
      </w:r>
      <w:proofErr w:type="spellStart"/>
      <w:r w:rsidR="0068100F" w:rsidRPr="001C1ABA">
        <w:rPr>
          <w:rFonts w:ascii="Times New Roman" w:hAnsi="Times New Roman" w:cs="Times New Roman"/>
          <w:sz w:val="20"/>
          <w:szCs w:val="20"/>
        </w:rPr>
        <w:t>exon</w:t>
      </w:r>
      <w:proofErr w:type="spellEnd"/>
      <w:r w:rsidR="0068100F" w:rsidRPr="001C1ABA">
        <w:rPr>
          <w:rFonts w:ascii="Times New Roman" w:hAnsi="Times New Roman" w:cs="Times New Roman"/>
          <w:sz w:val="20"/>
          <w:szCs w:val="20"/>
        </w:rPr>
        <w:t xml:space="preserve"> 10 for PKM2) and solely differ in 23 amino acids within a 56-amino </w:t>
      </w:r>
      <w:r w:rsidR="0068100F" w:rsidRPr="001C1ABA">
        <w:rPr>
          <w:rFonts w:ascii="Times New Roman" w:hAnsi="Times New Roman" w:cs="Times New Roman"/>
          <w:sz w:val="20"/>
          <w:szCs w:val="20"/>
        </w:rPr>
        <w:lastRenderedPageBreak/>
        <w:t>acid stretch (</w:t>
      </w:r>
      <w:proofErr w:type="spellStart"/>
      <w:r w:rsidR="0068100F" w:rsidRPr="001C1ABA">
        <w:rPr>
          <w:rFonts w:ascii="Times New Roman" w:hAnsi="Times New Roman" w:cs="Times New Roman"/>
          <w:sz w:val="20"/>
          <w:szCs w:val="20"/>
        </w:rPr>
        <w:t>aa</w:t>
      </w:r>
      <w:proofErr w:type="spellEnd"/>
      <w:r w:rsidR="0068100F" w:rsidRPr="001C1ABA">
        <w:rPr>
          <w:rFonts w:ascii="Times New Roman" w:hAnsi="Times New Roman" w:cs="Times New Roman"/>
          <w:sz w:val="20"/>
          <w:szCs w:val="20"/>
        </w:rPr>
        <w:t xml:space="preserve"> 378-434) at their </w:t>
      </w:r>
      <w:proofErr w:type="spellStart"/>
      <w:r w:rsidR="0068100F" w:rsidRPr="001C1ABA">
        <w:rPr>
          <w:rFonts w:ascii="Times New Roman" w:hAnsi="Times New Roman" w:cs="Times New Roman"/>
          <w:sz w:val="20"/>
          <w:szCs w:val="20"/>
        </w:rPr>
        <w:t>carboxy</w:t>
      </w:r>
      <w:proofErr w:type="spellEnd"/>
      <w:r w:rsidR="0068100F" w:rsidRPr="001C1ABA">
        <w:rPr>
          <w:rFonts w:ascii="Times New Roman" w:hAnsi="Times New Roman" w:cs="Times New Roman"/>
          <w:sz w:val="20"/>
          <w:szCs w:val="20"/>
        </w:rPr>
        <w:t xml:space="preserve"> terminu</w:t>
      </w:r>
      <w:r w:rsidR="00470005" w:rsidRPr="001C1ABA">
        <w:rPr>
          <w:rFonts w:ascii="Times New Roman" w:hAnsi="Times New Roman" w:cs="Times New Roman"/>
          <w:sz w:val="20"/>
          <w:szCs w:val="20"/>
        </w:rPr>
        <w:t>s [</w:t>
      </w:r>
      <w:proofErr w:type="spellStart"/>
      <w:r w:rsidR="00470005" w:rsidRPr="001C1ABA">
        <w:rPr>
          <w:rFonts w:ascii="Times New Roman" w:hAnsi="Times New Roman" w:cs="Times New Roman"/>
          <w:sz w:val="20"/>
          <w:szCs w:val="20"/>
        </w:rPr>
        <w:t>Christofk</w:t>
      </w:r>
      <w:proofErr w:type="spellEnd"/>
      <w:r w:rsidR="00470005" w:rsidRPr="001C1ABA">
        <w:rPr>
          <w:rFonts w:ascii="Times New Roman" w:hAnsi="Times New Roman" w:cs="Times New Roman"/>
          <w:sz w:val="20"/>
          <w:szCs w:val="20"/>
        </w:rPr>
        <w:t xml:space="preserve"> et al</w:t>
      </w:r>
      <w:r w:rsidR="00702943" w:rsidRPr="001C1ABA">
        <w:rPr>
          <w:rFonts w:ascii="Times New Roman" w:hAnsi="Times New Roman" w:cs="Times New Roman"/>
          <w:sz w:val="20"/>
          <w:szCs w:val="20"/>
        </w:rPr>
        <w:t>.</w:t>
      </w:r>
      <w:r w:rsidR="00470005" w:rsidRPr="001C1ABA">
        <w:rPr>
          <w:rFonts w:ascii="Times New Roman" w:hAnsi="Times New Roman" w:cs="Times New Roman"/>
          <w:sz w:val="20"/>
          <w:szCs w:val="20"/>
        </w:rPr>
        <w:t>, 2008]</w:t>
      </w:r>
      <w:r w:rsidRPr="001C1ABA">
        <w:rPr>
          <w:rFonts w:ascii="Times New Roman" w:hAnsi="Times New Roman" w:cs="Times New Roman"/>
          <w:sz w:val="20"/>
          <w:szCs w:val="20"/>
        </w:rPr>
        <w:t>.</w:t>
      </w:r>
    </w:p>
    <w:p w:rsidR="00517A0A" w:rsidRPr="001C1ABA" w:rsidRDefault="00517A0A" w:rsidP="008272B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C1ABA">
        <w:rPr>
          <w:rFonts w:ascii="Times New Roman" w:hAnsi="Times New Roman" w:cs="Times New Roman"/>
          <w:sz w:val="20"/>
          <w:szCs w:val="20"/>
        </w:rPr>
        <w:t xml:space="preserve">Two </w:t>
      </w:r>
      <w:proofErr w:type="spellStart"/>
      <w:r w:rsidRPr="001C1ABA">
        <w:rPr>
          <w:rFonts w:ascii="Times New Roman" w:hAnsi="Times New Roman" w:cs="Times New Roman"/>
          <w:sz w:val="20"/>
          <w:szCs w:val="20"/>
        </w:rPr>
        <w:t>missense</w:t>
      </w:r>
      <w:proofErr w:type="spellEnd"/>
      <w:r w:rsidRPr="001C1ABA">
        <w:rPr>
          <w:rFonts w:ascii="Times New Roman" w:hAnsi="Times New Roman" w:cs="Times New Roman"/>
          <w:sz w:val="20"/>
          <w:szCs w:val="20"/>
        </w:rPr>
        <w:t xml:space="preserve"> mutations (H391Y and K422R) of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M2 enzyme were found in cells from patients prone to develop cancer. Results show that despite the presence of mutations in the inter-subunit contact domain, the K422R and H391Y mutant proteins maintained their </w:t>
      </w:r>
      <w:proofErr w:type="spellStart"/>
      <w:r w:rsidRPr="001C1ABA">
        <w:rPr>
          <w:rFonts w:ascii="Times New Roman" w:hAnsi="Times New Roman" w:cs="Times New Roman"/>
          <w:sz w:val="20"/>
          <w:szCs w:val="20"/>
        </w:rPr>
        <w:t>homotetrameric</w:t>
      </w:r>
      <w:proofErr w:type="spellEnd"/>
      <w:r w:rsidRPr="001C1ABA">
        <w:rPr>
          <w:rFonts w:ascii="Times New Roman" w:hAnsi="Times New Roman" w:cs="Times New Roman"/>
          <w:sz w:val="20"/>
          <w:szCs w:val="20"/>
        </w:rPr>
        <w:t xml:space="preserve"> structure, similar to the wild-type protein, but showed a loss of activity of 75 and 20%, respectively. Interestingly, H391Y showed a 6-fold increase in affinity for its substrate </w:t>
      </w:r>
      <w:proofErr w:type="spellStart"/>
      <w:r w:rsidRPr="001C1ABA">
        <w:rPr>
          <w:rFonts w:ascii="Times New Roman" w:hAnsi="Times New Roman" w:cs="Times New Roman"/>
          <w:sz w:val="20"/>
          <w:szCs w:val="20"/>
        </w:rPr>
        <w:t>phosphoenolpyruvate</w:t>
      </w:r>
      <w:proofErr w:type="spellEnd"/>
      <w:r w:rsidRPr="001C1ABA">
        <w:rPr>
          <w:rFonts w:ascii="Times New Roman" w:hAnsi="Times New Roman" w:cs="Times New Roman"/>
          <w:sz w:val="20"/>
          <w:szCs w:val="20"/>
        </w:rPr>
        <w:t xml:space="preserve"> and behaved like a non-</w:t>
      </w:r>
      <w:proofErr w:type="spellStart"/>
      <w:r w:rsidRPr="001C1ABA">
        <w:rPr>
          <w:rFonts w:ascii="Times New Roman" w:hAnsi="Times New Roman" w:cs="Times New Roman"/>
          <w:sz w:val="20"/>
          <w:szCs w:val="20"/>
        </w:rPr>
        <w:t>allosteric</w:t>
      </w:r>
      <w:proofErr w:type="spellEnd"/>
      <w:r w:rsidRPr="001C1ABA">
        <w:rPr>
          <w:rFonts w:ascii="Times New Roman" w:hAnsi="Times New Roman" w:cs="Times New Roman"/>
          <w:sz w:val="20"/>
          <w:szCs w:val="20"/>
        </w:rPr>
        <w:t xml:space="preserve"> protein with compromised cooperative binding. However, the affinity for </w:t>
      </w:r>
      <w:proofErr w:type="spellStart"/>
      <w:r w:rsidRPr="001C1ABA">
        <w:rPr>
          <w:rFonts w:ascii="Times New Roman" w:hAnsi="Times New Roman" w:cs="Times New Roman"/>
          <w:sz w:val="20"/>
          <w:szCs w:val="20"/>
        </w:rPr>
        <w:t>phosphoenolpyruvate</w:t>
      </w:r>
      <w:proofErr w:type="spellEnd"/>
      <w:r w:rsidRPr="001C1ABA">
        <w:rPr>
          <w:rFonts w:ascii="Times New Roman" w:hAnsi="Times New Roman" w:cs="Times New Roman"/>
          <w:sz w:val="20"/>
          <w:szCs w:val="20"/>
        </w:rPr>
        <w:t xml:space="preserve"> was lost significantly in K422R. Unlike K422R, H391Y showed enhanced thermal stability, stability over a range of pH values, a lesser effect of the </w:t>
      </w:r>
      <w:proofErr w:type="spellStart"/>
      <w:r w:rsidRPr="001C1ABA">
        <w:rPr>
          <w:rFonts w:ascii="Times New Roman" w:hAnsi="Times New Roman" w:cs="Times New Roman"/>
          <w:sz w:val="20"/>
          <w:szCs w:val="20"/>
        </w:rPr>
        <w:t>allosteric</w:t>
      </w:r>
      <w:proofErr w:type="spellEnd"/>
      <w:r w:rsidRPr="001C1ABA">
        <w:rPr>
          <w:rFonts w:ascii="Times New Roman" w:hAnsi="Times New Roman" w:cs="Times New Roman"/>
          <w:sz w:val="20"/>
          <w:szCs w:val="20"/>
        </w:rPr>
        <w:t xml:space="preserve"> inhibitor (</w:t>
      </w:r>
      <w:proofErr w:type="spellStart"/>
      <w:r w:rsidRPr="001C1ABA">
        <w:rPr>
          <w:rFonts w:ascii="Times New Roman" w:hAnsi="Times New Roman" w:cs="Times New Roman"/>
          <w:sz w:val="20"/>
          <w:szCs w:val="20"/>
        </w:rPr>
        <w:t>Phe</w:t>
      </w:r>
      <w:proofErr w:type="spellEnd"/>
      <w:r w:rsidRPr="001C1ABA">
        <w:rPr>
          <w:rFonts w:ascii="Times New Roman" w:hAnsi="Times New Roman" w:cs="Times New Roman"/>
          <w:sz w:val="20"/>
          <w:szCs w:val="20"/>
        </w:rPr>
        <w:t>), and resistance toward structural alteration upon binding of the activator (fructose 1,6-bisphosphate) and inhibitor (</w:t>
      </w:r>
      <w:proofErr w:type="spellStart"/>
      <w:r w:rsidRPr="001C1ABA">
        <w:rPr>
          <w:rFonts w:ascii="Times New Roman" w:hAnsi="Times New Roman" w:cs="Times New Roman"/>
          <w:sz w:val="20"/>
          <w:szCs w:val="20"/>
        </w:rPr>
        <w:t>Phe</w:t>
      </w:r>
      <w:proofErr w:type="spellEnd"/>
      <w:r w:rsidRPr="001C1ABA">
        <w:rPr>
          <w:rFonts w:ascii="Times New Roman" w:hAnsi="Times New Roman" w:cs="Times New Roman"/>
          <w:sz w:val="20"/>
          <w:szCs w:val="20"/>
        </w:rPr>
        <w:t>). Both mutants showed a slight shift in the pH optimum from 7.4 to 7.0</w:t>
      </w:r>
      <w:r w:rsidR="00DB096E">
        <w:rPr>
          <w:rFonts w:ascii="Times New Roman" w:hAnsi="Times New Roman" w:cs="Times New Roman" w:hint="eastAsia"/>
          <w:sz w:val="20"/>
          <w:szCs w:val="20"/>
          <w:lang w:eastAsia="zh-CN"/>
        </w:rPr>
        <w:t xml:space="preserve"> </w:t>
      </w:r>
      <w:r w:rsidR="00470005" w:rsidRPr="001C1ABA">
        <w:rPr>
          <w:rFonts w:ascii="Times New Roman" w:hAnsi="Times New Roman" w:cs="Times New Roman"/>
          <w:sz w:val="20"/>
          <w:szCs w:val="20"/>
        </w:rPr>
        <w:t>[</w:t>
      </w:r>
      <w:proofErr w:type="spellStart"/>
      <w:r w:rsidR="00470005" w:rsidRPr="001C1ABA">
        <w:rPr>
          <w:rFonts w:ascii="Times New Roman" w:hAnsi="Times New Roman" w:cs="Times New Roman"/>
          <w:sz w:val="20"/>
          <w:szCs w:val="20"/>
        </w:rPr>
        <w:t>Akhtar</w:t>
      </w:r>
      <w:proofErr w:type="spellEnd"/>
      <w:r w:rsidR="00470005" w:rsidRPr="001C1ABA">
        <w:rPr>
          <w:rFonts w:ascii="Times New Roman" w:hAnsi="Times New Roman" w:cs="Times New Roman"/>
          <w:sz w:val="20"/>
          <w:szCs w:val="20"/>
        </w:rPr>
        <w:t xml:space="preserve"> et al</w:t>
      </w:r>
      <w:r w:rsidR="00702943" w:rsidRPr="001C1ABA">
        <w:rPr>
          <w:rFonts w:ascii="Times New Roman" w:hAnsi="Times New Roman" w:cs="Times New Roman"/>
          <w:sz w:val="20"/>
          <w:szCs w:val="20"/>
        </w:rPr>
        <w:t>.</w:t>
      </w:r>
      <w:r w:rsidR="00470005" w:rsidRPr="001C1ABA">
        <w:rPr>
          <w:rFonts w:ascii="Times New Roman" w:hAnsi="Times New Roman" w:cs="Times New Roman"/>
          <w:sz w:val="20"/>
          <w:szCs w:val="20"/>
        </w:rPr>
        <w:t>, 2009]</w:t>
      </w:r>
      <w:r w:rsidRPr="001C1ABA">
        <w:rPr>
          <w:rFonts w:ascii="Times New Roman" w:hAnsi="Times New Roman" w:cs="Times New Roman"/>
          <w:sz w:val="20"/>
          <w:szCs w:val="20"/>
        </w:rPr>
        <w:t>.</w:t>
      </w:r>
      <w:r w:rsidR="0002385D" w:rsidRPr="001C1ABA">
        <w:rPr>
          <w:rFonts w:ascii="Times New Roman" w:hAnsi="Times New Roman" w:cs="Times New Roman"/>
          <w:sz w:val="20"/>
          <w:szCs w:val="20"/>
        </w:rPr>
        <w:t xml:space="preserve"> Interestingly, cells co-expressing PKM2 and mutant (K422R or H391Y) showed significantly aggressive cancer metabolism, compared to cells expressing either wild or mutant PKM2 independently</w:t>
      </w:r>
      <w:r w:rsidR="00DB096E">
        <w:rPr>
          <w:rFonts w:ascii="Times New Roman" w:hAnsi="Times New Roman" w:cs="Times New Roman" w:hint="eastAsia"/>
          <w:sz w:val="20"/>
          <w:szCs w:val="20"/>
          <w:lang w:eastAsia="zh-CN"/>
        </w:rPr>
        <w:t xml:space="preserve"> </w:t>
      </w:r>
      <w:r w:rsidR="00470005" w:rsidRPr="001C1ABA">
        <w:rPr>
          <w:rFonts w:ascii="Times New Roman" w:hAnsi="Times New Roman" w:cs="Times New Roman"/>
          <w:sz w:val="20"/>
          <w:szCs w:val="20"/>
        </w:rPr>
        <w:t>[</w:t>
      </w:r>
      <w:proofErr w:type="spellStart"/>
      <w:r w:rsidR="00470005" w:rsidRPr="001C1ABA">
        <w:rPr>
          <w:rFonts w:ascii="Times New Roman" w:hAnsi="Times New Roman" w:cs="Times New Roman"/>
          <w:sz w:val="20"/>
          <w:szCs w:val="20"/>
        </w:rPr>
        <w:t>Iqbal</w:t>
      </w:r>
      <w:proofErr w:type="spellEnd"/>
      <w:r w:rsidR="00470005" w:rsidRPr="001C1ABA">
        <w:rPr>
          <w:rFonts w:ascii="Times New Roman" w:hAnsi="Times New Roman" w:cs="Times New Roman"/>
          <w:sz w:val="20"/>
          <w:szCs w:val="20"/>
        </w:rPr>
        <w:t xml:space="preserve"> et al</w:t>
      </w:r>
      <w:r w:rsidR="00702943" w:rsidRPr="001C1ABA">
        <w:rPr>
          <w:rFonts w:ascii="Times New Roman" w:hAnsi="Times New Roman" w:cs="Times New Roman"/>
          <w:sz w:val="20"/>
          <w:szCs w:val="20"/>
        </w:rPr>
        <w:t>.</w:t>
      </w:r>
      <w:r w:rsidR="00470005" w:rsidRPr="001C1ABA">
        <w:rPr>
          <w:rFonts w:ascii="Times New Roman" w:hAnsi="Times New Roman" w:cs="Times New Roman"/>
          <w:sz w:val="20"/>
          <w:szCs w:val="20"/>
        </w:rPr>
        <w:t>, 2014]</w:t>
      </w:r>
      <w:r w:rsidR="0002385D" w:rsidRPr="001C1ABA">
        <w:rPr>
          <w:rFonts w:ascii="Times New Roman" w:hAnsi="Times New Roman" w:cs="Times New Roman"/>
          <w:sz w:val="20"/>
          <w:szCs w:val="20"/>
        </w:rPr>
        <w:t>.</w:t>
      </w:r>
    </w:p>
    <w:p w:rsidR="009B3B35" w:rsidRPr="001C1ABA" w:rsidRDefault="00D73406" w:rsidP="008272B1">
      <w:pPr>
        <w:adjustRightInd w:val="0"/>
        <w:snapToGrid w:val="0"/>
        <w:spacing w:after="0" w:line="240" w:lineRule="auto"/>
        <w:ind w:firstLine="425"/>
        <w:jc w:val="both"/>
        <w:rPr>
          <w:rFonts w:ascii="Times New Roman" w:eastAsia="Times New Roman" w:hAnsi="Times New Roman" w:cs="Times New Roman"/>
          <w:sz w:val="20"/>
          <w:szCs w:val="20"/>
        </w:rPr>
      </w:pPr>
      <w:r w:rsidRPr="001C1ABA">
        <w:rPr>
          <w:rFonts w:ascii="Times New Roman" w:eastAsia="Times New Roman" w:hAnsi="Times New Roman" w:cs="Times New Roman"/>
          <w:sz w:val="20"/>
          <w:szCs w:val="20"/>
        </w:rPr>
        <w:t xml:space="preserve">PKM2 expression correlates with </w:t>
      </w:r>
      <w:proofErr w:type="spellStart"/>
      <w:r w:rsidRPr="001C1ABA">
        <w:rPr>
          <w:rFonts w:ascii="Times New Roman" w:eastAsia="Times New Roman" w:hAnsi="Times New Roman" w:cs="Times New Roman"/>
          <w:sz w:val="20"/>
          <w:szCs w:val="20"/>
        </w:rPr>
        <w:t>tumorigenesis</w:t>
      </w:r>
      <w:proofErr w:type="spellEnd"/>
      <w:r w:rsidRPr="001C1ABA">
        <w:rPr>
          <w:rFonts w:ascii="Times New Roman" w:eastAsia="Times New Roman" w:hAnsi="Times New Roman" w:cs="Times New Roman"/>
          <w:sz w:val="20"/>
          <w:szCs w:val="20"/>
        </w:rPr>
        <w:t xml:space="preserve">. A unique pattern of four expressed genes, including PKM2, was reported to predict outcomes for </w:t>
      </w:r>
      <w:r w:rsidR="00F347D8" w:rsidRPr="001C1ABA">
        <w:rPr>
          <w:rFonts w:ascii="Times New Roman" w:eastAsia="Times New Roman" w:hAnsi="Times New Roman" w:cs="Times New Roman"/>
          <w:sz w:val="20"/>
          <w:szCs w:val="20"/>
        </w:rPr>
        <w:t xml:space="preserve">some </w:t>
      </w:r>
      <w:proofErr w:type="spellStart"/>
      <w:r w:rsidR="00F347D8" w:rsidRPr="001C1ABA">
        <w:rPr>
          <w:rFonts w:ascii="Times New Roman" w:eastAsia="Times New Roman" w:hAnsi="Times New Roman" w:cs="Times New Roman"/>
          <w:sz w:val="20"/>
          <w:szCs w:val="20"/>
        </w:rPr>
        <w:t>tumors</w:t>
      </w:r>
      <w:proofErr w:type="spellEnd"/>
      <w:r w:rsidR="00DB096E">
        <w:rPr>
          <w:rFonts w:ascii="Times New Roman" w:hAnsi="Times New Roman" w:cs="Times New Roman" w:hint="eastAsia"/>
          <w:sz w:val="20"/>
          <w:szCs w:val="20"/>
          <w:lang w:eastAsia="zh-CN"/>
        </w:rPr>
        <w:t xml:space="preserve"> </w:t>
      </w:r>
      <w:r w:rsidR="00470005" w:rsidRPr="001C1ABA">
        <w:rPr>
          <w:rFonts w:ascii="Times New Roman" w:hAnsi="Times New Roman" w:cs="Times New Roman"/>
          <w:sz w:val="20"/>
          <w:szCs w:val="20"/>
        </w:rPr>
        <w:t>[</w:t>
      </w:r>
      <w:r w:rsidR="00702943" w:rsidRPr="001C1ABA">
        <w:rPr>
          <w:rFonts w:ascii="Times New Roman" w:hAnsi="Times New Roman" w:cs="Times New Roman"/>
          <w:sz w:val="20"/>
          <w:szCs w:val="20"/>
        </w:rPr>
        <w:t>Gordon et al., 2009]</w:t>
      </w:r>
      <w:r w:rsidRPr="001C1ABA">
        <w:rPr>
          <w:rFonts w:ascii="Times New Roman" w:eastAsia="Times New Roman" w:hAnsi="Times New Roman" w:cs="Times New Roman"/>
          <w:sz w:val="20"/>
          <w:szCs w:val="20"/>
        </w:rPr>
        <w:t xml:space="preserve">. Events that negatively impact </w:t>
      </w:r>
      <w:proofErr w:type="spellStart"/>
      <w:r w:rsidRPr="001C1ABA">
        <w:rPr>
          <w:rFonts w:ascii="Times New Roman" w:eastAsia="Times New Roman" w:hAnsi="Times New Roman" w:cs="Times New Roman"/>
          <w:sz w:val="20"/>
          <w:szCs w:val="20"/>
        </w:rPr>
        <w:t>tumorigenesis</w:t>
      </w:r>
      <w:proofErr w:type="spellEnd"/>
      <w:r w:rsidRPr="001C1ABA">
        <w:rPr>
          <w:rFonts w:ascii="Times New Roman" w:eastAsia="Times New Roman" w:hAnsi="Times New Roman" w:cs="Times New Roman"/>
          <w:sz w:val="20"/>
          <w:szCs w:val="20"/>
        </w:rPr>
        <w:t xml:space="preserve"> can also reduce PKM2 function. Vitamins K3 and K5 inhibit </w:t>
      </w:r>
      <w:proofErr w:type="spellStart"/>
      <w:r w:rsidRPr="001C1ABA">
        <w:rPr>
          <w:rFonts w:ascii="Times New Roman" w:eastAsia="Times New Roman" w:hAnsi="Times New Roman" w:cs="Times New Roman"/>
          <w:sz w:val="20"/>
          <w:szCs w:val="20"/>
        </w:rPr>
        <w:t>tumorigenesis</w:t>
      </w:r>
      <w:proofErr w:type="spellEnd"/>
      <w:r w:rsidRPr="001C1ABA">
        <w:rPr>
          <w:rFonts w:ascii="Times New Roman" w:eastAsia="Times New Roman" w:hAnsi="Times New Roman" w:cs="Times New Roman"/>
          <w:sz w:val="20"/>
          <w:szCs w:val="20"/>
        </w:rPr>
        <w:t xml:space="preserve"> along with potently inhibiting PKM2 activity</w:t>
      </w:r>
      <w:r w:rsidR="00DB096E">
        <w:rPr>
          <w:rFonts w:ascii="Times New Roman" w:hAnsi="Times New Roman" w:cs="Times New Roman" w:hint="eastAsia"/>
          <w:sz w:val="20"/>
          <w:szCs w:val="20"/>
          <w:lang w:eastAsia="zh-CN"/>
        </w:rPr>
        <w:t xml:space="preserve"> </w:t>
      </w:r>
      <w:r w:rsidR="00702943" w:rsidRPr="001C1ABA">
        <w:rPr>
          <w:rFonts w:ascii="Times New Roman" w:hAnsi="Times New Roman" w:cs="Times New Roman"/>
          <w:sz w:val="20"/>
          <w:szCs w:val="20"/>
        </w:rPr>
        <w:t>[Chen et al., 2012]</w:t>
      </w:r>
      <w:r w:rsidRPr="001C1ABA">
        <w:rPr>
          <w:rFonts w:ascii="Times New Roman" w:eastAsia="Times New Roman" w:hAnsi="Times New Roman" w:cs="Times New Roman"/>
          <w:sz w:val="20"/>
          <w:szCs w:val="20"/>
        </w:rPr>
        <w:t xml:space="preserve">. </w:t>
      </w:r>
      <w:proofErr w:type="spellStart"/>
      <w:r w:rsidRPr="001C1ABA">
        <w:rPr>
          <w:rFonts w:ascii="Times New Roman" w:eastAsia="Times New Roman" w:hAnsi="Times New Roman" w:cs="Times New Roman"/>
          <w:sz w:val="20"/>
          <w:szCs w:val="20"/>
        </w:rPr>
        <w:t>Shikonin</w:t>
      </w:r>
      <w:proofErr w:type="spellEnd"/>
      <w:r w:rsidRPr="001C1ABA">
        <w:rPr>
          <w:rFonts w:ascii="Times New Roman" w:eastAsia="Times New Roman" w:hAnsi="Times New Roman" w:cs="Times New Roman"/>
          <w:sz w:val="20"/>
          <w:szCs w:val="20"/>
        </w:rPr>
        <w:t>, a derivative of a Chinese herb with antitumor activities, induces necrosis and inhibits PKM2 expression in cancer cell lines</w:t>
      </w:r>
      <w:r w:rsidR="00DB096E">
        <w:rPr>
          <w:rFonts w:ascii="Times New Roman" w:hAnsi="Times New Roman" w:cs="Times New Roman" w:hint="eastAsia"/>
          <w:sz w:val="20"/>
          <w:szCs w:val="20"/>
          <w:lang w:eastAsia="zh-CN"/>
        </w:rPr>
        <w:t xml:space="preserve"> </w:t>
      </w:r>
      <w:r w:rsidR="00702943" w:rsidRPr="001C1ABA">
        <w:rPr>
          <w:rFonts w:ascii="Times New Roman" w:hAnsi="Times New Roman" w:cs="Times New Roman"/>
          <w:sz w:val="20"/>
          <w:szCs w:val="20"/>
        </w:rPr>
        <w:t>[Chen et al., 2012]</w:t>
      </w:r>
      <w:r w:rsidRPr="001C1ABA">
        <w:rPr>
          <w:rFonts w:ascii="Times New Roman" w:eastAsia="Times New Roman" w:hAnsi="Times New Roman" w:cs="Times New Roman"/>
          <w:sz w:val="20"/>
          <w:szCs w:val="20"/>
        </w:rPr>
        <w:t xml:space="preserve">. A reverse correlation was observed between antitumor microRNA-326 and PKM2 in </w:t>
      </w:r>
      <w:proofErr w:type="spellStart"/>
      <w:r w:rsidRPr="001C1ABA">
        <w:rPr>
          <w:rFonts w:ascii="Times New Roman" w:eastAsia="Times New Roman" w:hAnsi="Times New Roman" w:cs="Times New Roman"/>
          <w:sz w:val="20"/>
          <w:szCs w:val="20"/>
        </w:rPr>
        <w:t>glioma</w:t>
      </w:r>
      <w:proofErr w:type="spellEnd"/>
      <w:r w:rsidR="00DB096E">
        <w:rPr>
          <w:rFonts w:ascii="Times New Roman" w:hAnsi="Times New Roman" w:cs="Times New Roman" w:hint="eastAsia"/>
          <w:sz w:val="20"/>
          <w:szCs w:val="20"/>
          <w:lang w:eastAsia="zh-CN"/>
        </w:rPr>
        <w:t xml:space="preserve"> </w:t>
      </w:r>
      <w:r w:rsidR="00702943" w:rsidRPr="001C1ABA">
        <w:rPr>
          <w:rFonts w:ascii="Times New Roman" w:hAnsi="Times New Roman" w:cs="Times New Roman"/>
          <w:sz w:val="20"/>
          <w:szCs w:val="20"/>
        </w:rPr>
        <w:t>[</w:t>
      </w:r>
      <w:proofErr w:type="spellStart"/>
      <w:r w:rsidR="00702943" w:rsidRPr="001C1ABA">
        <w:rPr>
          <w:rFonts w:ascii="Times New Roman" w:hAnsi="Times New Roman" w:cs="Times New Roman"/>
          <w:sz w:val="20"/>
          <w:szCs w:val="20"/>
        </w:rPr>
        <w:t>Kefas</w:t>
      </w:r>
      <w:proofErr w:type="spellEnd"/>
      <w:r w:rsidR="00702943" w:rsidRPr="001C1ABA">
        <w:rPr>
          <w:rFonts w:ascii="Times New Roman" w:hAnsi="Times New Roman" w:cs="Times New Roman"/>
          <w:sz w:val="20"/>
          <w:szCs w:val="20"/>
        </w:rPr>
        <w:t xml:space="preserve"> et al, 2010]</w:t>
      </w:r>
      <w:r w:rsidRPr="001C1ABA">
        <w:rPr>
          <w:rFonts w:ascii="Times New Roman" w:eastAsia="Times New Roman" w:hAnsi="Times New Roman" w:cs="Times New Roman"/>
          <w:sz w:val="20"/>
          <w:szCs w:val="20"/>
        </w:rPr>
        <w:t xml:space="preserve">. Finally, the Spry2 </w:t>
      </w:r>
      <w:proofErr w:type="spellStart"/>
      <w:r w:rsidRPr="001C1ABA">
        <w:rPr>
          <w:rFonts w:ascii="Times New Roman" w:eastAsia="Times New Roman" w:hAnsi="Times New Roman" w:cs="Times New Roman"/>
          <w:sz w:val="20"/>
          <w:szCs w:val="20"/>
        </w:rPr>
        <w:t>tumor</w:t>
      </w:r>
      <w:proofErr w:type="spellEnd"/>
      <w:r w:rsidRPr="001C1ABA">
        <w:rPr>
          <w:rFonts w:ascii="Times New Roman" w:eastAsia="Times New Roman" w:hAnsi="Times New Roman" w:cs="Times New Roman"/>
          <w:sz w:val="20"/>
          <w:szCs w:val="20"/>
        </w:rPr>
        <w:t xml:space="preserve"> suppressor was reported to inhibit </w:t>
      </w:r>
      <w:proofErr w:type="spellStart"/>
      <w:r w:rsidRPr="001C1ABA">
        <w:rPr>
          <w:rFonts w:ascii="Times New Roman" w:eastAsia="Times New Roman" w:hAnsi="Times New Roman" w:cs="Times New Roman"/>
          <w:sz w:val="20"/>
          <w:szCs w:val="20"/>
        </w:rPr>
        <w:t>hepatocarcinogenesis</w:t>
      </w:r>
      <w:proofErr w:type="spellEnd"/>
      <w:r w:rsidRPr="001C1ABA">
        <w:rPr>
          <w:rFonts w:ascii="Times New Roman" w:eastAsia="Times New Roman" w:hAnsi="Times New Roman" w:cs="Times New Roman"/>
          <w:sz w:val="20"/>
          <w:szCs w:val="20"/>
        </w:rPr>
        <w:t xml:space="preserve"> via the MAPK and PKM2 pathways</w:t>
      </w:r>
      <w:r w:rsidR="00DB096E">
        <w:rPr>
          <w:rFonts w:ascii="Times New Roman" w:hAnsi="Times New Roman" w:cs="Times New Roman" w:hint="eastAsia"/>
          <w:sz w:val="20"/>
          <w:szCs w:val="20"/>
          <w:lang w:eastAsia="zh-CN"/>
        </w:rPr>
        <w:t xml:space="preserve"> </w:t>
      </w:r>
      <w:r w:rsidR="00702943" w:rsidRPr="001C1ABA">
        <w:rPr>
          <w:rFonts w:ascii="Times New Roman" w:hAnsi="Times New Roman" w:cs="Times New Roman"/>
          <w:sz w:val="20"/>
          <w:szCs w:val="20"/>
        </w:rPr>
        <w:t>[Wang et al., 2012]</w:t>
      </w:r>
      <w:r w:rsidRPr="001C1ABA">
        <w:rPr>
          <w:rFonts w:ascii="Times New Roman" w:eastAsia="Times New Roman" w:hAnsi="Times New Roman" w:cs="Times New Roman"/>
          <w:sz w:val="20"/>
          <w:szCs w:val="20"/>
        </w:rPr>
        <w:t xml:space="preserve">.Furthermore, PKM2 possesses activities that directly promote </w:t>
      </w:r>
      <w:proofErr w:type="spellStart"/>
      <w:r w:rsidRPr="001C1ABA">
        <w:rPr>
          <w:rFonts w:ascii="Times New Roman" w:eastAsia="Times New Roman" w:hAnsi="Times New Roman" w:cs="Times New Roman"/>
          <w:sz w:val="20"/>
          <w:szCs w:val="20"/>
        </w:rPr>
        <w:t>tumorigenesis</w:t>
      </w:r>
      <w:proofErr w:type="spellEnd"/>
      <w:r w:rsidRPr="001C1ABA">
        <w:rPr>
          <w:rFonts w:ascii="Times New Roman" w:eastAsia="Times New Roman" w:hAnsi="Times New Roman" w:cs="Times New Roman"/>
          <w:sz w:val="20"/>
          <w:szCs w:val="20"/>
        </w:rPr>
        <w:t xml:space="preserve">. </w:t>
      </w:r>
      <w:proofErr w:type="spellStart"/>
      <w:r w:rsidRPr="001C1ABA">
        <w:rPr>
          <w:rFonts w:ascii="Times New Roman" w:eastAsia="Times New Roman" w:hAnsi="Times New Roman" w:cs="Times New Roman"/>
          <w:sz w:val="20"/>
          <w:szCs w:val="20"/>
        </w:rPr>
        <w:t>Overexpression</w:t>
      </w:r>
      <w:proofErr w:type="spellEnd"/>
      <w:r w:rsidRPr="001C1ABA">
        <w:rPr>
          <w:rFonts w:ascii="Times New Roman" w:eastAsia="Times New Roman" w:hAnsi="Times New Roman" w:cs="Times New Roman"/>
          <w:sz w:val="20"/>
          <w:szCs w:val="20"/>
        </w:rPr>
        <w:t xml:space="preserve"> of PKM2 </w:t>
      </w:r>
      <w:proofErr w:type="spellStart"/>
      <w:r w:rsidRPr="001C1ABA">
        <w:rPr>
          <w:rFonts w:ascii="Times New Roman" w:eastAsia="Times New Roman" w:hAnsi="Times New Roman" w:cs="Times New Roman"/>
          <w:sz w:val="20"/>
          <w:szCs w:val="20"/>
        </w:rPr>
        <w:t>upregulates</w:t>
      </w:r>
      <w:proofErr w:type="spellEnd"/>
      <w:r w:rsidRPr="001C1ABA">
        <w:rPr>
          <w:rFonts w:ascii="Times New Roman" w:eastAsia="Times New Roman" w:hAnsi="Times New Roman" w:cs="Times New Roman"/>
          <w:sz w:val="20"/>
          <w:szCs w:val="20"/>
        </w:rPr>
        <w:t xml:space="preserve"> </w:t>
      </w:r>
      <w:proofErr w:type="spellStart"/>
      <w:r w:rsidRPr="001C1ABA">
        <w:rPr>
          <w:rFonts w:ascii="Times New Roman" w:eastAsia="Times New Roman" w:hAnsi="Times New Roman" w:cs="Times New Roman"/>
          <w:sz w:val="20"/>
          <w:szCs w:val="20"/>
        </w:rPr>
        <w:t>Bcl-xL</w:t>
      </w:r>
      <w:proofErr w:type="spellEnd"/>
      <w:r w:rsidRPr="001C1ABA">
        <w:rPr>
          <w:rFonts w:ascii="Times New Roman" w:eastAsia="Times New Roman" w:hAnsi="Times New Roman" w:cs="Times New Roman"/>
          <w:sz w:val="20"/>
          <w:szCs w:val="20"/>
        </w:rPr>
        <w:t xml:space="preserve"> and promotes the proliferation and migration of cancer cells</w:t>
      </w:r>
      <w:r w:rsidR="00DB096E">
        <w:rPr>
          <w:rFonts w:ascii="Times New Roman" w:hAnsi="Times New Roman" w:cs="Times New Roman" w:hint="eastAsia"/>
          <w:sz w:val="20"/>
          <w:szCs w:val="20"/>
          <w:lang w:eastAsia="zh-CN"/>
        </w:rPr>
        <w:t xml:space="preserve"> </w:t>
      </w:r>
      <w:r w:rsidR="00702943" w:rsidRPr="001C1ABA">
        <w:rPr>
          <w:rFonts w:ascii="Times New Roman" w:eastAsia="Times New Roman" w:hAnsi="Times New Roman" w:cs="Times New Roman"/>
          <w:sz w:val="20"/>
          <w:szCs w:val="20"/>
        </w:rPr>
        <w:t>[Kwon et al., 2012 and Zhou et al., 2012]</w:t>
      </w:r>
      <w:r w:rsidRPr="001C1ABA">
        <w:rPr>
          <w:rFonts w:ascii="Times New Roman" w:eastAsia="Times New Roman" w:hAnsi="Times New Roman" w:cs="Times New Roman"/>
          <w:sz w:val="20"/>
          <w:szCs w:val="20"/>
        </w:rPr>
        <w:t xml:space="preserve">. Knockdown of PKM2 using specific </w:t>
      </w:r>
      <w:proofErr w:type="spellStart"/>
      <w:r w:rsidRPr="001C1ABA">
        <w:rPr>
          <w:rFonts w:ascii="Times New Roman" w:eastAsia="Times New Roman" w:hAnsi="Times New Roman" w:cs="Times New Roman"/>
          <w:sz w:val="20"/>
          <w:szCs w:val="20"/>
        </w:rPr>
        <w:t>siRNA</w:t>
      </w:r>
      <w:proofErr w:type="spellEnd"/>
      <w:r w:rsidRPr="001C1ABA">
        <w:rPr>
          <w:rFonts w:ascii="Times New Roman" w:eastAsia="Times New Roman" w:hAnsi="Times New Roman" w:cs="Times New Roman"/>
          <w:sz w:val="20"/>
          <w:szCs w:val="20"/>
        </w:rPr>
        <w:t xml:space="preserve"> inhibited cancer cell’s proliferation and invasion in vitro and the formation of </w:t>
      </w:r>
      <w:proofErr w:type="spellStart"/>
      <w:r w:rsidRPr="001C1ABA">
        <w:rPr>
          <w:rFonts w:ascii="Times New Roman" w:eastAsia="Times New Roman" w:hAnsi="Times New Roman" w:cs="Times New Roman"/>
          <w:sz w:val="20"/>
          <w:szCs w:val="20"/>
        </w:rPr>
        <w:t>xenograft</w:t>
      </w:r>
      <w:proofErr w:type="spellEnd"/>
      <w:r w:rsidRPr="001C1ABA">
        <w:rPr>
          <w:rFonts w:ascii="Times New Roman" w:eastAsia="Times New Roman" w:hAnsi="Times New Roman" w:cs="Times New Roman"/>
          <w:sz w:val="20"/>
          <w:szCs w:val="20"/>
        </w:rPr>
        <w:t xml:space="preserve"> </w:t>
      </w:r>
      <w:proofErr w:type="spellStart"/>
      <w:r w:rsidRPr="001C1ABA">
        <w:rPr>
          <w:rFonts w:ascii="Times New Roman" w:eastAsia="Times New Roman" w:hAnsi="Times New Roman" w:cs="Times New Roman"/>
          <w:sz w:val="20"/>
          <w:szCs w:val="20"/>
        </w:rPr>
        <w:t>tumors</w:t>
      </w:r>
      <w:proofErr w:type="spellEnd"/>
      <w:r w:rsidRPr="001C1ABA">
        <w:rPr>
          <w:rFonts w:ascii="Times New Roman" w:eastAsia="Times New Roman" w:hAnsi="Times New Roman" w:cs="Times New Roman"/>
          <w:sz w:val="20"/>
          <w:szCs w:val="20"/>
        </w:rPr>
        <w:t xml:space="preserve"> in vivo</w:t>
      </w:r>
      <w:r w:rsidR="00DB096E">
        <w:rPr>
          <w:rFonts w:ascii="Times New Roman" w:hAnsi="Times New Roman" w:cs="Times New Roman" w:hint="eastAsia"/>
          <w:sz w:val="20"/>
          <w:szCs w:val="20"/>
          <w:lang w:eastAsia="zh-CN"/>
        </w:rPr>
        <w:t xml:space="preserve"> </w:t>
      </w:r>
      <w:r w:rsidR="00702943" w:rsidRPr="001C1ABA">
        <w:rPr>
          <w:rFonts w:ascii="Times New Roman" w:eastAsia="Times New Roman" w:hAnsi="Times New Roman" w:cs="Times New Roman"/>
          <w:sz w:val="20"/>
          <w:szCs w:val="20"/>
        </w:rPr>
        <w:t>[</w:t>
      </w:r>
      <w:proofErr w:type="spellStart"/>
      <w:r w:rsidR="00702943" w:rsidRPr="001C1ABA">
        <w:rPr>
          <w:rFonts w:ascii="Times New Roman" w:eastAsia="Times New Roman" w:hAnsi="Times New Roman" w:cs="Times New Roman"/>
          <w:sz w:val="20"/>
          <w:szCs w:val="20"/>
        </w:rPr>
        <w:t>Kefas</w:t>
      </w:r>
      <w:proofErr w:type="spellEnd"/>
      <w:r w:rsidR="00702943" w:rsidRPr="001C1ABA">
        <w:rPr>
          <w:rFonts w:ascii="Times New Roman" w:eastAsia="Times New Roman" w:hAnsi="Times New Roman" w:cs="Times New Roman"/>
          <w:sz w:val="20"/>
          <w:szCs w:val="20"/>
        </w:rPr>
        <w:t xml:space="preserve"> et al., 2010 and Goldberg &amp; Sharp, 2012]</w:t>
      </w:r>
      <w:r w:rsidRPr="001C1ABA">
        <w:rPr>
          <w:rFonts w:ascii="Times New Roman" w:eastAsia="Times New Roman" w:hAnsi="Times New Roman" w:cs="Times New Roman"/>
          <w:sz w:val="20"/>
          <w:szCs w:val="20"/>
        </w:rPr>
        <w:t>.</w:t>
      </w:r>
    </w:p>
    <w:p w:rsidR="009B3B35" w:rsidRPr="001C1ABA" w:rsidRDefault="00D73406" w:rsidP="008272B1">
      <w:pPr>
        <w:adjustRightInd w:val="0"/>
        <w:snapToGrid w:val="0"/>
        <w:spacing w:after="0" w:line="240" w:lineRule="auto"/>
        <w:ind w:firstLine="425"/>
        <w:jc w:val="both"/>
        <w:rPr>
          <w:rFonts w:ascii="Times New Roman" w:eastAsia="Times New Roman" w:hAnsi="Times New Roman" w:cs="Times New Roman"/>
          <w:sz w:val="20"/>
          <w:szCs w:val="20"/>
          <w:vertAlign w:val="subscript"/>
        </w:rPr>
      </w:pPr>
      <w:r w:rsidRPr="001C1ABA">
        <w:rPr>
          <w:rFonts w:ascii="Times New Roman" w:eastAsia="Times New Roman" w:hAnsi="Times New Roman" w:cs="Times New Roman"/>
          <w:sz w:val="20"/>
          <w:szCs w:val="20"/>
        </w:rPr>
        <w:t xml:space="preserve">Under hypoxic conditions, cells metabolize glucose by anaerobic </w:t>
      </w:r>
      <w:proofErr w:type="spellStart"/>
      <w:r w:rsidRPr="001C1ABA">
        <w:rPr>
          <w:rFonts w:ascii="Times New Roman" w:eastAsia="Times New Roman" w:hAnsi="Times New Roman" w:cs="Times New Roman"/>
          <w:sz w:val="20"/>
          <w:szCs w:val="20"/>
        </w:rPr>
        <w:t>glycolysis</w:t>
      </w:r>
      <w:proofErr w:type="spellEnd"/>
      <w:r w:rsidRPr="001C1ABA">
        <w:rPr>
          <w:rFonts w:ascii="Times New Roman" w:eastAsia="Times New Roman" w:hAnsi="Times New Roman" w:cs="Times New Roman"/>
          <w:sz w:val="20"/>
          <w:szCs w:val="20"/>
        </w:rPr>
        <w:t xml:space="preserve">, a process that is regulated by two master transcription factors, hypoxia-inducible factor (HIFs), and c-Myc. Both transcriptional factors are also critical for aerobic </w:t>
      </w:r>
      <w:proofErr w:type="spellStart"/>
      <w:r w:rsidRPr="001C1ABA">
        <w:rPr>
          <w:rFonts w:ascii="Times New Roman" w:eastAsia="Times New Roman" w:hAnsi="Times New Roman" w:cs="Times New Roman"/>
          <w:sz w:val="20"/>
          <w:szCs w:val="20"/>
        </w:rPr>
        <w:lastRenderedPageBreak/>
        <w:t>glycolysis</w:t>
      </w:r>
      <w:proofErr w:type="spellEnd"/>
      <w:r w:rsidRPr="001C1ABA">
        <w:rPr>
          <w:rFonts w:ascii="Times New Roman" w:eastAsia="Times New Roman" w:hAnsi="Times New Roman" w:cs="Times New Roman"/>
          <w:sz w:val="20"/>
          <w:szCs w:val="20"/>
        </w:rPr>
        <w:t xml:space="preserve"> in cancer cells. Consistent with PKM2 being essential for aerobic </w:t>
      </w:r>
      <w:proofErr w:type="spellStart"/>
      <w:r w:rsidRPr="001C1ABA">
        <w:rPr>
          <w:rFonts w:ascii="Times New Roman" w:eastAsia="Times New Roman" w:hAnsi="Times New Roman" w:cs="Times New Roman"/>
          <w:sz w:val="20"/>
          <w:szCs w:val="20"/>
        </w:rPr>
        <w:t>glycolysis</w:t>
      </w:r>
      <w:proofErr w:type="spellEnd"/>
      <w:r w:rsidRPr="001C1ABA">
        <w:rPr>
          <w:rFonts w:ascii="Times New Roman" w:eastAsia="Times New Roman" w:hAnsi="Times New Roman" w:cs="Times New Roman"/>
          <w:sz w:val="20"/>
          <w:szCs w:val="20"/>
        </w:rPr>
        <w:t>, a relationship exis</w:t>
      </w:r>
      <w:r w:rsidR="0006449C" w:rsidRPr="001C1ABA">
        <w:rPr>
          <w:rFonts w:ascii="Times New Roman" w:eastAsia="Times New Roman" w:hAnsi="Times New Roman" w:cs="Times New Roman"/>
          <w:sz w:val="20"/>
          <w:szCs w:val="20"/>
        </w:rPr>
        <w:t>ts among HIF-1, c-</w:t>
      </w:r>
      <w:proofErr w:type="spellStart"/>
      <w:r w:rsidR="0006449C" w:rsidRPr="001C1ABA">
        <w:rPr>
          <w:rFonts w:ascii="Times New Roman" w:eastAsia="Times New Roman" w:hAnsi="Times New Roman" w:cs="Times New Roman"/>
          <w:sz w:val="20"/>
          <w:szCs w:val="20"/>
        </w:rPr>
        <w:t>Myc</w:t>
      </w:r>
      <w:proofErr w:type="spellEnd"/>
      <w:r w:rsidR="0006449C" w:rsidRPr="001C1ABA">
        <w:rPr>
          <w:rFonts w:ascii="Times New Roman" w:eastAsia="Times New Roman" w:hAnsi="Times New Roman" w:cs="Times New Roman"/>
          <w:sz w:val="20"/>
          <w:szCs w:val="20"/>
        </w:rPr>
        <w:t>, and PKM2</w:t>
      </w:r>
      <w:r w:rsidR="00DB096E">
        <w:rPr>
          <w:rFonts w:ascii="Times New Roman" w:hAnsi="Times New Roman" w:cs="Times New Roman" w:hint="eastAsia"/>
          <w:sz w:val="20"/>
          <w:szCs w:val="20"/>
          <w:lang w:eastAsia="zh-CN"/>
        </w:rPr>
        <w:t xml:space="preserve"> </w:t>
      </w:r>
      <w:r w:rsidR="00570561" w:rsidRPr="001C1ABA">
        <w:rPr>
          <w:rFonts w:ascii="Times New Roman" w:hAnsi="Times New Roman" w:cs="Times New Roman"/>
          <w:sz w:val="20"/>
          <w:szCs w:val="20"/>
        </w:rPr>
        <w:t>[</w:t>
      </w:r>
      <w:proofErr w:type="spellStart"/>
      <w:r w:rsidR="00570561" w:rsidRPr="001C1ABA">
        <w:rPr>
          <w:rFonts w:ascii="Times New Roman" w:hAnsi="Times New Roman" w:cs="Times New Roman"/>
          <w:sz w:val="20"/>
          <w:szCs w:val="20"/>
        </w:rPr>
        <w:t>Gordan</w:t>
      </w:r>
      <w:proofErr w:type="spellEnd"/>
      <w:r w:rsidR="00570561" w:rsidRPr="001C1ABA">
        <w:rPr>
          <w:rFonts w:ascii="Times New Roman" w:hAnsi="Times New Roman" w:cs="Times New Roman"/>
          <w:sz w:val="20"/>
          <w:szCs w:val="20"/>
        </w:rPr>
        <w:t xml:space="preserve"> et al., 2007]</w:t>
      </w:r>
      <w:r w:rsidR="0006449C" w:rsidRPr="001C1ABA">
        <w:rPr>
          <w:rFonts w:ascii="Times New Roman" w:hAnsi="Times New Roman" w:cs="Times New Roman"/>
          <w:sz w:val="20"/>
          <w:szCs w:val="20"/>
          <w:vertAlign w:val="subscript"/>
        </w:rPr>
        <w:t>.</w:t>
      </w:r>
    </w:p>
    <w:p w:rsidR="009B3B35" w:rsidRPr="001C1ABA" w:rsidRDefault="00D73406" w:rsidP="008272B1">
      <w:pPr>
        <w:adjustRightInd w:val="0"/>
        <w:snapToGrid w:val="0"/>
        <w:spacing w:after="0" w:line="240" w:lineRule="auto"/>
        <w:ind w:firstLine="425"/>
        <w:jc w:val="both"/>
        <w:rPr>
          <w:rFonts w:ascii="Times New Roman" w:eastAsia="Times New Roman" w:hAnsi="Times New Roman" w:cs="Times New Roman"/>
          <w:sz w:val="20"/>
          <w:szCs w:val="20"/>
        </w:rPr>
      </w:pPr>
      <w:r w:rsidRPr="001C1ABA">
        <w:rPr>
          <w:rFonts w:ascii="Times New Roman" w:eastAsia="Times New Roman" w:hAnsi="Times New Roman" w:cs="Times New Roman"/>
          <w:sz w:val="20"/>
          <w:szCs w:val="20"/>
        </w:rPr>
        <w:t xml:space="preserve">HIF-1 is a </w:t>
      </w:r>
      <w:proofErr w:type="spellStart"/>
      <w:r w:rsidRPr="001C1ABA">
        <w:rPr>
          <w:rFonts w:ascii="Times New Roman" w:eastAsia="Times New Roman" w:hAnsi="Times New Roman" w:cs="Times New Roman"/>
          <w:sz w:val="20"/>
          <w:szCs w:val="20"/>
        </w:rPr>
        <w:t>heterodimeric</w:t>
      </w:r>
      <w:proofErr w:type="spellEnd"/>
      <w:r w:rsidRPr="001C1ABA">
        <w:rPr>
          <w:rFonts w:ascii="Times New Roman" w:eastAsia="Times New Roman" w:hAnsi="Times New Roman" w:cs="Times New Roman"/>
          <w:sz w:val="20"/>
          <w:szCs w:val="20"/>
        </w:rPr>
        <w:t xml:space="preserve"> transcription factor, consisting of HIF-1α and HIF-1β. The β subunit is constitutively expressed, while </w:t>
      </w:r>
      <w:proofErr w:type="gramStart"/>
      <w:r w:rsidRPr="001C1ABA">
        <w:rPr>
          <w:rFonts w:ascii="Times New Roman" w:eastAsia="Times New Roman" w:hAnsi="Times New Roman" w:cs="Times New Roman"/>
          <w:sz w:val="20"/>
          <w:szCs w:val="20"/>
        </w:rPr>
        <w:t>the α</w:t>
      </w:r>
      <w:proofErr w:type="gramEnd"/>
      <w:r w:rsidRPr="001C1ABA">
        <w:rPr>
          <w:rFonts w:ascii="Times New Roman" w:eastAsia="Times New Roman" w:hAnsi="Times New Roman" w:cs="Times New Roman"/>
          <w:sz w:val="20"/>
          <w:szCs w:val="20"/>
        </w:rPr>
        <w:t xml:space="preserve"> subunit is directly regulated by oxygen (O</w:t>
      </w:r>
      <w:r w:rsidRPr="001C1ABA">
        <w:rPr>
          <w:rFonts w:ascii="Times New Roman" w:eastAsia="Times New Roman" w:hAnsi="Times New Roman" w:cs="Times New Roman"/>
          <w:sz w:val="20"/>
          <w:szCs w:val="20"/>
          <w:vertAlign w:val="subscript"/>
        </w:rPr>
        <w:t>2</w:t>
      </w:r>
      <w:r w:rsidRPr="001C1ABA">
        <w:rPr>
          <w:rFonts w:ascii="Times New Roman" w:eastAsia="Times New Roman" w:hAnsi="Times New Roman" w:cs="Times New Roman"/>
          <w:sz w:val="20"/>
          <w:szCs w:val="20"/>
        </w:rPr>
        <w:t>) levels</w:t>
      </w:r>
      <w:r w:rsidR="00DB096E">
        <w:rPr>
          <w:rFonts w:ascii="Times New Roman" w:hAnsi="Times New Roman" w:cs="Times New Roman" w:hint="eastAsia"/>
          <w:sz w:val="20"/>
          <w:szCs w:val="20"/>
          <w:lang w:eastAsia="zh-CN"/>
        </w:rPr>
        <w:t xml:space="preserve"> </w:t>
      </w:r>
      <w:r w:rsidR="00570561" w:rsidRPr="001C1ABA">
        <w:rPr>
          <w:rFonts w:ascii="Times New Roman" w:eastAsia="Times New Roman" w:hAnsi="Times New Roman" w:cs="Times New Roman"/>
          <w:sz w:val="20"/>
          <w:szCs w:val="20"/>
        </w:rPr>
        <w:t>[</w:t>
      </w:r>
      <w:proofErr w:type="spellStart"/>
      <w:r w:rsidR="00570561" w:rsidRPr="001C1ABA">
        <w:rPr>
          <w:rFonts w:ascii="Times New Roman" w:eastAsia="Times New Roman" w:hAnsi="Times New Roman" w:cs="Times New Roman"/>
          <w:sz w:val="20"/>
          <w:szCs w:val="20"/>
        </w:rPr>
        <w:t>Semenza</w:t>
      </w:r>
      <w:proofErr w:type="spellEnd"/>
      <w:r w:rsidR="00570561" w:rsidRPr="001C1ABA">
        <w:rPr>
          <w:rFonts w:ascii="Times New Roman" w:eastAsia="Times New Roman" w:hAnsi="Times New Roman" w:cs="Times New Roman"/>
          <w:sz w:val="20"/>
          <w:szCs w:val="20"/>
        </w:rPr>
        <w:t>, 1998]</w:t>
      </w:r>
      <w:r w:rsidRPr="001C1ABA">
        <w:rPr>
          <w:rFonts w:ascii="Times New Roman" w:eastAsia="Times New Roman" w:hAnsi="Times New Roman" w:cs="Times New Roman"/>
          <w:sz w:val="20"/>
          <w:szCs w:val="20"/>
        </w:rPr>
        <w:t xml:space="preserve">. Under </w:t>
      </w:r>
      <w:proofErr w:type="spellStart"/>
      <w:r w:rsidRPr="001C1ABA">
        <w:rPr>
          <w:rFonts w:ascii="Times New Roman" w:eastAsia="Times New Roman" w:hAnsi="Times New Roman" w:cs="Times New Roman"/>
          <w:sz w:val="20"/>
          <w:szCs w:val="20"/>
        </w:rPr>
        <w:t>normoxic</w:t>
      </w:r>
      <w:proofErr w:type="spellEnd"/>
      <w:r w:rsidRPr="001C1ABA">
        <w:rPr>
          <w:rFonts w:ascii="Times New Roman" w:eastAsia="Times New Roman" w:hAnsi="Times New Roman" w:cs="Times New Roman"/>
          <w:sz w:val="20"/>
          <w:szCs w:val="20"/>
        </w:rPr>
        <w:t xml:space="preserve"> conditions, HIF-1α is </w:t>
      </w:r>
      <w:proofErr w:type="spellStart"/>
      <w:r w:rsidRPr="001C1ABA">
        <w:rPr>
          <w:rFonts w:ascii="Times New Roman" w:eastAsia="Times New Roman" w:hAnsi="Times New Roman" w:cs="Times New Roman"/>
          <w:sz w:val="20"/>
          <w:szCs w:val="20"/>
        </w:rPr>
        <w:t>hydroxylated</w:t>
      </w:r>
      <w:proofErr w:type="spellEnd"/>
      <w:r w:rsidRPr="001C1ABA">
        <w:rPr>
          <w:rFonts w:ascii="Times New Roman" w:eastAsia="Times New Roman" w:hAnsi="Times New Roman" w:cs="Times New Roman"/>
          <w:sz w:val="20"/>
          <w:szCs w:val="20"/>
        </w:rPr>
        <w:t xml:space="preserve"> at </w:t>
      </w:r>
      <w:proofErr w:type="spellStart"/>
      <w:r w:rsidRPr="001C1ABA">
        <w:rPr>
          <w:rFonts w:ascii="Times New Roman" w:eastAsia="Times New Roman" w:hAnsi="Times New Roman" w:cs="Times New Roman"/>
          <w:sz w:val="20"/>
          <w:szCs w:val="20"/>
        </w:rPr>
        <w:t>prolines</w:t>
      </w:r>
      <w:proofErr w:type="spellEnd"/>
      <w:r w:rsidRPr="001C1ABA">
        <w:rPr>
          <w:rFonts w:ascii="Times New Roman" w:eastAsia="Times New Roman" w:hAnsi="Times New Roman" w:cs="Times New Roman"/>
          <w:sz w:val="20"/>
          <w:szCs w:val="20"/>
        </w:rPr>
        <w:t xml:space="preserve"> (P) 402 and 564 by three </w:t>
      </w:r>
      <w:proofErr w:type="spellStart"/>
      <w:r w:rsidRPr="001C1ABA">
        <w:rPr>
          <w:rFonts w:ascii="Times New Roman" w:eastAsia="Times New Roman" w:hAnsi="Times New Roman" w:cs="Times New Roman"/>
          <w:sz w:val="20"/>
          <w:szCs w:val="20"/>
        </w:rPr>
        <w:t>prolyl</w:t>
      </w:r>
      <w:proofErr w:type="spellEnd"/>
      <w:r w:rsidRPr="001C1ABA">
        <w:rPr>
          <w:rFonts w:ascii="Times New Roman" w:eastAsia="Times New Roman" w:hAnsi="Times New Roman" w:cs="Times New Roman"/>
          <w:sz w:val="20"/>
          <w:szCs w:val="20"/>
        </w:rPr>
        <w:t xml:space="preserve"> </w:t>
      </w:r>
      <w:proofErr w:type="spellStart"/>
      <w:r w:rsidRPr="001C1ABA">
        <w:rPr>
          <w:rFonts w:ascii="Times New Roman" w:eastAsia="Times New Roman" w:hAnsi="Times New Roman" w:cs="Times New Roman"/>
          <w:sz w:val="20"/>
          <w:szCs w:val="20"/>
        </w:rPr>
        <w:t>hydroxylase</w:t>
      </w:r>
      <w:proofErr w:type="spellEnd"/>
      <w:r w:rsidRPr="001C1ABA">
        <w:rPr>
          <w:rFonts w:ascii="Times New Roman" w:eastAsia="Times New Roman" w:hAnsi="Times New Roman" w:cs="Times New Roman"/>
          <w:sz w:val="20"/>
          <w:szCs w:val="20"/>
        </w:rPr>
        <w:t xml:space="preserve"> domain proteins (PHD1-3) in the presence of oxygen, α-</w:t>
      </w:r>
      <w:proofErr w:type="spellStart"/>
      <w:r w:rsidRPr="001C1ABA">
        <w:rPr>
          <w:rFonts w:ascii="Times New Roman" w:eastAsia="Times New Roman" w:hAnsi="Times New Roman" w:cs="Times New Roman"/>
          <w:sz w:val="20"/>
          <w:szCs w:val="20"/>
        </w:rPr>
        <w:t>ketoglutarate</w:t>
      </w:r>
      <w:proofErr w:type="spellEnd"/>
      <w:r w:rsidRPr="001C1ABA">
        <w:rPr>
          <w:rFonts w:ascii="Times New Roman" w:eastAsia="Times New Roman" w:hAnsi="Times New Roman" w:cs="Times New Roman"/>
          <w:sz w:val="20"/>
          <w:szCs w:val="20"/>
        </w:rPr>
        <w:t xml:space="preserve">, iron, and </w:t>
      </w:r>
      <w:proofErr w:type="spellStart"/>
      <w:r w:rsidRPr="001C1ABA">
        <w:rPr>
          <w:rFonts w:ascii="Times New Roman" w:eastAsia="Times New Roman" w:hAnsi="Times New Roman" w:cs="Times New Roman"/>
          <w:sz w:val="20"/>
          <w:szCs w:val="20"/>
        </w:rPr>
        <w:t>ascorbate</w:t>
      </w:r>
      <w:proofErr w:type="spellEnd"/>
      <w:r w:rsidRPr="001C1ABA">
        <w:rPr>
          <w:rFonts w:ascii="Times New Roman" w:eastAsia="Times New Roman" w:hAnsi="Times New Roman" w:cs="Times New Roman"/>
          <w:sz w:val="20"/>
          <w:szCs w:val="20"/>
        </w:rPr>
        <w:t xml:space="preserve">. This results in the </w:t>
      </w:r>
      <w:proofErr w:type="spellStart"/>
      <w:r w:rsidRPr="001C1ABA">
        <w:rPr>
          <w:rFonts w:ascii="Times New Roman" w:eastAsia="Times New Roman" w:hAnsi="Times New Roman" w:cs="Times New Roman"/>
          <w:sz w:val="20"/>
          <w:szCs w:val="20"/>
        </w:rPr>
        <w:t>ubiquitination</w:t>
      </w:r>
      <w:proofErr w:type="spellEnd"/>
      <w:r w:rsidRPr="001C1ABA">
        <w:rPr>
          <w:rFonts w:ascii="Times New Roman" w:eastAsia="Times New Roman" w:hAnsi="Times New Roman" w:cs="Times New Roman"/>
          <w:sz w:val="20"/>
          <w:szCs w:val="20"/>
        </w:rPr>
        <w:t xml:space="preserve"> of </w:t>
      </w:r>
      <w:proofErr w:type="spellStart"/>
      <w:r w:rsidRPr="001C1ABA">
        <w:rPr>
          <w:rFonts w:ascii="Times New Roman" w:eastAsia="Times New Roman" w:hAnsi="Times New Roman" w:cs="Times New Roman"/>
          <w:sz w:val="20"/>
          <w:szCs w:val="20"/>
        </w:rPr>
        <w:t>prolyl-hydroxylated</w:t>
      </w:r>
      <w:proofErr w:type="spellEnd"/>
      <w:r w:rsidRPr="001C1ABA">
        <w:rPr>
          <w:rFonts w:ascii="Times New Roman" w:eastAsia="Times New Roman" w:hAnsi="Times New Roman" w:cs="Times New Roman"/>
          <w:sz w:val="20"/>
          <w:szCs w:val="20"/>
        </w:rPr>
        <w:t xml:space="preserve"> HIF-1α by the von </w:t>
      </w:r>
      <w:proofErr w:type="spellStart"/>
      <w:r w:rsidRPr="001C1ABA">
        <w:rPr>
          <w:rFonts w:ascii="Times New Roman" w:eastAsia="Times New Roman" w:hAnsi="Times New Roman" w:cs="Times New Roman"/>
          <w:sz w:val="20"/>
          <w:szCs w:val="20"/>
        </w:rPr>
        <w:t>Hippel-Lindau</w:t>
      </w:r>
      <w:proofErr w:type="spellEnd"/>
      <w:r w:rsidRPr="001C1ABA">
        <w:rPr>
          <w:rFonts w:ascii="Times New Roman" w:eastAsia="Times New Roman" w:hAnsi="Times New Roman" w:cs="Times New Roman"/>
          <w:sz w:val="20"/>
          <w:szCs w:val="20"/>
        </w:rPr>
        <w:t xml:space="preserve"> (VHL) </w:t>
      </w:r>
      <w:proofErr w:type="spellStart"/>
      <w:r w:rsidRPr="001C1ABA">
        <w:rPr>
          <w:rFonts w:ascii="Times New Roman" w:eastAsia="Times New Roman" w:hAnsi="Times New Roman" w:cs="Times New Roman"/>
          <w:sz w:val="20"/>
          <w:szCs w:val="20"/>
        </w:rPr>
        <w:t>tumor</w:t>
      </w:r>
      <w:proofErr w:type="spellEnd"/>
      <w:r w:rsidRPr="001C1ABA">
        <w:rPr>
          <w:rFonts w:ascii="Times New Roman" w:eastAsia="Times New Roman" w:hAnsi="Times New Roman" w:cs="Times New Roman"/>
          <w:sz w:val="20"/>
          <w:szCs w:val="20"/>
        </w:rPr>
        <w:t xml:space="preserve"> suppressor and the subsequent degradation of HIF-1α</w:t>
      </w:r>
      <w:r w:rsidR="00DB096E">
        <w:rPr>
          <w:rFonts w:ascii="Times New Roman" w:hAnsi="Times New Roman" w:cs="Times New Roman" w:hint="eastAsia"/>
          <w:sz w:val="20"/>
          <w:szCs w:val="20"/>
          <w:lang w:eastAsia="zh-CN"/>
        </w:rPr>
        <w:t xml:space="preserve"> </w:t>
      </w:r>
      <w:r w:rsidR="00570561" w:rsidRPr="001C1ABA">
        <w:rPr>
          <w:rFonts w:ascii="Times New Roman" w:eastAsia="Times New Roman" w:hAnsi="Times New Roman" w:cs="Times New Roman"/>
          <w:sz w:val="20"/>
          <w:szCs w:val="20"/>
        </w:rPr>
        <w:t>[</w:t>
      </w:r>
      <w:proofErr w:type="spellStart"/>
      <w:r w:rsidR="00570561" w:rsidRPr="001C1ABA">
        <w:rPr>
          <w:rFonts w:ascii="Times New Roman" w:eastAsia="Times New Roman" w:hAnsi="Times New Roman" w:cs="Times New Roman"/>
          <w:sz w:val="20"/>
          <w:szCs w:val="20"/>
        </w:rPr>
        <w:t>Jaakkola</w:t>
      </w:r>
      <w:proofErr w:type="spellEnd"/>
      <w:r w:rsidR="00570561" w:rsidRPr="001C1ABA">
        <w:rPr>
          <w:rFonts w:ascii="Times New Roman" w:eastAsia="Times New Roman" w:hAnsi="Times New Roman" w:cs="Times New Roman"/>
          <w:sz w:val="20"/>
          <w:szCs w:val="20"/>
        </w:rPr>
        <w:t xml:space="preserve"> et al., 2001]</w:t>
      </w:r>
      <w:r w:rsidRPr="001C1ABA">
        <w:rPr>
          <w:rFonts w:ascii="Times New Roman" w:eastAsia="Times New Roman" w:hAnsi="Times New Roman" w:cs="Times New Roman"/>
          <w:sz w:val="20"/>
          <w:szCs w:val="20"/>
        </w:rPr>
        <w:t xml:space="preserve">. Under hypoxic conditions, HIF-1α is stabilized as a result of inhibiting </w:t>
      </w:r>
      <w:proofErr w:type="spellStart"/>
      <w:r w:rsidRPr="001C1ABA">
        <w:rPr>
          <w:rFonts w:ascii="Times New Roman" w:eastAsia="Times New Roman" w:hAnsi="Times New Roman" w:cs="Times New Roman"/>
          <w:sz w:val="20"/>
          <w:szCs w:val="20"/>
        </w:rPr>
        <w:t>prolyl</w:t>
      </w:r>
      <w:proofErr w:type="spellEnd"/>
      <w:r w:rsidRPr="001C1ABA">
        <w:rPr>
          <w:rFonts w:ascii="Times New Roman" w:eastAsia="Times New Roman" w:hAnsi="Times New Roman" w:cs="Times New Roman"/>
          <w:sz w:val="20"/>
          <w:szCs w:val="20"/>
        </w:rPr>
        <w:t xml:space="preserve"> hydroxylation, allowing HIF-1α to </w:t>
      </w:r>
      <w:proofErr w:type="spellStart"/>
      <w:r w:rsidRPr="001C1ABA">
        <w:rPr>
          <w:rFonts w:ascii="Times New Roman" w:eastAsia="Times New Roman" w:hAnsi="Times New Roman" w:cs="Times New Roman"/>
          <w:sz w:val="20"/>
          <w:szCs w:val="20"/>
        </w:rPr>
        <w:t>dimerize</w:t>
      </w:r>
      <w:proofErr w:type="spellEnd"/>
      <w:r w:rsidRPr="001C1ABA">
        <w:rPr>
          <w:rFonts w:ascii="Times New Roman" w:eastAsia="Times New Roman" w:hAnsi="Times New Roman" w:cs="Times New Roman"/>
          <w:sz w:val="20"/>
          <w:szCs w:val="20"/>
        </w:rPr>
        <w:t xml:space="preserve"> with HIF-1β in the nucleus. This leads to transcription of a set of genes to cope with reduced O</w:t>
      </w:r>
      <w:r w:rsidRPr="001C1ABA">
        <w:rPr>
          <w:rFonts w:ascii="Times New Roman" w:eastAsia="Times New Roman" w:hAnsi="Times New Roman" w:cs="Times New Roman"/>
          <w:sz w:val="20"/>
          <w:szCs w:val="20"/>
          <w:vertAlign w:val="subscript"/>
        </w:rPr>
        <w:t>2</w:t>
      </w:r>
      <w:r w:rsidRPr="001C1ABA">
        <w:rPr>
          <w:rFonts w:ascii="Times New Roman" w:eastAsia="Times New Roman" w:hAnsi="Times New Roman" w:cs="Times New Roman"/>
          <w:sz w:val="20"/>
          <w:szCs w:val="20"/>
        </w:rPr>
        <w:t xml:space="preserve"> availability</w:t>
      </w:r>
      <w:r w:rsidR="00DB096E">
        <w:rPr>
          <w:rFonts w:ascii="Times New Roman" w:hAnsi="Times New Roman" w:cs="Times New Roman" w:hint="eastAsia"/>
          <w:sz w:val="20"/>
          <w:szCs w:val="20"/>
          <w:lang w:eastAsia="zh-CN"/>
        </w:rPr>
        <w:t xml:space="preserve"> </w:t>
      </w:r>
      <w:r w:rsidR="00570561" w:rsidRPr="001C1ABA">
        <w:rPr>
          <w:rFonts w:ascii="Times New Roman" w:eastAsia="Times New Roman" w:hAnsi="Times New Roman" w:cs="Times New Roman"/>
          <w:sz w:val="20"/>
          <w:szCs w:val="20"/>
        </w:rPr>
        <w:t>[</w:t>
      </w:r>
      <w:proofErr w:type="spellStart"/>
      <w:r w:rsidR="00570561" w:rsidRPr="001C1ABA">
        <w:rPr>
          <w:rFonts w:ascii="Times New Roman" w:hAnsi="Times New Roman" w:cs="Times New Roman"/>
          <w:sz w:val="20"/>
          <w:szCs w:val="20"/>
        </w:rPr>
        <w:t>Kaelin</w:t>
      </w:r>
      <w:proofErr w:type="spellEnd"/>
      <w:r w:rsidR="00570561" w:rsidRPr="001C1ABA">
        <w:rPr>
          <w:rFonts w:ascii="Times New Roman" w:hAnsi="Times New Roman" w:cs="Times New Roman"/>
          <w:sz w:val="20"/>
          <w:szCs w:val="20"/>
        </w:rPr>
        <w:t xml:space="preserve"> &amp; </w:t>
      </w:r>
      <w:proofErr w:type="spellStart"/>
      <w:r w:rsidR="00570561" w:rsidRPr="001C1ABA">
        <w:rPr>
          <w:rFonts w:ascii="Times New Roman" w:hAnsi="Times New Roman" w:cs="Times New Roman"/>
          <w:sz w:val="20"/>
          <w:szCs w:val="20"/>
        </w:rPr>
        <w:t>Ratcliffe</w:t>
      </w:r>
      <w:proofErr w:type="spellEnd"/>
      <w:r w:rsidR="00570561" w:rsidRPr="001C1ABA">
        <w:rPr>
          <w:rFonts w:ascii="Times New Roman" w:hAnsi="Times New Roman" w:cs="Times New Roman"/>
          <w:sz w:val="20"/>
          <w:szCs w:val="20"/>
        </w:rPr>
        <w:t xml:space="preserve"> 2008 and Song et al, 2008].</w:t>
      </w:r>
      <w:r w:rsidRPr="001C1ABA">
        <w:rPr>
          <w:rFonts w:ascii="Times New Roman" w:eastAsia="Times New Roman" w:hAnsi="Times New Roman" w:cs="Times New Roman"/>
          <w:sz w:val="20"/>
          <w:szCs w:val="20"/>
        </w:rPr>
        <w:t xml:space="preserve"> These target genes include those responsible for promoting </w:t>
      </w:r>
      <w:proofErr w:type="spellStart"/>
      <w:r w:rsidRPr="001C1ABA">
        <w:rPr>
          <w:rFonts w:ascii="Times New Roman" w:eastAsia="Times New Roman" w:hAnsi="Times New Roman" w:cs="Times New Roman"/>
          <w:sz w:val="20"/>
          <w:szCs w:val="20"/>
        </w:rPr>
        <w:t>glycolysis</w:t>
      </w:r>
      <w:proofErr w:type="spellEnd"/>
      <w:r w:rsidR="00DB096E">
        <w:rPr>
          <w:rFonts w:ascii="Times New Roman" w:hAnsi="Times New Roman" w:cs="Times New Roman" w:hint="eastAsia"/>
          <w:sz w:val="20"/>
          <w:szCs w:val="20"/>
          <w:lang w:eastAsia="zh-CN"/>
        </w:rPr>
        <w:t xml:space="preserve"> </w:t>
      </w:r>
      <w:r w:rsidR="00570561" w:rsidRPr="001C1ABA">
        <w:rPr>
          <w:rFonts w:ascii="Times New Roman" w:hAnsi="Times New Roman" w:cs="Times New Roman"/>
          <w:sz w:val="20"/>
          <w:szCs w:val="20"/>
        </w:rPr>
        <w:t>[Meijer et al., 2012]</w:t>
      </w:r>
      <w:r w:rsidRPr="001C1ABA">
        <w:rPr>
          <w:rFonts w:ascii="Times New Roman" w:eastAsia="Times New Roman" w:hAnsi="Times New Roman" w:cs="Times New Roman"/>
          <w:sz w:val="20"/>
          <w:szCs w:val="20"/>
        </w:rPr>
        <w:t xml:space="preserve">. HIF-1 </w:t>
      </w:r>
      <w:proofErr w:type="spellStart"/>
      <w:r w:rsidRPr="001C1ABA">
        <w:rPr>
          <w:rFonts w:ascii="Times New Roman" w:eastAsia="Times New Roman" w:hAnsi="Times New Roman" w:cs="Times New Roman"/>
          <w:sz w:val="20"/>
          <w:szCs w:val="20"/>
        </w:rPr>
        <w:t>transactivates</w:t>
      </w:r>
      <w:proofErr w:type="spellEnd"/>
      <w:r w:rsidRPr="001C1ABA">
        <w:rPr>
          <w:rFonts w:ascii="Times New Roman" w:eastAsia="Times New Roman" w:hAnsi="Times New Roman" w:cs="Times New Roman"/>
          <w:sz w:val="20"/>
          <w:szCs w:val="20"/>
        </w:rPr>
        <w:t xml:space="preserve"> the glucose transporters GLUT1 and GLUT3, </w:t>
      </w:r>
      <w:proofErr w:type="spellStart"/>
      <w:r w:rsidRPr="001C1ABA">
        <w:rPr>
          <w:rFonts w:ascii="Times New Roman" w:eastAsia="Times New Roman" w:hAnsi="Times New Roman" w:cs="Times New Roman"/>
          <w:sz w:val="20"/>
          <w:szCs w:val="20"/>
        </w:rPr>
        <w:t>hexokinase</w:t>
      </w:r>
      <w:proofErr w:type="spellEnd"/>
      <w:r w:rsidRPr="001C1ABA">
        <w:rPr>
          <w:rFonts w:ascii="Times New Roman" w:eastAsia="Times New Roman" w:hAnsi="Times New Roman" w:cs="Times New Roman"/>
          <w:sz w:val="20"/>
          <w:szCs w:val="20"/>
        </w:rPr>
        <w:t xml:space="preserve"> (the first </w:t>
      </w:r>
      <w:proofErr w:type="spellStart"/>
      <w:r w:rsidRPr="001C1ABA">
        <w:rPr>
          <w:rFonts w:ascii="Times New Roman" w:eastAsia="Times New Roman" w:hAnsi="Times New Roman" w:cs="Times New Roman"/>
          <w:sz w:val="20"/>
          <w:szCs w:val="20"/>
        </w:rPr>
        <w:t>kinase</w:t>
      </w:r>
      <w:proofErr w:type="spellEnd"/>
      <w:r w:rsidRPr="001C1ABA">
        <w:rPr>
          <w:rFonts w:ascii="Times New Roman" w:eastAsia="Times New Roman" w:hAnsi="Times New Roman" w:cs="Times New Roman"/>
          <w:sz w:val="20"/>
          <w:szCs w:val="20"/>
        </w:rPr>
        <w:t xml:space="preserve"> in the </w:t>
      </w:r>
      <w:proofErr w:type="spellStart"/>
      <w:r w:rsidRPr="001C1ABA">
        <w:rPr>
          <w:rFonts w:ascii="Times New Roman" w:eastAsia="Times New Roman" w:hAnsi="Times New Roman" w:cs="Times New Roman"/>
          <w:sz w:val="20"/>
          <w:szCs w:val="20"/>
        </w:rPr>
        <w:t>glycolysis</w:t>
      </w:r>
      <w:proofErr w:type="spellEnd"/>
      <w:r w:rsidRPr="001C1ABA">
        <w:rPr>
          <w:rFonts w:ascii="Times New Roman" w:eastAsia="Times New Roman" w:hAnsi="Times New Roman" w:cs="Times New Roman"/>
          <w:sz w:val="20"/>
          <w:szCs w:val="20"/>
        </w:rPr>
        <w:t xml:space="preserve"> pathway), lactate </w:t>
      </w:r>
      <w:proofErr w:type="spellStart"/>
      <w:r w:rsidRPr="001C1ABA">
        <w:rPr>
          <w:rFonts w:ascii="Times New Roman" w:eastAsia="Times New Roman" w:hAnsi="Times New Roman" w:cs="Times New Roman"/>
          <w:sz w:val="20"/>
          <w:szCs w:val="20"/>
        </w:rPr>
        <w:t>dehydrogenase</w:t>
      </w:r>
      <w:proofErr w:type="spellEnd"/>
      <w:r w:rsidRPr="001C1ABA">
        <w:rPr>
          <w:rFonts w:ascii="Times New Roman" w:eastAsia="Times New Roman" w:hAnsi="Times New Roman" w:cs="Times New Roman"/>
          <w:sz w:val="20"/>
          <w:szCs w:val="20"/>
        </w:rPr>
        <w:t xml:space="preserve"> A (LDHA), and </w:t>
      </w:r>
      <w:proofErr w:type="spellStart"/>
      <w:r w:rsidRPr="001C1ABA">
        <w:rPr>
          <w:rFonts w:ascii="Times New Roman" w:eastAsia="Times New Roman" w:hAnsi="Times New Roman" w:cs="Times New Roman"/>
          <w:sz w:val="20"/>
          <w:szCs w:val="20"/>
        </w:rPr>
        <w:t>pyruvate</w:t>
      </w:r>
      <w:proofErr w:type="spellEnd"/>
      <w:r w:rsidRPr="001C1ABA">
        <w:rPr>
          <w:rFonts w:ascii="Times New Roman" w:eastAsia="Times New Roman" w:hAnsi="Times New Roman" w:cs="Times New Roman"/>
          <w:sz w:val="20"/>
          <w:szCs w:val="20"/>
        </w:rPr>
        <w:t xml:space="preserve"> </w:t>
      </w:r>
      <w:proofErr w:type="spellStart"/>
      <w:r w:rsidRPr="001C1ABA">
        <w:rPr>
          <w:rFonts w:ascii="Times New Roman" w:eastAsia="Times New Roman" w:hAnsi="Times New Roman" w:cs="Times New Roman"/>
          <w:sz w:val="20"/>
          <w:szCs w:val="20"/>
        </w:rPr>
        <w:t>dehydrogenase</w:t>
      </w:r>
      <w:proofErr w:type="spellEnd"/>
      <w:r w:rsidRPr="001C1ABA">
        <w:rPr>
          <w:rFonts w:ascii="Times New Roman" w:eastAsia="Times New Roman" w:hAnsi="Times New Roman" w:cs="Times New Roman"/>
          <w:sz w:val="20"/>
          <w:szCs w:val="20"/>
        </w:rPr>
        <w:t xml:space="preserve"> </w:t>
      </w:r>
      <w:proofErr w:type="spellStart"/>
      <w:r w:rsidRPr="001C1ABA">
        <w:rPr>
          <w:rFonts w:ascii="Times New Roman" w:eastAsia="Times New Roman" w:hAnsi="Times New Roman" w:cs="Times New Roman"/>
          <w:sz w:val="20"/>
          <w:szCs w:val="20"/>
        </w:rPr>
        <w:t>kinase</w:t>
      </w:r>
      <w:proofErr w:type="spellEnd"/>
      <w:r w:rsidRPr="001C1ABA">
        <w:rPr>
          <w:rFonts w:ascii="Times New Roman" w:eastAsia="Times New Roman" w:hAnsi="Times New Roman" w:cs="Times New Roman"/>
          <w:sz w:val="20"/>
          <w:szCs w:val="20"/>
        </w:rPr>
        <w:t xml:space="preserve"> 1 which </w:t>
      </w:r>
      <w:proofErr w:type="spellStart"/>
      <w:r w:rsidRPr="001C1ABA">
        <w:rPr>
          <w:rFonts w:ascii="Times New Roman" w:eastAsia="Times New Roman" w:hAnsi="Times New Roman" w:cs="Times New Roman"/>
          <w:sz w:val="20"/>
          <w:szCs w:val="20"/>
        </w:rPr>
        <w:t>phosphorylates</w:t>
      </w:r>
      <w:proofErr w:type="spellEnd"/>
      <w:r w:rsidRPr="001C1ABA">
        <w:rPr>
          <w:rFonts w:ascii="Times New Roman" w:eastAsia="Times New Roman" w:hAnsi="Times New Roman" w:cs="Times New Roman"/>
          <w:sz w:val="20"/>
          <w:szCs w:val="20"/>
        </w:rPr>
        <w:t xml:space="preserve"> and inhibits </w:t>
      </w:r>
      <w:proofErr w:type="spellStart"/>
      <w:r w:rsidRPr="001C1ABA">
        <w:rPr>
          <w:rFonts w:ascii="Times New Roman" w:eastAsia="Times New Roman" w:hAnsi="Times New Roman" w:cs="Times New Roman"/>
          <w:sz w:val="20"/>
          <w:szCs w:val="20"/>
        </w:rPr>
        <w:t>pyruvate</w:t>
      </w:r>
      <w:proofErr w:type="spellEnd"/>
      <w:r w:rsidRPr="001C1ABA">
        <w:rPr>
          <w:rFonts w:ascii="Times New Roman" w:eastAsia="Times New Roman" w:hAnsi="Times New Roman" w:cs="Times New Roman"/>
          <w:sz w:val="20"/>
          <w:szCs w:val="20"/>
        </w:rPr>
        <w:t xml:space="preserve"> </w:t>
      </w:r>
      <w:proofErr w:type="spellStart"/>
      <w:r w:rsidRPr="001C1ABA">
        <w:rPr>
          <w:rFonts w:ascii="Times New Roman" w:eastAsia="Times New Roman" w:hAnsi="Times New Roman" w:cs="Times New Roman"/>
          <w:sz w:val="20"/>
          <w:szCs w:val="20"/>
        </w:rPr>
        <w:t>dehydrogenase</w:t>
      </w:r>
      <w:proofErr w:type="spellEnd"/>
      <w:r w:rsidRPr="001C1ABA">
        <w:rPr>
          <w:rFonts w:ascii="Times New Roman" w:eastAsia="Times New Roman" w:hAnsi="Times New Roman" w:cs="Times New Roman"/>
          <w:sz w:val="20"/>
          <w:szCs w:val="20"/>
        </w:rPr>
        <w:t xml:space="preserve"> (PDH)</w:t>
      </w:r>
      <w:r w:rsidR="00570561" w:rsidRPr="001C1ABA">
        <w:rPr>
          <w:rFonts w:ascii="Times New Roman" w:hAnsi="Times New Roman" w:cs="Times New Roman"/>
          <w:sz w:val="20"/>
          <w:szCs w:val="20"/>
        </w:rPr>
        <w:t>[</w:t>
      </w:r>
      <w:proofErr w:type="spellStart"/>
      <w:r w:rsidR="00570561" w:rsidRPr="001C1ABA">
        <w:rPr>
          <w:rFonts w:ascii="Times New Roman" w:hAnsi="Times New Roman" w:cs="Times New Roman"/>
          <w:sz w:val="20"/>
          <w:szCs w:val="20"/>
        </w:rPr>
        <w:t>Semenza</w:t>
      </w:r>
      <w:proofErr w:type="spellEnd"/>
      <w:r w:rsidR="00570561" w:rsidRPr="001C1ABA">
        <w:rPr>
          <w:rFonts w:ascii="Times New Roman" w:hAnsi="Times New Roman" w:cs="Times New Roman"/>
          <w:sz w:val="20"/>
          <w:szCs w:val="20"/>
        </w:rPr>
        <w:t>, 2010]</w:t>
      </w:r>
      <w:r w:rsidR="00963A09" w:rsidRPr="001C1ABA">
        <w:rPr>
          <w:rFonts w:ascii="Times New Roman" w:eastAsia="Times New Roman" w:hAnsi="Times New Roman" w:cs="Times New Roman"/>
          <w:sz w:val="20"/>
          <w:szCs w:val="20"/>
        </w:rPr>
        <w:t>.</w:t>
      </w:r>
      <w:r w:rsidRPr="001C1ABA">
        <w:rPr>
          <w:rFonts w:ascii="Times New Roman" w:eastAsia="Times New Roman" w:hAnsi="Times New Roman" w:cs="Times New Roman"/>
          <w:sz w:val="20"/>
          <w:szCs w:val="20"/>
        </w:rPr>
        <w:t xml:space="preserve">Consistent with the Warburg effect’s association with synthesis of cellular building blocks, HIF-1 also </w:t>
      </w:r>
      <w:proofErr w:type="spellStart"/>
      <w:r w:rsidRPr="001C1ABA">
        <w:rPr>
          <w:rFonts w:ascii="Times New Roman" w:eastAsia="Times New Roman" w:hAnsi="Times New Roman" w:cs="Times New Roman"/>
          <w:sz w:val="20"/>
          <w:szCs w:val="20"/>
        </w:rPr>
        <w:t>transactivates</w:t>
      </w:r>
      <w:proofErr w:type="spellEnd"/>
      <w:r w:rsidRPr="001C1ABA">
        <w:rPr>
          <w:rFonts w:ascii="Times New Roman" w:eastAsia="Times New Roman" w:hAnsi="Times New Roman" w:cs="Times New Roman"/>
          <w:sz w:val="20"/>
          <w:szCs w:val="20"/>
        </w:rPr>
        <w:t xml:space="preserve"> glucose-6-phosphate </w:t>
      </w:r>
      <w:proofErr w:type="spellStart"/>
      <w:r w:rsidRPr="001C1ABA">
        <w:rPr>
          <w:rFonts w:ascii="Times New Roman" w:eastAsia="Times New Roman" w:hAnsi="Times New Roman" w:cs="Times New Roman"/>
          <w:sz w:val="20"/>
          <w:szCs w:val="20"/>
        </w:rPr>
        <w:t>dehydrogenase</w:t>
      </w:r>
      <w:proofErr w:type="spellEnd"/>
      <w:r w:rsidRPr="001C1ABA">
        <w:rPr>
          <w:rFonts w:ascii="Times New Roman" w:eastAsia="Times New Roman" w:hAnsi="Times New Roman" w:cs="Times New Roman"/>
          <w:sz w:val="20"/>
          <w:szCs w:val="20"/>
        </w:rPr>
        <w:t xml:space="preserve"> (G6PD) to channel glucose-6-P into the pentose phosphate shunt for nucleotide and amino acid synthesis</w:t>
      </w:r>
      <w:r w:rsidR="00570561" w:rsidRPr="001C1ABA">
        <w:rPr>
          <w:rFonts w:ascii="Times New Roman" w:hAnsi="Times New Roman" w:cs="Times New Roman"/>
          <w:sz w:val="20"/>
          <w:szCs w:val="20"/>
        </w:rPr>
        <w:t>[Meijer et al., 2012]</w:t>
      </w:r>
      <w:r w:rsidRPr="001C1ABA">
        <w:rPr>
          <w:rFonts w:ascii="Times New Roman" w:eastAsia="Times New Roman" w:hAnsi="Times New Roman" w:cs="Times New Roman"/>
          <w:sz w:val="20"/>
          <w:szCs w:val="20"/>
        </w:rPr>
        <w:t xml:space="preserve">. Therefore, the collective actions of HIF-1 transcription activity seem to shift cells from oxidative metabolism to </w:t>
      </w:r>
      <w:proofErr w:type="spellStart"/>
      <w:r w:rsidRPr="001C1ABA">
        <w:rPr>
          <w:rFonts w:ascii="Times New Roman" w:eastAsia="Times New Roman" w:hAnsi="Times New Roman" w:cs="Times New Roman"/>
          <w:sz w:val="20"/>
          <w:szCs w:val="20"/>
        </w:rPr>
        <w:t>glycolysis</w:t>
      </w:r>
      <w:proofErr w:type="spellEnd"/>
      <w:r w:rsidRPr="001C1ABA">
        <w:rPr>
          <w:rFonts w:ascii="Times New Roman" w:eastAsia="Times New Roman" w:hAnsi="Times New Roman" w:cs="Times New Roman"/>
          <w:sz w:val="20"/>
          <w:szCs w:val="20"/>
        </w:rPr>
        <w:t xml:space="preserve">. In line with these observations, PKM2 shares an intimate connection with HIF-1. The first </w:t>
      </w:r>
      <w:proofErr w:type="spellStart"/>
      <w:r w:rsidRPr="001C1ABA">
        <w:rPr>
          <w:rFonts w:ascii="Times New Roman" w:eastAsia="Times New Roman" w:hAnsi="Times New Roman" w:cs="Times New Roman"/>
          <w:sz w:val="20"/>
          <w:szCs w:val="20"/>
        </w:rPr>
        <w:t>intron</w:t>
      </w:r>
      <w:proofErr w:type="spellEnd"/>
      <w:r w:rsidRPr="001C1ABA">
        <w:rPr>
          <w:rFonts w:ascii="Times New Roman" w:eastAsia="Times New Roman" w:hAnsi="Times New Roman" w:cs="Times New Roman"/>
          <w:sz w:val="20"/>
          <w:szCs w:val="20"/>
        </w:rPr>
        <w:t xml:space="preserve"> of the PKM2 gene contains the functional hypoxia-response element (HRE), thus also making it a target of HIF-1</w:t>
      </w:r>
      <w:r w:rsidR="00DB096E">
        <w:rPr>
          <w:rFonts w:ascii="Times New Roman" w:hAnsi="Times New Roman" w:cs="Times New Roman" w:hint="eastAsia"/>
          <w:sz w:val="20"/>
          <w:szCs w:val="20"/>
          <w:lang w:eastAsia="zh-CN"/>
        </w:rPr>
        <w:t xml:space="preserve"> </w:t>
      </w:r>
      <w:r w:rsidR="00570561" w:rsidRPr="001C1ABA">
        <w:rPr>
          <w:rFonts w:ascii="Times New Roman" w:hAnsi="Times New Roman" w:cs="Times New Roman"/>
          <w:sz w:val="20"/>
          <w:szCs w:val="20"/>
        </w:rPr>
        <w:t>[</w:t>
      </w:r>
      <w:proofErr w:type="spellStart"/>
      <w:r w:rsidR="00570561" w:rsidRPr="001C1ABA">
        <w:rPr>
          <w:rFonts w:ascii="Times New Roman" w:hAnsi="Times New Roman" w:cs="Times New Roman"/>
          <w:sz w:val="20"/>
          <w:szCs w:val="20"/>
        </w:rPr>
        <w:t>Luo</w:t>
      </w:r>
      <w:proofErr w:type="spellEnd"/>
      <w:r w:rsidR="00570561" w:rsidRPr="001C1ABA">
        <w:rPr>
          <w:rFonts w:ascii="Times New Roman" w:hAnsi="Times New Roman" w:cs="Times New Roman"/>
          <w:sz w:val="20"/>
          <w:szCs w:val="20"/>
        </w:rPr>
        <w:t xml:space="preserve"> et al</w:t>
      </w:r>
      <w:r w:rsidRPr="001C1ABA">
        <w:rPr>
          <w:rFonts w:ascii="Times New Roman" w:eastAsia="Times New Roman" w:hAnsi="Times New Roman" w:cs="Times New Roman"/>
          <w:sz w:val="20"/>
          <w:szCs w:val="20"/>
        </w:rPr>
        <w:t>.</w:t>
      </w:r>
      <w:r w:rsidR="00570561" w:rsidRPr="001C1ABA">
        <w:rPr>
          <w:rFonts w:ascii="Times New Roman" w:eastAsia="Times New Roman" w:hAnsi="Times New Roman" w:cs="Times New Roman"/>
          <w:sz w:val="20"/>
          <w:szCs w:val="20"/>
        </w:rPr>
        <w:t>, 2011].</w:t>
      </w:r>
    </w:p>
    <w:p w:rsidR="009B3B35" w:rsidRPr="001C1ABA" w:rsidRDefault="00963A09" w:rsidP="008272B1">
      <w:pPr>
        <w:adjustRightInd w:val="0"/>
        <w:snapToGrid w:val="0"/>
        <w:spacing w:after="0" w:line="240" w:lineRule="auto"/>
        <w:ind w:firstLine="425"/>
        <w:jc w:val="both"/>
        <w:rPr>
          <w:rFonts w:ascii="Times New Roman" w:eastAsia="Times New Roman" w:hAnsi="Times New Roman" w:cs="Times New Roman"/>
          <w:sz w:val="20"/>
          <w:szCs w:val="20"/>
          <w:vertAlign w:val="subscript"/>
        </w:rPr>
      </w:pPr>
      <w:r w:rsidRPr="001C1ABA">
        <w:rPr>
          <w:rFonts w:ascii="Times New Roman" w:eastAsia="Times New Roman" w:hAnsi="Times New Roman" w:cs="Times New Roman"/>
          <w:sz w:val="20"/>
          <w:szCs w:val="20"/>
        </w:rPr>
        <w:t>It was also discovered</w:t>
      </w:r>
      <w:r w:rsidR="00D73406" w:rsidRPr="001C1ABA">
        <w:rPr>
          <w:rFonts w:ascii="Times New Roman" w:eastAsia="Times New Roman" w:hAnsi="Times New Roman" w:cs="Times New Roman"/>
          <w:sz w:val="20"/>
          <w:szCs w:val="20"/>
        </w:rPr>
        <w:t xml:space="preserve"> that cells with high levels of </w:t>
      </w:r>
      <w:r w:rsidRPr="001C1ABA">
        <w:rPr>
          <w:rFonts w:ascii="Times New Roman" w:eastAsia="Times New Roman" w:hAnsi="Times New Roman" w:cs="Times New Roman"/>
          <w:sz w:val="20"/>
          <w:szCs w:val="20"/>
        </w:rPr>
        <w:t xml:space="preserve">PKM2 </w:t>
      </w:r>
      <w:r w:rsidR="00D73406" w:rsidRPr="001C1ABA">
        <w:rPr>
          <w:rFonts w:ascii="Times New Roman" w:eastAsia="Times New Roman" w:hAnsi="Times New Roman" w:cs="Times New Roman"/>
          <w:sz w:val="20"/>
          <w:szCs w:val="20"/>
        </w:rPr>
        <w:t xml:space="preserve">also demonstrated </w:t>
      </w:r>
      <w:r w:rsidRPr="001C1ABA">
        <w:rPr>
          <w:rFonts w:ascii="Times New Roman" w:eastAsia="Times New Roman" w:hAnsi="Times New Roman" w:cs="Times New Roman"/>
          <w:sz w:val="20"/>
          <w:szCs w:val="20"/>
        </w:rPr>
        <w:t>high c-</w:t>
      </w:r>
      <w:proofErr w:type="spellStart"/>
      <w:r w:rsidRPr="001C1ABA">
        <w:rPr>
          <w:rFonts w:ascii="Times New Roman" w:eastAsia="Times New Roman" w:hAnsi="Times New Roman" w:cs="Times New Roman"/>
          <w:sz w:val="20"/>
          <w:szCs w:val="20"/>
        </w:rPr>
        <w:t>Myc</w:t>
      </w:r>
      <w:proofErr w:type="spellEnd"/>
      <w:r w:rsidRPr="001C1ABA">
        <w:rPr>
          <w:rFonts w:ascii="Times New Roman" w:eastAsia="Times New Roman" w:hAnsi="Times New Roman" w:cs="Times New Roman"/>
          <w:sz w:val="20"/>
          <w:szCs w:val="20"/>
        </w:rPr>
        <w:t xml:space="preserve"> activity</w:t>
      </w:r>
      <w:r w:rsidR="00DB096E">
        <w:rPr>
          <w:rFonts w:ascii="Times New Roman" w:hAnsi="Times New Roman" w:cs="Times New Roman" w:hint="eastAsia"/>
          <w:sz w:val="20"/>
          <w:szCs w:val="20"/>
          <w:lang w:eastAsia="zh-CN"/>
        </w:rPr>
        <w:t xml:space="preserve"> </w:t>
      </w:r>
      <w:r w:rsidR="00570561" w:rsidRPr="001C1ABA">
        <w:rPr>
          <w:rFonts w:ascii="Times New Roman" w:eastAsia="Times New Roman" w:hAnsi="Times New Roman" w:cs="Times New Roman"/>
          <w:sz w:val="20"/>
          <w:szCs w:val="20"/>
        </w:rPr>
        <w:t>[</w:t>
      </w:r>
      <w:proofErr w:type="spellStart"/>
      <w:r w:rsidR="00570561" w:rsidRPr="001C1ABA">
        <w:rPr>
          <w:rFonts w:ascii="Times New Roman" w:eastAsia="Times New Roman" w:hAnsi="Times New Roman" w:cs="Times New Roman"/>
          <w:sz w:val="20"/>
          <w:szCs w:val="20"/>
        </w:rPr>
        <w:t>Clower</w:t>
      </w:r>
      <w:proofErr w:type="spellEnd"/>
      <w:r w:rsidR="00570561" w:rsidRPr="001C1ABA">
        <w:rPr>
          <w:rFonts w:ascii="Times New Roman" w:eastAsia="Times New Roman" w:hAnsi="Times New Roman" w:cs="Times New Roman"/>
          <w:sz w:val="20"/>
          <w:szCs w:val="20"/>
        </w:rPr>
        <w:t xml:space="preserve"> et al., 2010 and David et al., 2010]</w:t>
      </w:r>
      <w:r w:rsidR="00D73406" w:rsidRPr="001C1ABA">
        <w:rPr>
          <w:rFonts w:ascii="Times New Roman" w:eastAsia="Times New Roman" w:hAnsi="Times New Roman" w:cs="Times New Roman"/>
          <w:sz w:val="20"/>
          <w:szCs w:val="20"/>
        </w:rPr>
        <w:t>. These observations are well in line with a large body of evidence indicating that c-</w:t>
      </w:r>
      <w:proofErr w:type="spellStart"/>
      <w:r w:rsidR="00D73406" w:rsidRPr="001C1ABA">
        <w:rPr>
          <w:rFonts w:ascii="Times New Roman" w:eastAsia="Times New Roman" w:hAnsi="Times New Roman" w:cs="Times New Roman"/>
          <w:sz w:val="20"/>
          <w:szCs w:val="20"/>
        </w:rPr>
        <w:t>Myc</w:t>
      </w:r>
      <w:proofErr w:type="spellEnd"/>
      <w:r w:rsidR="00D73406" w:rsidRPr="001C1ABA">
        <w:rPr>
          <w:rFonts w:ascii="Times New Roman" w:eastAsia="Times New Roman" w:hAnsi="Times New Roman" w:cs="Times New Roman"/>
          <w:sz w:val="20"/>
          <w:szCs w:val="20"/>
        </w:rPr>
        <w:t xml:space="preserve"> stimulates </w:t>
      </w:r>
      <w:proofErr w:type="spellStart"/>
      <w:r w:rsidR="00D73406" w:rsidRPr="001C1ABA">
        <w:rPr>
          <w:rFonts w:ascii="Times New Roman" w:eastAsia="Times New Roman" w:hAnsi="Times New Roman" w:cs="Times New Roman"/>
          <w:sz w:val="20"/>
          <w:szCs w:val="20"/>
        </w:rPr>
        <w:t>glycolysis</w:t>
      </w:r>
      <w:proofErr w:type="spellEnd"/>
      <w:r w:rsidR="00D73406" w:rsidRPr="001C1ABA">
        <w:rPr>
          <w:rFonts w:ascii="Times New Roman" w:eastAsia="Times New Roman" w:hAnsi="Times New Roman" w:cs="Times New Roman"/>
          <w:sz w:val="20"/>
          <w:szCs w:val="20"/>
        </w:rPr>
        <w:t xml:space="preserve"> and is required to coordinate with HIF-1 to regulate the cellular response to hypoxia. Thus, evidence suggests that PKM2 plays a role in c-</w:t>
      </w:r>
      <w:proofErr w:type="spellStart"/>
      <w:r w:rsidR="00D73406" w:rsidRPr="001C1ABA">
        <w:rPr>
          <w:rFonts w:ascii="Times New Roman" w:eastAsia="Times New Roman" w:hAnsi="Times New Roman" w:cs="Times New Roman"/>
          <w:sz w:val="20"/>
          <w:szCs w:val="20"/>
        </w:rPr>
        <w:t>Myc</w:t>
      </w:r>
      <w:proofErr w:type="spellEnd"/>
      <w:r w:rsidR="00D73406" w:rsidRPr="001C1ABA">
        <w:rPr>
          <w:rFonts w:ascii="Times New Roman" w:eastAsia="Times New Roman" w:hAnsi="Times New Roman" w:cs="Times New Roman"/>
          <w:sz w:val="20"/>
          <w:szCs w:val="20"/>
        </w:rPr>
        <w:t>-mediated cancer metabolism and in c-</w:t>
      </w:r>
      <w:proofErr w:type="spellStart"/>
      <w:r w:rsidR="0006449C" w:rsidRPr="001C1ABA">
        <w:rPr>
          <w:rFonts w:ascii="Times New Roman" w:eastAsia="Times New Roman" w:hAnsi="Times New Roman" w:cs="Times New Roman"/>
          <w:sz w:val="20"/>
          <w:szCs w:val="20"/>
        </w:rPr>
        <w:t>Myc’s</w:t>
      </w:r>
      <w:proofErr w:type="spellEnd"/>
      <w:r w:rsidR="0006449C" w:rsidRPr="001C1ABA">
        <w:rPr>
          <w:rFonts w:ascii="Times New Roman" w:eastAsia="Times New Roman" w:hAnsi="Times New Roman" w:cs="Times New Roman"/>
          <w:sz w:val="20"/>
          <w:szCs w:val="20"/>
        </w:rPr>
        <w:t xml:space="preserve"> communication with HIF-1</w:t>
      </w:r>
      <w:r w:rsidR="00DB096E">
        <w:rPr>
          <w:rFonts w:ascii="Times New Roman" w:hAnsi="Times New Roman" w:cs="Times New Roman" w:hint="eastAsia"/>
          <w:sz w:val="20"/>
          <w:szCs w:val="20"/>
          <w:lang w:eastAsia="zh-CN"/>
        </w:rPr>
        <w:t xml:space="preserve"> </w:t>
      </w:r>
      <w:r w:rsidR="00570561" w:rsidRPr="001C1ABA">
        <w:rPr>
          <w:rFonts w:ascii="Times New Roman" w:eastAsia="Times New Roman" w:hAnsi="Times New Roman" w:cs="Times New Roman"/>
          <w:sz w:val="20"/>
          <w:szCs w:val="20"/>
        </w:rPr>
        <w:t>[</w:t>
      </w:r>
      <w:proofErr w:type="spellStart"/>
      <w:r w:rsidR="008C1CFE" w:rsidRPr="001C1ABA">
        <w:rPr>
          <w:rFonts w:ascii="Times New Roman" w:hAnsi="Times New Roman" w:cs="Times New Roman"/>
          <w:sz w:val="20"/>
          <w:szCs w:val="20"/>
        </w:rPr>
        <w:t>Gordan</w:t>
      </w:r>
      <w:proofErr w:type="spellEnd"/>
      <w:r w:rsidR="008C1CFE" w:rsidRPr="001C1ABA">
        <w:rPr>
          <w:rFonts w:ascii="Times New Roman" w:hAnsi="Times New Roman" w:cs="Times New Roman"/>
          <w:sz w:val="20"/>
          <w:szCs w:val="20"/>
        </w:rPr>
        <w:t xml:space="preserve"> et al., 2007 and </w:t>
      </w:r>
      <w:r w:rsidR="00570561" w:rsidRPr="001C1ABA">
        <w:rPr>
          <w:rFonts w:ascii="Times New Roman" w:eastAsia="Times New Roman" w:hAnsi="Times New Roman" w:cs="Times New Roman"/>
          <w:sz w:val="20"/>
          <w:szCs w:val="20"/>
        </w:rPr>
        <w:t>Miller et al</w:t>
      </w:r>
      <w:r w:rsidR="008C1CFE" w:rsidRPr="001C1ABA">
        <w:rPr>
          <w:rFonts w:ascii="Times New Roman" w:eastAsia="Times New Roman" w:hAnsi="Times New Roman" w:cs="Times New Roman"/>
          <w:sz w:val="20"/>
          <w:szCs w:val="20"/>
        </w:rPr>
        <w:t>.</w:t>
      </w:r>
      <w:r w:rsidR="00570561" w:rsidRPr="001C1ABA">
        <w:rPr>
          <w:rFonts w:ascii="Times New Roman" w:eastAsia="Times New Roman" w:hAnsi="Times New Roman" w:cs="Times New Roman"/>
          <w:sz w:val="20"/>
          <w:szCs w:val="20"/>
        </w:rPr>
        <w:t>, 2012</w:t>
      </w:r>
      <w:r w:rsidR="008C1CFE" w:rsidRPr="001C1ABA">
        <w:rPr>
          <w:rFonts w:ascii="Times New Roman" w:eastAsia="Times New Roman" w:hAnsi="Times New Roman" w:cs="Times New Roman"/>
          <w:sz w:val="20"/>
          <w:szCs w:val="20"/>
        </w:rPr>
        <w:t>]</w:t>
      </w:r>
      <w:r w:rsidR="0006449C" w:rsidRPr="001C1ABA">
        <w:rPr>
          <w:rFonts w:ascii="Times New Roman" w:hAnsi="Times New Roman" w:cs="Times New Roman"/>
          <w:sz w:val="20"/>
          <w:szCs w:val="20"/>
        </w:rPr>
        <w:t>.</w:t>
      </w:r>
    </w:p>
    <w:p w:rsidR="00EC0D92" w:rsidRPr="001C1ABA" w:rsidRDefault="00EC0D92" w:rsidP="008272B1">
      <w:pPr>
        <w:adjustRightInd w:val="0"/>
        <w:snapToGrid w:val="0"/>
        <w:spacing w:after="0" w:line="240" w:lineRule="auto"/>
        <w:ind w:firstLine="425"/>
        <w:jc w:val="both"/>
        <w:rPr>
          <w:rFonts w:ascii="Times New Roman" w:eastAsia="Times New Roman" w:hAnsi="Times New Roman" w:cs="Times New Roman"/>
          <w:sz w:val="20"/>
          <w:szCs w:val="20"/>
        </w:rPr>
      </w:pPr>
      <w:r w:rsidRPr="001C1ABA">
        <w:rPr>
          <w:rFonts w:ascii="Times New Roman" w:hAnsi="Times New Roman" w:cs="Times New Roman"/>
          <w:sz w:val="20"/>
          <w:szCs w:val="20"/>
        </w:rPr>
        <w:t xml:space="preserve">However, </w:t>
      </w:r>
      <w:r w:rsidR="00963A09" w:rsidRPr="001C1ABA">
        <w:rPr>
          <w:rFonts w:ascii="Times New Roman" w:hAnsi="Times New Roman" w:cs="Times New Roman"/>
          <w:sz w:val="20"/>
          <w:szCs w:val="20"/>
        </w:rPr>
        <w:t xml:space="preserve">more studies are needed for clarification of the exact </w:t>
      </w:r>
      <w:r w:rsidRPr="001C1ABA">
        <w:rPr>
          <w:rFonts w:ascii="Times New Roman" w:hAnsi="Times New Roman" w:cs="Times New Roman"/>
          <w:sz w:val="20"/>
          <w:szCs w:val="20"/>
        </w:rPr>
        <w:t xml:space="preserve">biological function of PKM2 in cancer and its potential as an anti-cancer target. Therefore, we decided to analyze </w:t>
      </w:r>
      <w:r w:rsidR="009B3B35" w:rsidRPr="001C1ABA">
        <w:rPr>
          <w:rFonts w:ascii="Times New Roman" w:hAnsi="Times New Roman" w:cs="Times New Roman"/>
          <w:sz w:val="20"/>
          <w:szCs w:val="20"/>
        </w:rPr>
        <w:t>the role of</w:t>
      </w:r>
      <w:r w:rsidRPr="001C1ABA">
        <w:rPr>
          <w:rFonts w:ascii="Times New Roman" w:hAnsi="Times New Roman" w:cs="Times New Roman"/>
          <w:sz w:val="20"/>
          <w:szCs w:val="20"/>
        </w:rPr>
        <w:t xml:space="preserve"> TAZ and </w:t>
      </w:r>
      <w:r w:rsidRPr="001C1ABA">
        <w:rPr>
          <w:rFonts w:ascii="Times New Roman" w:hAnsi="Times New Roman" w:cs="Times New Roman"/>
          <w:sz w:val="20"/>
          <w:szCs w:val="20"/>
        </w:rPr>
        <w:lastRenderedPageBreak/>
        <w:t xml:space="preserve">PKM2 expression </w:t>
      </w:r>
      <w:r w:rsidR="009B3B35" w:rsidRPr="001C1ABA">
        <w:rPr>
          <w:rFonts w:ascii="Times New Roman" w:hAnsi="Times New Roman" w:cs="Times New Roman"/>
          <w:sz w:val="20"/>
          <w:szCs w:val="20"/>
        </w:rPr>
        <w:t>in</w:t>
      </w:r>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tumorigenesis</w:t>
      </w:r>
      <w:proofErr w:type="spellEnd"/>
      <w:r w:rsidRPr="001C1ABA">
        <w:rPr>
          <w:rFonts w:ascii="Times New Roman" w:hAnsi="Times New Roman" w:cs="Times New Roman"/>
          <w:sz w:val="20"/>
          <w:szCs w:val="20"/>
        </w:rPr>
        <w:t xml:space="preserve"> in human gastric cancer patients.</w:t>
      </w:r>
    </w:p>
    <w:p w:rsidR="00EC0D92" w:rsidRPr="001C1ABA" w:rsidRDefault="00EC0D92" w:rsidP="008272B1">
      <w:pPr>
        <w:autoSpaceDE w:val="0"/>
        <w:autoSpaceDN w:val="0"/>
        <w:adjustRightInd w:val="0"/>
        <w:snapToGrid w:val="0"/>
        <w:spacing w:after="0" w:line="240" w:lineRule="auto"/>
        <w:jc w:val="both"/>
        <w:rPr>
          <w:rFonts w:ascii="Times New Roman" w:hAnsi="Times New Roman" w:cs="Times New Roman"/>
          <w:sz w:val="20"/>
          <w:szCs w:val="20"/>
        </w:rPr>
      </w:pPr>
    </w:p>
    <w:p w:rsidR="00EC0D92" w:rsidRPr="001C1ABA" w:rsidRDefault="00444D26" w:rsidP="008272B1">
      <w:pPr>
        <w:autoSpaceDE w:val="0"/>
        <w:autoSpaceDN w:val="0"/>
        <w:adjustRightInd w:val="0"/>
        <w:snapToGrid w:val="0"/>
        <w:spacing w:after="0" w:line="240" w:lineRule="auto"/>
        <w:jc w:val="both"/>
        <w:rPr>
          <w:rFonts w:ascii="Times New Roman" w:hAnsi="Times New Roman" w:cs="Times New Roman"/>
          <w:b/>
          <w:bCs/>
          <w:sz w:val="20"/>
          <w:szCs w:val="20"/>
        </w:rPr>
      </w:pPr>
      <w:r w:rsidRPr="001C1ABA">
        <w:rPr>
          <w:rFonts w:ascii="Times New Roman" w:hAnsi="Times New Roman" w:cs="Times New Roman"/>
          <w:b/>
          <w:bCs/>
          <w:sz w:val="20"/>
          <w:szCs w:val="20"/>
        </w:rPr>
        <w:t xml:space="preserve">2. </w:t>
      </w:r>
      <w:r w:rsidR="007A5765" w:rsidRPr="001C1ABA">
        <w:rPr>
          <w:rFonts w:ascii="Times New Roman" w:hAnsi="Times New Roman" w:cs="Times New Roman"/>
          <w:b/>
          <w:bCs/>
          <w:sz w:val="20"/>
          <w:szCs w:val="20"/>
        </w:rPr>
        <w:t>Materials and methods:</w:t>
      </w:r>
    </w:p>
    <w:p w:rsidR="00EC0D92" w:rsidRPr="001C1ABA" w:rsidRDefault="00EC0D92" w:rsidP="008272B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C1ABA">
        <w:rPr>
          <w:rFonts w:ascii="Times New Roman" w:hAnsi="Times New Roman" w:cs="Times New Roman"/>
          <w:sz w:val="20"/>
          <w:szCs w:val="20"/>
        </w:rPr>
        <w:t xml:space="preserve">We studied 46 cases diagnosed as gastric signet ring carcinoma by two pathologists. Samples were collected as formalin-fixed, paraffin-embedded tissue blocks, with H&amp;E stained slides from the archive of the pathology department of faculty of medicine, Tanta </w:t>
      </w:r>
      <w:proofErr w:type="gramStart"/>
      <w:r w:rsidRPr="001C1ABA">
        <w:rPr>
          <w:rFonts w:ascii="Times New Roman" w:hAnsi="Times New Roman" w:cs="Times New Roman"/>
          <w:sz w:val="20"/>
          <w:szCs w:val="20"/>
        </w:rPr>
        <w:t>university</w:t>
      </w:r>
      <w:proofErr w:type="gramEnd"/>
      <w:r w:rsidRPr="001C1ABA">
        <w:rPr>
          <w:rFonts w:ascii="Times New Roman" w:hAnsi="Times New Roman" w:cs="Times New Roman"/>
          <w:sz w:val="20"/>
          <w:szCs w:val="20"/>
        </w:rPr>
        <w:t xml:space="preserve"> and private labs (36) or received as fresh specimens taken by endoscopic biopsy (10). </w:t>
      </w:r>
      <w:proofErr w:type="spellStart"/>
      <w:r w:rsidRPr="001C1ABA">
        <w:rPr>
          <w:rFonts w:ascii="Times New Roman" w:hAnsi="Times New Roman" w:cs="Times New Roman"/>
          <w:sz w:val="20"/>
          <w:szCs w:val="20"/>
        </w:rPr>
        <w:t>Immunohistochemistry</w:t>
      </w:r>
      <w:proofErr w:type="spellEnd"/>
      <w:r w:rsidRPr="001C1ABA">
        <w:rPr>
          <w:rFonts w:ascii="Times New Roman" w:hAnsi="Times New Roman" w:cs="Times New Roman"/>
          <w:sz w:val="20"/>
          <w:szCs w:val="20"/>
        </w:rPr>
        <w:t xml:space="preserve"> was performed using the </w:t>
      </w:r>
      <w:proofErr w:type="spellStart"/>
      <w:r w:rsidRPr="001C1ABA">
        <w:rPr>
          <w:rFonts w:ascii="Times New Roman" w:hAnsi="Times New Roman" w:cs="Times New Roman"/>
          <w:sz w:val="20"/>
          <w:szCs w:val="20"/>
        </w:rPr>
        <w:t>immunoperxoidase</w:t>
      </w:r>
      <w:proofErr w:type="spellEnd"/>
      <w:r w:rsidRPr="001C1ABA">
        <w:rPr>
          <w:rFonts w:ascii="Times New Roman" w:hAnsi="Times New Roman" w:cs="Times New Roman"/>
          <w:sz w:val="20"/>
          <w:szCs w:val="20"/>
        </w:rPr>
        <w:t xml:space="preserve"> method on 4-m-thick sections from formalin-fixed, paraffin-embedded blocks. </w:t>
      </w:r>
      <w:proofErr w:type="spellStart"/>
      <w:r w:rsidRPr="001C1ABA">
        <w:rPr>
          <w:rFonts w:ascii="Times New Roman" w:hAnsi="Times New Roman" w:cs="Times New Roman"/>
          <w:sz w:val="20"/>
          <w:szCs w:val="20"/>
        </w:rPr>
        <w:t>Pretreated</w:t>
      </w:r>
      <w:proofErr w:type="spellEnd"/>
      <w:r w:rsidRPr="001C1ABA">
        <w:rPr>
          <w:rFonts w:ascii="Times New Roman" w:hAnsi="Times New Roman" w:cs="Times New Roman"/>
          <w:sz w:val="20"/>
          <w:szCs w:val="20"/>
        </w:rPr>
        <w:t xml:space="preserve"> sections were incubated with rabbit polyclonal TAZ</w:t>
      </w:r>
      <w:r w:rsidR="00DB096E">
        <w:rPr>
          <w:rFonts w:ascii="Times New Roman" w:hAnsi="Times New Roman" w:cs="Times New Roman" w:hint="eastAsia"/>
          <w:sz w:val="20"/>
          <w:szCs w:val="20"/>
          <w:lang w:eastAsia="zh-CN"/>
        </w:rPr>
        <w:t xml:space="preserve"> </w:t>
      </w:r>
      <w:r w:rsidRPr="001C1ABA">
        <w:rPr>
          <w:rFonts w:ascii="Times New Roman" w:hAnsi="Times New Roman" w:cs="Times New Roman"/>
          <w:sz w:val="20"/>
          <w:szCs w:val="20"/>
        </w:rPr>
        <w:t>antibody (</w:t>
      </w:r>
      <w:r w:rsidR="00B02FBE" w:rsidRPr="001C1ABA">
        <w:rPr>
          <w:rFonts w:ascii="Times New Roman" w:hAnsi="Times New Roman" w:cs="Times New Roman"/>
          <w:sz w:val="20"/>
          <w:szCs w:val="20"/>
        </w:rPr>
        <w:t>1:200,</w:t>
      </w:r>
      <w:r w:rsidR="00DB096E">
        <w:rPr>
          <w:rFonts w:ascii="Times New Roman" w:hAnsi="Times New Roman" w:cs="Times New Roman" w:hint="eastAsia"/>
          <w:sz w:val="20"/>
          <w:szCs w:val="20"/>
          <w:lang w:eastAsia="zh-CN"/>
        </w:rPr>
        <w:t xml:space="preserve"> </w:t>
      </w:r>
      <w:r w:rsidRPr="001C1ABA">
        <w:rPr>
          <w:rFonts w:ascii="Times New Roman" w:hAnsi="Times New Roman" w:cs="Times New Roman"/>
          <w:sz w:val="20"/>
          <w:szCs w:val="20"/>
        </w:rPr>
        <w:t>Thermo Scientific, Egypt). Tissue was scored (H score) based on the total percentage of positive cells (</w:t>
      </w:r>
      <w:r w:rsidRPr="001C1ABA">
        <w:rPr>
          <w:rFonts w:ascii="Times New Roman" w:eastAsia="MinionMath-Regular" w:hAnsi="Times New Roman" w:cs="Times New Roman"/>
          <w:sz w:val="20"/>
          <w:szCs w:val="20"/>
        </w:rPr>
        <w:t>≤</w:t>
      </w:r>
      <w:r w:rsidRPr="001C1ABA">
        <w:rPr>
          <w:rFonts w:ascii="Times New Roman" w:hAnsi="Times New Roman" w:cs="Times New Roman"/>
          <w:sz w:val="20"/>
          <w:szCs w:val="20"/>
        </w:rPr>
        <w:t xml:space="preserve">5%) = 0, (6% </w:t>
      </w:r>
      <w:r w:rsidRPr="001C1ABA">
        <w:rPr>
          <w:rFonts w:ascii="Times New Roman" w:eastAsia="MinionMath-Regular" w:hAnsi="Times New Roman" w:cs="Times New Roman"/>
          <w:sz w:val="20"/>
          <w:szCs w:val="20"/>
        </w:rPr>
        <w:t xml:space="preserve">- </w:t>
      </w:r>
      <w:r w:rsidRPr="001C1ABA">
        <w:rPr>
          <w:rFonts w:ascii="Times New Roman" w:hAnsi="Times New Roman" w:cs="Times New Roman"/>
          <w:sz w:val="20"/>
          <w:szCs w:val="20"/>
        </w:rPr>
        <w:t>25%) = 1, (26%</w:t>
      </w:r>
      <w:r w:rsidRPr="001C1ABA">
        <w:rPr>
          <w:rFonts w:ascii="Times New Roman" w:eastAsia="MinionMath-Regular" w:hAnsi="Times New Roman" w:cs="Times New Roman"/>
          <w:sz w:val="20"/>
          <w:szCs w:val="20"/>
        </w:rPr>
        <w:t xml:space="preserve"> - </w:t>
      </w:r>
      <w:r w:rsidRPr="001C1ABA">
        <w:rPr>
          <w:rFonts w:ascii="Times New Roman" w:hAnsi="Times New Roman" w:cs="Times New Roman"/>
          <w:sz w:val="20"/>
          <w:szCs w:val="20"/>
        </w:rPr>
        <w:t>50%) = 2, (51%</w:t>
      </w:r>
      <w:r w:rsidRPr="001C1ABA">
        <w:rPr>
          <w:rFonts w:ascii="Times New Roman" w:eastAsia="MinionMath-Regular" w:hAnsi="Times New Roman" w:cs="Times New Roman"/>
          <w:sz w:val="20"/>
          <w:szCs w:val="20"/>
        </w:rPr>
        <w:t xml:space="preserve"> - </w:t>
      </w:r>
      <w:r w:rsidRPr="001C1ABA">
        <w:rPr>
          <w:rFonts w:ascii="Times New Roman" w:hAnsi="Times New Roman" w:cs="Times New Roman"/>
          <w:sz w:val="20"/>
          <w:szCs w:val="20"/>
        </w:rPr>
        <w:t>75%) = 3, and (</w:t>
      </w:r>
      <w:r w:rsidRPr="001C1ABA">
        <w:rPr>
          <w:rFonts w:ascii="Times New Roman" w:eastAsia="MinionMath-Regular" w:hAnsi="Times New Roman" w:cs="Times New Roman"/>
          <w:sz w:val="20"/>
          <w:szCs w:val="20"/>
        </w:rPr>
        <w:t>&gt;</w:t>
      </w:r>
      <w:r w:rsidRPr="001C1ABA">
        <w:rPr>
          <w:rFonts w:ascii="Times New Roman" w:hAnsi="Times New Roman" w:cs="Times New Roman"/>
          <w:sz w:val="20"/>
          <w:szCs w:val="20"/>
        </w:rPr>
        <w:t xml:space="preserve">75%) = 4) and the intensity of the staining (0, 1, 2, or 3), where </w:t>
      </w:r>
      <w:r w:rsidRPr="001C1ABA">
        <w:rPr>
          <w:rFonts w:ascii="Times New Roman" w:eastAsia="MinionMath-Regular" w:hAnsi="Times New Roman" w:cs="Times New Roman"/>
          <w:sz w:val="20"/>
          <w:szCs w:val="20"/>
        </w:rPr>
        <w:t>𝐻</w:t>
      </w:r>
      <w:r w:rsidRPr="001C1ABA">
        <w:rPr>
          <w:rFonts w:ascii="Times New Roman" w:hAnsi="Times New Roman" w:cs="Times New Roman"/>
          <w:sz w:val="20"/>
          <w:szCs w:val="20"/>
        </w:rPr>
        <w:t xml:space="preserve">is the score of the percentage of positive cells multiply intensity score. The sample was considered negative if </w:t>
      </w:r>
      <w:r w:rsidRPr="001C1ABA">
        <w:rPr>
          <w:rFonts w:ascii="Times New Roman" w:eastAsia="MinionMath-Regular" w:hAnsi="Times New Roman" w:cs="Times New Roman"/>
          <w:sz w:val="20"/>
          <w:szCs w:val="20"/>
        </w:rPr>
        <w:t>𝐻</w:t>
      </w:r>
      <w:r w:rsidRPr="001C1ABA">
        <w:rPr>
          <w:rFonts w:ascii="Times New Roman" w:hAnsi="Times New Roman" w:cs="Times New Roman"/>
          <w:sz w:val="20"/>
          <w:szCs w:val="20"/>
        </w:rPr>
        <w:t xml:space="preserve">= 0 and positive if </w:t>
      </w:r>
      <w:r w:rsidRPr="001C1ABA">
        <w:rPr>
          <w:rFonts w:ascii="Times New Roman" w:eastAsia="MinionMath-Regular" w:hAnsi="Times New Roman" w:cs="Times New Roman"/>
          <w:sz w:val="20"/>
          <w:szCs w:val="20"/>
        </w:rPr>
        <w:t>𝐻</w:t>
      </w:r>
      <w:r w:rsidRPr="001C1ABA">
        <w:rPr>
          <w:rFonts w:ascii="Times New Roman" w:hAnsi="Times New Roman" w:cs="Times New Roman"/>
          <w:sz w:val="20"/>
          <w:szCs w:val="20"/>
        </w:rPr>
        <w:t xml:space="preserve">was more than 0. Positive samples were also categorized as weak (1+) if </w:t>
      </w:r>
      <w:r w:rsidRPr="001C1ABA">
        <w:rPr>
          <w:rFonts w:ascii="Times New Roman" w:eastAsia="MinionMath-Regular" w:hAnsi="Times New Roman" w:cs="Times New Roman"/>
          <w:sz w:val="20"/>
          <w:szCs w:val="20"/>
        </w:rPr>
        <w:t>𝐻</w:t>
      </w:r>
      <w:r w:rsidRPr="001C1ABA">
        <w:rPr>
          <w:rFonts w:ascii="Times New Roman" w:hAnsi="Times New Roman" w:cs="Times New Roman"/>
          <w:sz w:val="20"/>
          <w:szCs w:val="20"/>
        </w:rPr>
        <w:t xml:space="preserve">= 1 to 4, middle (2+) if </w:t>
      </w:r>
      <w:r w:rsidRPr="001C1ABA">
        <w:rPr>
          <w:rFonts w:ascii="Times New Roman" w:eastAsia="MinionMath-Regular" w:hAnsi="Times New Roman" w:cs="Times New Roman"/>
          <w:sz w:val="20"/>
          <w:szCs w:val="20"/>
        </w:rPr>
        <w:t>𝐻</w:t>
      </w:r>
      <w:r w:rsidRPr="001C1ABA">
        <w:rPr>
          <w:rFonts w:ascii="Times New Roman" w:hAnsi="Times New Roman" w:cs="Times New Roman"/>
          <w:sz w:val="20"/>
          <w:szCs w:val="20"/>
        </w:rPr>
        <w:t xml:space="preserve">= 5 to 8, and strong (3+) if </w:t>
      </w:r>
      <w:r w:rsidRPr="001C1ABA">
        <w:rPr>
          <w:rFonts w:ascii="Times New Roman" w:eastAsia="MinionMath-Regular" w:hAnsi="Times New Roman" w:cs="Times New Roman"/>
          <w:sz w:val="20"/>
          <w:szCs w:val="20"/>
        </w:rPr>
        <w:t>𝐻</w:t>
      </w:r>
      <w:r w:rsidRPr="001C1ABA">
        <w:rPr>
          <w:rFonts w:ascii="Times New Roman" w:hAnsi="Times New Roman" w:cs="Times New Roman"/>
          <w:sz w:val="20"/>
          <w:szCs w:val="20"/>
        </w:rPr>
        <w:t>was more than 8. We grouped the cases as low expression with (+1) H score and high expression with (+2) and (+3) H score</w:t>
      </w:r>
      <w:r w:rsidR="00DB096E">
        <w:rPr>
          <w:rFonts w:ascii="Times New Roman" w:hAnsi="Times New Roman" w:cs="Times New Roman" w:hint="eastAsia"/>
          <w:sz w:val="20"/>
          <w:szCs w:val="20"/>
          <w:lang w:eastAsia="zh-CN"/>
        </w:rPr>
        <w:t xml:space="preserve"> </w:t>
      </w:r>
      <w:r w:rsidR="008C1CFE" w:rsidRPr="001C1ABA">
        <w:rPr>
          <w:rFonts w:ascii="Times New Roman" w:hAnsi="Times New Roman" w:cs="Times New Roman"/>
          <w:sz w:val="20"/>
          <w:szCs w:val="20"/>
        </w:rPr>
        <w:t>[</w:t>
      </w:r>
      <w:proofErr w:type="spellStart"/>
      <w:r w:rsidR="008C1CFE" w:rsidRPr="001C1ABA">
        <w:rPr>
          <w:rFonts w:ascii="Times New Roman" w:hAnsi="Times New Roman" w:cs="Times New Roman"/>
          <w:sz w:val="20"/>
          <w:szCs w:val="20"/>
        </w:rPr>
        <w:t>Yue</w:t>
      </w:r>
      <w:proofErr w:type="spellEnd"/>
      <w:r w:rsidR="008C1CFE" w:rsidRPr="001C1ABA">
        <w:rPr>
          <w:rFonts w:ascii="Times New Roman" w:hAnsi="Times New Roman" w:cs="Times New Roman"/>
          <w:sz w:val="20"/>
          <w:szCs w:val="20"/>
        </w:rPr>
        <w:t xml:space="preserve"> et al., 2014]</w:t>
      </w:r>
      <w:r w:rsidRPr="001C1ABA">
        <w:rPr>
          <w:rFonts w:ascii="Times New Roman" w:hAnsi="Times New Roman" w:cs="Times New Roman"/>
          <w:sz w:val="20"/>
          <w:szCs w:val="20"/>
        </w:rPr>
        <w:t>.</w:t>
      </w:r>
      <w:r w:rsidR="00DB096E">
        <w:rPr>
          <w:rFonts w:ascii="Times New Roman" w:hAnsi="Times New Roman" w:cs="Times New Roman" w:hint="eastAsia"/>
          <w:sz w:val="20"/>
          <w:szCs w:val="20"/>
          <w:lang w:eastAsia="zh-CN"/>
        </w:rPr>
        <w:t xml:space="preserve"> </w:t>
      </w:r>
      <w:r w:rsidRPr="001C1ABA">
        <w:rPr>
          <w:rFonts w:ascii="Times New Roman" w:hAnsi="Times New Roman" w:cs="Times New Roman"/>
          <w:sz w:val="20"/>
          <w:szCs w:val="20"/>
        </w:rPr>
        <w:t xml:space="preserve">Antibody to PKM2 (1:500, Thermo Scientific, Egypt) was also applied to the sections. The degree of </w:t>
      </w:r>
      <w:proofErr w:type="spellStart"/>
      <w:r w:rsidRPr="001C1ABA">
        <w:rPr>
          <w:rFonts w:ascii="Times New Roman" w:hAnsi="Times New Roman" w:cs="Times New Roman"/>
          <w:sz w:val="20"/>
          <w:szCs w:val="20"/>
        </w:rPr>
        <w:t>immunostaining</w:t>
      </w:r>
      <w:proofErr w:type="spellEnd"/>
      <w:r w:rsidRPr="001C1ABA">
        <w:rPr>
          <w:rFonts w:ascii="Times New Roman" w:hAnsi="Times New Roman" w:cs="Times New Roman"/>
          <w:sz w:val="20"/>
          <w:szCs w:val="20"/>
        </w:rPr>
        <w:t xml:space="preserve"> was scored according to the proportion of positively stained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cells and the intensity of staining.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cell proportion was classified as follows: 0% (negative), 10%-25% (weak), 25%-50% (moderate), and &gt; 50% (strong) PKM2-positive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cells. </w:t>
      </w:r>
      <w:r w:rsidRPr="001C1ABA">
        <w:rPr>
          <w:rFonts w:ascii="Times New Roman" w:hAnsi="Times New Roman" w:cs="Times New Roman"/>
          <w:sz w:val="20"/>
          <w:szCs w:val="20"/>
        </w:rPr>
        <w:lastRenderedPageBreak/>
        <w:t xml:space="preserve">Staining intensity was classified as none, weak and strong staining. We assessed PKM2 expression in non-cancer gastric epithelial cells and malignant lesions. </w:t>
      </w:r>
      <w:proofErr w:type="spellStart"/>
      <w:r w:rsidRPr="001C1ABA">
        <w:rPr>
          <w:rFonts w:ascii="Times New Roman" w:hAnsi="Times New Roman" w:cs="Times New Roman"/>
          <w:sz w:val="20"/>
          <w:szCs w:val="20"/>
        </w:rPr>
        <w:t>Tumors</w:t>
      </w:r>
      <w:proofErr w:type="spellEnd"/>
      <w:r w:rsidRPr="001C1ABA">
        <w:rPr>
          <w:rFonts w:ascii="Times New Roman" w:hAnsi="Times New Roman" w:cs="Times New Roman"/>
          <w:sz w:val="20"/>
          <w:szCs w:val="20"/>
        </w:rPr>
        <w:t xml:space="preserve"> with more than 25% PKM2-positive cells were considered </w:t>
      </w:r>
      <w:proofErr w:type="spellStart"/>
      <w:r w:rsidRPr="001C1ABA">
        <w:rPr>
          <w:rFonts w:ascii="Times New Roman" w:hAnsi="Times New Roman" w:cs="Times New Roman"/>
          <w:sz w:val="20"/>
          <w:szCs w:val="20"/>
        </w:rPr>
        <w:t>tumors</w:t>
      </w:r>
      <w:proofErr w:type="spellEnd"/>
      <w:r w:rsidRPr="001C1ABA">
        <w:rPr>
          <w:rFonts w:ascii="Times New Roman" w:hAnsi="Times New Roman" w:cs="Times New Roman"/>
          <w:sz w:val="20"/>
          <w:szCs w:val="20"/>
        </w:rPr>
        <w:t xml:space="preserve"> with positive PKM2 expression, and those with less than 25% PKM2-positive cells were considered negative for PKM2 expression</w:t>
      </w:r>
      <w:r w:rsidR="00DB096E">
        <w:rPr>
          <w:rFonts w:ascii="Times New Roman" w:hAnsi="Times New Roman" w:cs="Times New Roman" w:hint="eastAsia"/>
          <w:sz w:val="20"/>
          <w:szCs w:val="20"/>
          <w:lang w:eastAsia="zh-CN"/>
        </w:rPr>
        <w:t xml:space="preserve"> </w:t>
      </w:r>
      <w:r w:rsidR="008C1CFE" w:rsidRPr="001C1ABA">
        <w:rPr>
          <w:rFonts w:ascii="Times New Roman" w:hAnsi="Times New Roman" w:cs="Times New Roman"/>
          <w:sz w:val="20"/>
          <w:szCs w:val="20"/>
        </w:rPr>
        <w:t>[Lim et al., 2012]</w:t>
      </w:r>
      <w:r w:rsidRPr="001C1ABA">
        <w:rPr>
          <w:rFonts w:ascii="Times New Roman" w:hAnsi="Times New Roman" w:cs="Times New Roman"/>
          <w:sz w:val="20"/>
          <w:szCs w:val="20"/>
        </w:rPr>
        <w:t xml:space="preserve">. For both antibodies, the antigen retrieval (PBS buffer; pH 7.4) was done for all sections and were incubated with the primary antibody for 2 h at room temperature. The sections were incubated with secondary antibody (HRP-Rabbit/Mouse) for 15 min at room temperature. As a negative control, a section was processed in which the primary antibody was changed by PBS. </w:t>
      </w:r>
      <w:proofErr w:type="spellStart"/>
      <w:r w:rsidRPr="001C1ABA">
        <w:rPr>
          <w:rFonts w:ascii="Times New Roman" w:hAnsi="Times New Roman" w:cs="Times New Roman"/>
          <w:sz w:val="20"/>
          <w:szCs w:val="20"/>
        </w:rPr>
        <w:t>Immunohistochemical</w:t>
      </w:r>
      <w:proofErr w:type="spellEnd"/>
      <w:r w:rsidRPr="001C1ABA">
        <w:rPr>
          <w:rFonts w:ascii="Times New Roman" w:hAnsi="Times New Roman" w:cs="Times New Roman"/>
          <w:sz w:val="20"/>
          <w:szCs w:val="20"/>
        </w:rPr>
        <w:t xml:space="preserve"> staining was evaluated independently by two pathologists.</w:t>
      </w:r>
    </w:p>
    <w:p w:rsidR="006B6768" w:rsidRPr="001C1ABA" w:rsidRDefault="00E62E09" w:rsidP="008272B1">
      <w:pPr>
        <w:adjustRightInd w:val="0"/>
        <w:snapToGrid w:val="0"/>
        <w:spacing w:after="0" w:line="240" w:lineRule="auto"/>
        <w:ind w:firstLine="425"/>
        <w:jc w:val="both"/>
        <w:rPr>
          <w:rFonts w:ascii="Times New Roman" w:eastAsia="Times New Roman" w:hAnsi="Times New Roman" w:cs="Times New Roman"/>
          <w:sz w:val="20"/>
          <w:szCs w:val="20"/>
        </w:rPr>
      </w:pPr>
      <w:r w:rsidRPr="001C1ABA">
        <w:rPr>
          <w:rFonts w:ascii="Times New Roman" w:eastAsia="Times New Roman" w:hAnsi="Times New Roman" w:cs="Times New Roman"/>
          <w:sz w:val="20"/>
          <w:szCs w:val="20"/>
        </w:rPr>
        <w:t>Statistical analysis was performed by using Associations between two categorical variables were done by two sample 't' test/Mann Whitney/Analysis of variance/</w:t>
      </w:r>
      <w:proofErr w:type="spellStart"/>
      <w:r w:rsidRPr="001C1ABA">
        <w:rPr>
          <w:rFonts w:ascii="Times New Roman" w:eastAsia="Times New Roman" w:hAnsi="Times New Roman" w:cs="Times New Roman"/>
          <w:sz w:val="20"/>
          <w:szCs w:val="20"/>
        </w:rPr>
        <w:t>Kruskal</w:t>
      </w:r>
      <w:proofErr w:type="spellEnd"/>
      <w:r w:rsidRPr="001C1ABA">
        <w:rPr>
          <w:rFonts w:ascii="Times New Roman" w:eastAsia="Times New Roman" w:hAnsi="Times New Roman" w:cs="Times New Roman"/>
          <w:sz w:val="20"/>
          <w:szCs w:val="20"/>
        </w:rPr>
        <w:t>-Wallis test. A P value of less than 0.05 was considered statistically significant.</w:t>
      </w:r>
    </w:p>
    <w:p w:rsidR="001C1ABA" w:rsidRDefault="001C1ABA" w:rsidP="008272B1">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EC0D92" w:rsidRPr="001C1ABA" w:rsidRDefault="00EC0D92" w:rsidP="008272B1">
      <w:pPr>
        <w:autoSpaceDE w:val="0"/>
        <w:autoSpaceDN w:val="0"/>
        <w:adjustRightInd w:val="0"/>
        <w:snapToGrid w:val="0"/>
        <w:spacing w:after="0" w:line="240" w:lineRule="auto"/>
        <w:jc w:val="both"/>
        <w:rPr>
          <w:rFonts w:ascii="Times New Roman" w:hAnsi="Times New Roman" w:cs="Times New Roman"/>
          <w:b/>
          <w:bCs/>
          <w:sz w:val="20"/>
          <w:szCs w:val="20"/>
        </w:rPr>
      </w:pPr>
      <w:r w:rsidRPr="001C1ABA">
        <w:rPr>
          <w:rFonts w:ascii="Times New Roman" w:hAnsi="Times New Roman" w:cs="Times New Roman"/>
          <w:b/>
          <w:bCs/>
          <w:sz w:val="20"/>
          <w:szCs w:val="20"/>
        </w:rPr>
        <w:t>Results:</w:t>
      </w:r>
    </w:p>
    <w:p w:rsidR="00EC0D92" w:rsidRPr="001C1ABA" w:rsidRDefault="00EC0D92" w:rsidP="008272B1">
      <w:pPr>
        <w:autoSpaceDE w:val="0"/>
        <w:autoSpaceDN w:val="0"/>
        <w:adjustRightInd w:val="0"/>
        <w:snapToGrid w:val="0"/>
        <w:spacing w:after="0" w:line="240" w:lineRule="auto"/>
        <w:jc w:val="both"/>
        <w:rPr>
          <w:rFonts w:ascii="Times New Roman" w:hAnsi="Times New Roman" w:cs="Times New Roman"/>
          <w:b/>
          <w:bCs/>
          <w:sz w:val="20"/>
          <w:szCs w:val="20"/>
        </w:rPr>
      </w:pPr>
      <w:proofErr w:type="spellStart"/>
      <w:r w:rsidRPr="001C1ABA">
        <w:rPr>
          <w:rFonts w:ascii="Times New Roman" w:hAnsi="Times New Roman" w:cs="Times New Roman"/>
          <w:b/>
          <w:bCs/>
          <w:sz w:val="20"/>
          <w:szCs w:val="20"/>
        </w:rPr>
        <w:t>Immunohistochemical</w:t>
      </w:r>
      <w:proofErr w:type="spellEnd"/>
      <w:r w:rsidRPr="001C1ABA">
        <w:rPr>
          <w:rFonts w:ascii="Times New Roman" w:hAnsi="Times New Roman" w:cs="Times New Roman"/>
          <w:b/>
          <w:bCs/>
          <w:sz w:val="20"/>
          <w:szCs w:val="20"/>
        </w:rPr>
        <w:t xml:space="preserve"> staining results of TAZ:</w:t>
      </w:r>
    </w:p>
    <w:p w:rsidR="001C1ABA" w:rsidRDefault="00EC0D92" w:rsidP="008272B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C1ABA">
        <w:rPr>
          <w:rFonts w:ascii="Times New Roman" w:hAnsi="Times New Roman" w:cs="Times New Roman"/>
          <w:sz w:val="20"/>
          <w:szCs w:val="20"/>
        </w:rPr>
        <w:t>TAZ</w:t>
      </w:r>
      <w:r w:rsidR="00CD7B5C" w:rsidRPr="001C1ABA">
        <w:rPr>
          <w:rFonts w:ascii="Times New Roman" w:hAnsi="Times New Roman" w:cs="Times New Roman"/>
          <w:sz w:val="20"/>
          <w:szCs w:val="20"/>
        </w:rPr>
        <w:t xml:space="preserve"> </w:t>
      </w:r>
      <w:r w:rsidRPr="001C1ABA">
        <w:rPr>
          <w:rFonts w:ascii="Times New Roman" w:hAnsi="Times New Roman" w:cs="Times New Roman"/>
          <w:sz w:val="20"/>
          <w:szCs w:val="20"/>
        </w:rPr>
        <w:t xml:space="preserve">protein expressions were positive in 38 out of 46 (82.6%) gastric </w:t>
      </w:r>
      <w:r w:rsidRPr="001C1ABA">
        <w:rPr>
          <w:rFonts w:ascii="Times New Roman" w:hAnsi="Times New Roman" w:cs="Times New Roman"/>
          <w:sz w:val="20"/>
          <w:szCs w:val="20"/>
          <w:lang w:val="en-US"/>
        </w:rPr>
        <w:t xml:space="preserve">SRCC </w:t>
      </w:r>
      <w:r w:rsidRPr="001C1ABA">
        <w:rPr>
          <w:rFonts w:ascii="Times New Roman" w:hAnsi="Times New Roman" w:cs="Times New Roman"/>
          <w:sz w:val="20"/>
          <w:szCs w:val="20"/>
        </w:rPr>
        <w:t>samples. TAZ</w:t>
      </w:r>
      <w:r w:rsidR="008272B1">
        <w:rPr>
          <w:rFonts w:ascii="Times New Roman" w:hAnsi="Times New Roman" w:cs="Times New Roman" w:hint="eastAsia"/>
          <w:sz w:val="20"/>
          <w:szCs w:val="20"/>
          <w:lang w:eastAsia="zh-CN"/>
        </w:rPr>
        <w:t xml:space="preserve"> </w:t>
      </w:r>
      <w:r w:rsidRPr="001C1ABA">
        <w:rPr>
          <w:rFonts w:ascii="Times New Roman" w:hAnsi="Times New Roman" w:cs="Times New Roman"/>
          <w:sz w:val="20"/>
          <w:szCs w:val="20"/>
        </w:rPr>
        <w:t xml:space="preserve">had nuclear and </w:t>
      </w:r>
      <w:proofErr w:type="spellStart"/>
      <w:r w:rsidRPr="001C1ABA">
        <w:rPr>
          <w:rFonts w:ascii="Times New Roman" w:hAnsi="Times New Roman" w:cs="Times New Roman"/>
          <w:sz w:val="20"/>
          <w:szCs w:val="20"/>
        </w:rPr>
        <w:t>cytoplasmic</w:t>
      </w:r>
      <w:proofErr w:type="spellEnd"/>
      <w:r w:rsidRPr="001C1ABA">
        <w:rPr>
          <w:rFonts w:ascii="Times New Roman" w:hAnsi="Times New Roman" w:cs="Times New Roman"/>
          <w:sz w:val="20"/>
          <w:szCs w:val="20"/>
        </w:rPr>
        <w:t xml:space="preserve"> expression. H score was weak (+1) in 9 cases (low expression), moderate (+2) in 16 cases and strong (+3) in 13 cases (high expression in 29 cases) (Figure 1</w:t>
      </w:r>
      <w:proofErr w:type="gramStart"/>
      <w:r w:rsidR="00367BB0" w:rsidRPr="001C1ABA">
        <w:rPr>
          <w:rFonts w:ascii="Times New Roman" w:hAnsi="Times New Roman" w:cs="Times New Roman"/>
          <w:sz w:val="20"/>
          <w:szCs w:val="20"/>
        </w:rPr>
        <w:t>,2</w:t>
      </w:r>
      <w:proofErr w:type="gramEnd"/>
      <w:r w:rsidRPr="001C1ABA">
        <w:rPr>
          <w:rFonts w:ascii="Times New Roman" w:hAnsi="Times New Roman" w:cs="Times New Roman"/>
          <w:sz w:val="20"/>
          <w:szCs w:val="20"/>
        </w:rPr>
        <w:t>)</w:t>
      </w:r>
      <w:r w:rsidR="00DB096E">
        <w:rPr>
          <w:rFonts w:ascii="Times New Roman" w:hAnsi="Times New Roman" w:cs="Times New Roman" w:hint="eastAsia"/>
          <w:sz w:val="20"/>
          <w:szCs w:val="20"/>
          <w:lang w:eastAsia="zh-CN"/>
        </w:rPr>
        <w:t xml:space="preserve"> </w:t>
      </w:r>
      <w:r w:rsidRPr="001C1ABA">
        <w:rPr>
          <w:rFonts w:ascii="Times New Roman" w:hAnsi="Times New Roman" w:cs="Times New Roman"/>
          <w:sz w:val="20"/>
          <w:szCs w:val="20"/>
        </w:rPr>
        <w:t xml:space="preserve">(Table 1). The correlation of TAZ expression with the </w:t>
      </w:r>
      <w:proofErr w:type="spellStart"/>
      <w:r w:rsidRPr="001C1ABA">
        <w:rPr>
          <w:rFonts w:ascii="Times New Roman" w:hAnsi="Times New Roman" w:cs="Times New Roman"/>
          <w:sz w:val="20"/>
          <w:szCs w:val="20"/>
        </w:rPr>
        <w:t>clinicopathologic</w:t>
      </w:r>
      <w:proofErr w:type="spellEnd"/>
      <w:r w:rsidRPr="001C1ABA">
        <w:rPr>
          <w:rFonts w:ascii="Times New Roman" w:hAnsi="Times New Roman" w:cs="Times New Roman"/>
          <w:sz w:val="20"/>
          <w:szCs w:val="20"/>
        </w:rPr>
        <w:t xml:space="preserve"> characteristics showed significant relation with the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size but no significant relation with age and sex (Table 2).</w:t>
      </w:r>
      <w:r w:rsidR="008272B1">
        <w:rPr>
          <w:rFonts w:ascii="Times New Roman" w:hAnsi="Times New Roman" w:cs="Times New Roman" w:hint="eastAsia"/>
          <w:sz w:val="20"/>
          <w:szCs w:val="20"/>
          <w:lang w:eastAsia="zh-CN"/>
        </w:rPr>
        <w:t xml:space="preserve"> </w:t>
      </w:r>
    </w:p>
    <w:p w:rsidR="001C1ABA" w:rsidRPr="001C1ABA" w:rsidRDefault="001C1ABA" w:rsidP="008272B1">
      <w:pPr>
        <w:autoSpaceDE w:val="0"/>
        <w:autoSpaceDN w:val="0"/>
        <w:adjustRightInd w:val="0"/>
        <w:snapToGrid w:val="0"/>
        <w:spacing w:after="0" w:line="240" w:lineRule="auto"/>
        <w:ind w:firstLine="425"/>
        <w:jc w:val="both"/>
        <w:rPr>
          <w:rFonts w:ascii="Times New Roman" w:hAnsi="Times New Roman" w:cs="Times New Roman"/>
          <w:sz w:val="20"/>
          <w:szCs w:val="20"/>
        </w:rPr>
        <w:sectPr w:rsidR="001C1ABA" w:rsidRPr="001C1ABA" w:rsidSect="001C1ABA">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1C1ABA" w:rsidRDefault="001C1ABA" w:rsidP="008272B1">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75441A" w:rsidRPr="001C1ABA" w:rsidRDefault="0075441A" w:rsidP="008272B1">
      <w:pPr>
        <w:autoSpaceDE w:val="0"/>
        <w:autoSpaceDN w:val="0"/>
        <w:adjustRightInd w:val="0"/>
        <w:snapToGrid w:val="0"/>
        <w:spacing w:after="0" w:line="240" w:lineRule="auto"/>
        <w:jc w:val="center"/>
        <w:rPr>
          <w:rFonts w:ascii="Times New Roman" w:hAnsi="Times New Roman" w:cs="Times New Roman"/>
          <w:sz w:val="20"/>
          <w:szCs w:val="20"/>
        </w:rPr>
      </w:pPr>
      <w:r w:rsidRPr="001C1ABA">
        <w:rPr>
          <w:rFonts w:ascii="Times New Roman" w:hAnsi="Times New Roman" w:cs="Times New Roman"/>
          <w:noProof/>
          <w:sz w:val="20"/>
          <w:szCs w:val="20"/>
          <w:lang w:val="en-US" w:eastAsia="zh-CN"/>
        </w:rPr>
        <w:drawing>
          <wp:inline distT="0" distB="0" distL="0" distR="0">
            <wp:extent cx="2612832" cy="1892410"/>
            <wp:effectExtent l="19050" t="0" r="0" b="0"/>
            <wp:docPr id="1" name="Picture 1" descr="D:\Papers\signet ring ca\pkm2 photos\TAZ 2.jpg"/>
            <wp:cNvGraphicFramePr/>
            <a:graphic xmlns:a="http://schemas.openxmlformats.org/drawingml/2006/main">
              <a:graphicData uri="http://schemas.openxmlformats.org/drawingml/2006/picture">
                <pic:pic xmlns:pic="http://schemas.openxmlformats.org/drawingml/2006/picture">
                  <pic:nvPicPr>
                    <pic:cNvPr id="2050" name="Picture 2" descr="D:\Papers\signet ring ca\pkm2 photos\TAZ 2.jpg"/>
                    <pic:cNvPicPr>
                      <a:picLocks noChangeAspect="1" noChangeArrowheads="1"/>
                    </pic:cNvPicPr>
                  </pic:nvPicPr>
                  <pic:blipFill>
                    <a:blip r:embed="rId14" cstate="print"/>
                    <a:srcRect/>
                    <a:stretch>
                      <a:fillRect/>
                    </a:stretch>
                  </pic:blipFill>
                  <pic:spPr bwMode="auto">
                    <a:xfrm>
                      <a:off x="0" y="0"/>
                      <a:ext cx="2612832" cy="1892410"/>
                    </a:xfrm>
                    <a:prstGeom prst="rect">
                      <a:avLst/>
                    </a:prstGeom>
                    <a:noFill/>
                  </pic:spPr>
                </pic:pic>
              </a:graphicData>
            </a:graphic>
          </wp:inline>
        </w:drawing>
      </w:r>
    </w:p>
    <w:p w:rsidR="0075441A" w:rsidRPr="001C1ABA" w:rsidRDefault="0075441A" w:rsidP="008272B1">
      <w:pPr>
        <w:adjustRightInd w:val="0"/>
        <w:snapToGrid w:val="0"/>
        <w:spacing w:after="0" w:line="240" w:lineRule="auto"/>
        <w:jc w:val="both"/>
        <w:rPr>
          <w:rFonts w:ascii="Times New Roman" w:hAnsi="Times New Roman" w:cs="Times New Roman"/>
          <w:sz w:val="20"/>
          <w:szCs w:val="20"/>
        </w:rPr>
      </w:pPr>
      <w:proofErr w:type="gramStart"/>
      <w:r w:rsidRPr="001C1ABA">
        <w:rPr>
          <w:rFonts w:ascii="Times New Roman" w:hAnsi="Times New Roman" w:cs="Times New Roman"/>
          <w:b/>
          <w:bCs/>
          <w:sz w:val="20"/>
          <w:szCs w:val="20"/>
        </w:rPr>
        <w:t>Fig.</w:t>
      </w:r>
      <w:proofErr w:type="gramEnd"/>
      <w:r w:rsidRPr="001C1ABA">
        <w:rPr>
          <w:rFonts w:ascii="Times New Roman" w:hAnsi="Times New Roman" w:cs="Times New Roman"/>
          <w:b/>
          <w:bCs/>
          <w:sz w:val="20"/>
          <w:szCs w:val="20"/>
        </w:rPr>
        <w:t xml:space="preserve"> (1): </w:t>
      </w:r>
      <w:r w:rsidRPr="001C1ABA">
        <w:rPr>
          <w:rFonts w:ascii="Times New Roman" w:hAnsi="Times New Roman" w:cs="Times New Roman"/>
          <w:sz w:val="20"/>
          <w:szCs w:val="20"/>
        </w:rPr>
        <w:t xml:space="preserve">TAZ protein expression in SRCC showing </w:t>
      </w:r>
      <w:proofErr w:type="spellStart"/>
      <w:r w:rsidRPr="001C1ABA">
        <w:rPr>
          <w:rFonts w:ascii="Times New Roman" w:hAnsi="Times New Roman" w:cs="Times New Roman"/>
          <w:sz w:val="20"/>
          <w:szCs w:val="20"/>
        </w:rPr>
        <w:t>cytoplasmic</w:t>
      </w:r>
      <w:proofErr w:type="spellEnd"/>
      <w:r w:rsidRPr="001C1ABA">
        <w:rPr>
          <w:rFonts w:ascii="Times New Roman" w:hAnsi="Times New Roman" w:cs="Times New Roman"/>
          <w:sz w:val="20"/>
          <w:szCs w:val="20"/>
        </w:rPr>
        <w:t xml:space="preserve"> and nuclear staining with H score = 12</w:t>
      </w:r>
      <w:r w:rsidR="00DB096E">
        <w:rPr>
          <w:rFonts w:ascii="Times New Roman" w:hAnsi="Times New Roman" w:cs="Times New Roman"/>
          <w:sz w:val="20"/>
          <w:szCs w:val="20"/>
        </w:rPr>
        <w:t xml:space="preserve"> </w:t>
      </w:r>
      <w:r w:rsidRPr="001C1ABA">
        <w:rPr>
          <w:rFonts w:ascii="Times New Roman" w:hAnsi="Times New Roman" w:cs="Times New Roman"/>
          <w:sz w:val="20"/>
          <w:szCs w:val="20"/>
        </w:rPr>
        <w:t>(x100)</w:t>
      </w:r>
    </w:p>
    <w:p w:rsidR="008272B1" w:rsidRDefault="008272B1" w:rsidP="008272B1">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p>
    <w:p w:rsidR="008272B1" w:rsidRDefault="008272B1" w:rsidP="008272B1">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p>
    <w:p w:rsidR="008272B1" w:rsidRDefault="008272B1" w:rsidP="008272B1">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p>
    <w:p w:rsidR="008272B1" w:rsidRDefault="008272B1" w:rsidP="008272B1">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p>
    <w:p w:rsidR="008272B1" w:rsidRDefault="008272B1" w:rsidP="008272B1">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p>
    <w:p w:rsidR="0075441A" w:rsidRPr="001C1ABA" w:rsidRDefault="0075441A" w:rsidP="008272B1">
      <w:pPr>
        <w:autoSpaceDE w:val="0"/>
        <w:autoSpaceDN w:val="0"/>
        <w:adjustRightInd w:val="0"/>
        <w:snapToGrid w:val="0"/>
        <w:spacing w:after="0" w:line="240" w:lineRule="auto"/>
        <w:jc w:val="center"/>
        <w:rPr>
          <w:rFonts w:ascii="Times New Roman" w:hAnsi="Times New Roman" w:cs="Times New Roman"/>
          <w:sz w:val="20"/>
          <w:szCs w:val="20"/>
        </w:rPr>
      </w:pPr>
      <w:r w:rsidRPr="001C1ABA">
        <w:rPr>
          <w:rFonts w:ascii="Times New Roman" w:hAnsi="Times New Roman" w:cs="Times New Roman"/>
          <w:noProof/>
          <w:sz w:val="20"/>
          <w:szCs w:val="20"/>
          <w:lang w:val="en-US" w:eastAsia="zh-CN"/>
        </w:rPr>
        <w:drawing>
          <wp:inline distT="0" distB="0" distL="0" distR="0">
            <wp:extent cx="2822435" cy="1932167"/>
            <wp:effectExtent l="19050" t="0" r="0" b="0"/>
            <wp:docPr id="5" name="صورة 1" descr="C:\Users\aliaa\Documents\mm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a\Documents\mmd\image.jpg"/>
                    <pic:cNvPicPr>
                      <a:picLocks noChangeAspect="1" noChangeArrowheads="1"/>
                    </pic:cNvPicPr>
                  </pic:nvPicPr>
                  <pic:blipFill>
                    <a:blip r:embed="rId15" cstate="print"/>
                    <a:srcRect/>
                    <a:stretch>
                      <a:fillRect/>
                    </a:stretch>
                  </pic:blipFill>
                  <pic:spPr bwMode="auto">
                    <a:xfrm>
                      <a:off x="0" y="0"/>
                      <a:ext cx="2828307" cy="1936187"/>
                    </a:xfrm>
                    <a:prstGeom prst="rect">
                      <a:avLst/>
                    </a:prstGeom>
                    <a:noFill/>
                    <a:ln w="9525">
                      <a:noFill/>
                      <a:miter lim="800000"/>
                      <a:headEnd/>
                      <a:tailEnd/>
                    </a:ln>
                  </pic:spPr>
                </pic:pic>
              </a:graphicData>
            </a:graphic>
          </wp:inline>
        </w:drawing>
      </w:r>
    </w:p>
    <w:p w:rsidR="001C1ABA" w:rsidRDefault="0075441A" w:rsidP="008272B1">
      <w:pPr>
        <w:adjustRightInd w:val="0"/>
        <w:snapToGrid w:val="0"/>
        <w:spacing w:after="0" w:line="240" w:lineRule="auto"/>
        <w:jc w:val="both"/>
        <w:rPr>
          <w:rFonts w:ascii="Times New Roman" w:hAnsi="Times New Roman" w:cs="Times New Roman"/>
          <w:sz w:val="20"/>
          <w:szCs w:val="20"/>
        </w:rPr>
      </w:pPr>
      <w:r w:rsidRPr="001C1ABA">
        <w:rPr>
          <w:rFonts w:ascii="Times New Roman" w:hAnsi="Times New Roman" w:cs="Times New Roman"/>
          <w:b/>
          <w:bCs/>
          <w:sz w:val="20"/>
          <w:szCs w:val="20"/>
        </w:rPr>
        <w:t>Fig</w:t>
      </w:r>
      <w:proofErr w:type="gramStart"/>
      <w:r w:rsidRPr="001C1ABA">
        <w:rPr>
          <w:rFonts w:ascii="Times New Roman" w:hAnsi="Times New Roman" w:cs="Times New Roman"/>
          <w:b/>
          <w:bCs/>
          <w:sz w:val="20"/>
          <w:szCs w:val="20"/>
        </w:rPr>
        <w:t>.(</w:t>
      </w:r>
      <w:proofErr w:type="gramEnd"/>
      <w:r w:rsidRPr="001C1ABA">
        <w:rPr>
          <w:rFonts w:ascii="Times New Roman" w:hAnsi="Times New Roman" w:cs="Times New Roman"/>
          <w:b/>
          <w:bCs/>
          <w:sz w:val="20"/>
          <w:szCs w:val="20"/>
        </w:rPr>
        <w:t>2):</w:t>
      </w:r>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Cytoplasmic</w:t>
      </w:r>
      <w:proofErr w:type="spellEnd"/>
      <w:r w:rsidRPr="001C1ABA">
        <w:rPr>
          <w:rFonts w:ascii="Times New Roman" w:hAnsi="Times New Roman" w:cs="Times New Roman"/>
          <w:sz w:val="20"/>
          <w:szCs w:val="20"/>
        </w:rPr>
        <w:t xml:space="preserve"> and nuclear expression of TAZ protein in the malignant signet ring cells in a case of SRCC with H score = 6</w:t>
      </w:r>
      <w:r w:rsidR="00DB096E">
        <w:rPr>
          <w:rFonts w:ascii="Times New Roman" w:hAnsi="Times New Roman" w:cs="Times New Roman"/>
          <w:sz w:val="20"/>
          <w:szCs w:val="20"/>
        </w:rPr>
        <w:t xml:space="preserve"> </w:t>
      </w:r>
      <w:r w:rsidRPr="001C1ABA">
        <w:rPr>
          <w:rFonts w:ascii="Times New Roman" w:hAnsi="Times New Roman" w:cs="Times New Roman"/>
          <w:sz w:val="20"/>
          <w:szCs w:val="20"/>
        </w:rPr>
        <w:t>(x200)</w:t>
      </w:r>
      <w:r w:rsidR="005A3AD8" w:rsidRPr="001C1ABA">
        <w:rPr>
          <w:rFonts w:ascii="Times New Roman" w:hAnsi="Times New Roman" w:cs="Times New Roman"/>
          <w:sz w:val="20"/>
          <w:szCs w:val="20"/>
        </w:rPr>
        <w:t>.</w:t>
      </w:r>
      <w:r w:rsidR="008272B1">
        <w:rPr>
          <w:rFonts w:ascii="Times New Roman" w:hAnsi="Times New Roman" w:cs="Times New Roman" w:hint="eastAsia"/>
          <w:sz w:val="20"/>
          <w:szCs w:val="20"/>
          <w:lang w:eastAsia="zh-CN"/>
        </w:rPr>
        <w:t xml:space="preserve"> </w:t>
      </w:r>
    </w:p>
    <w:p w:rsidR="001C1ABA" w:rsidRPr="001C1ABA" w:rsidRDefault="001C1ABA" w:rsidP="008272B1">
      <w:pPr>
        <w:adjustRightInd w:val="0"/>
        <w:snapToGrid w:val="0"/>
        <w:spacing w:after="0" w:line="240" w:lineRule="auto"/>
        <w:ind w:firstLine="425"/>
        <w:jc w:val="both"/>
        <w:rPr>
          <w:rFonts w:ascii="Times New Roman" w:hAnsi="Times New Roman" w:cs="Times New Roman"/>
          <w:sz w:val="20"/>
          <w:szCs w:val="20"/>
        </w:rPr>
        <w:sectPr w:rsidR="001C1ABA" w:rsidRPr="001C1ABA" w:rsidSect="001C1ABA">
          <w:headerReference w:type="default" r:id="rId16"/>
          <w:footerReference w:type="default" r:id="rId17"/>
          <w:type w:val="continuous"/>
          <w:pgSz w:w="12242" w:h="15842" w:code="1"/>
          <w:pgMar w:top="1440" w:right="1440" w:bottom="1440" w:left="1440" w:header="720" w:footer="720" w:gutter="0"/>
          <w:cols w:num="2" w:space="550"/>
          <w:docGrid w:linePitch="360"/>
        </w:sectPr>
      </w:pPr>
    </w:p>
    <w:p w:rsidR="001C1ABA" w:rsidRDefault="001C1ABA" w:rsidP="008272B1">
      <w:pPr>
        <w:adjustRightInd w:val="0"/>
        <w:snapToGrid w:val="0"/>
        <w:spacing w:after="0" w:line="240" w:lineRule="auto"/>
        <w:rPr>
          <w:rFonts w:ascii="Times New Roman" w:hAnsi="Times New Roman" w:cs="Times New Roman" w:hint="eastAsia"/>
          <w:b/>
          <w:bCs/>
          <w:sz w:val="20"/>
          <w:szCs w:val="20"/>
          <w:lang w:eastAsia="zh-CN"/>
        </w:rPr>
      </w:pPr>
    </w:p>
    <w:p w:rsidR="005A3AD8" w:rsidRPr="001C1ABA" w:rsidRDefault="005A3AD8" w:rsidP="008272B1">
      <w:pPr>
        <w:adjustRightInd w:val="0"/>
        <w:snapToGrid w:val="0"/>
        <w:spacing w:after="0" w:line="240" w:lineRule="auto"/>
        <w:jc w:val="center"/>
        <w:rPr>
          <w:rFonts w:ascii="Times New Roman" w:hAnsi="Times New Roman" w:cs="Times New Roman"/>
          <w:sz w:val="20"/>
          <w:szCs w:val="20"/>
        </w:rPr>
      </w:pPr>
      <w:r w:rsidRPr="001C1ABA">
        <w:rPr>
          <w:rFonts w:ascii="Times New Roman" w:hAnsi="Times New Roman" w:cs="Times New Roman"/>
          <w:b/>
          <w:bCs/>
          <w:sz w:val="20"/>
          <w:szCs w:val="20"/>
        </w:rPr>
        <w:t xml:space="preserve">Table (1): </w:t>
      </w:r>
      <w:r w:rsidRPr="001C1ABA">
        <w:rPr>
          <w:rFonts w:ascii="Times New Roman" w:hAnsi="Times New Roman" w:cs="Times New Roman"/>
          <w:sz w:val="20"/>
          <w:szCs w:val="20"/>
        </w:rPr>
        <w:t xml:space="preserve">The </w:t>
      </w:r>
      <w:proofErr w:type="spellStart"/>
      <w:r w:rsidRPr="001C1ABA">
        <w:rPr>
          <w:rFonts w:ascii="Times New Roman" w:hAnsi="Times New Roman" w:cs="Times New Roman"/>
          <w:sz w:val="20"/>
          <w:szCs w:val="20"/>
        </w:rPr>
        <w:t>immunohistochemical</w:t>
      </w:r>
      <w:proofErr w:type="spellEnd"/>
      <w:r w:rsidRPr="001C1ABA">
        <w:rPr>
          <w:rFonts w:ascii="Times New Roman" w:hAnsi="Times New Roman" w:cs="Times New Roman"/>
          <w:sz w:val="20"/>
          <w:szCs w:val="20"/>
        </w:rPr>
        <w:t xml:space="preserve"> staining results of TAZ in SRCC cases:</w:t>
      </w:r>
    </w:p>
    <w:tbl>
      <w:tblPr>
        <w:tblStyle w:val="TableGrid"/>
        <w:tblW w:w="9322" w:type="dxa"/>
        <w:jc w:val="center"/>
        <w:tblLayout w:type="fixed"/>
        <w:tblLook w:val="04A0"/>
      </w:tblPr>
      <w:tblGrid>
        <w:gridCol w:w="2518"/>
        <w:gridCol w:w="1559"/>
        <w:gridCol w:w="1560"/>
        <w:gridCol w:w="1842"/>
        <w:gridCol w:w="1843"/>
      </w:tblGrid>
      <w:tr w:rsidR="005A3AD8" w:rsidRPr="001C1ABA" w:rsidTr="001C1ABA">
        <w:trPr>
          <w:trHeight w:val="243"/>
          <w:jc w:val="center"/>
        </w:trPr>
        <w:tc>
          <w:tcPr>
            <w:tcW w:w="2518" w:type="dxa"/>
            <w:vMerge w:val="restart"/>
            <w:vAlign w:val="center"/>
          </w:tcPr>
          <w:p w:rsidR="005A3AD8" w:rsidRPr="001C1ABA" w:rsidRDefault="005A3AD8" w:rsidP="008272B1">
            <w:pPr>
              <w:adjustRightInd w:val="0"/>
              <w:snapToGrid w:val="0"/>
              <w:jc w:val="both"/>
              <w:rPr>
                <w:rFonts w:ascii="Times New Roman" w:hAnsi="Times New Roman" w:cs="Times New Roman"/>
                <w:color w:val="000000"/>
                <w:sz w:val="20"/>
                <w:szCs w:val="18"/>
              </w:rPr>
            </w:pPr>
          </w:p>
        </w:tc>
        <w:tc>
          <w:tcPr>
            <w:tcW w:w="6804" w:type="dxa"/>
            <w:gridSpan w:val="4"/>
            <w:vAlign w:val="center"/>
          </w:tcPr>
          <w:p w:rsidR="005A3AD8" w:rsidRPr="001C1ABA" w:rsidRDefault="005A3AD8" w:rsidP="008272B1">
            <w:pPr>
              <w:adjustRightInd w:val="0"/>
              <w:snapToGrid w:val="0"/>
              <w:jc w:val="both"/>
              <w:rPr>
                <w:rFonts w:ascii="Times New Roman" w:hAnsi="Times New Roman" w:cs="Times New Roman"/>
                <w:b/>
                <w:bCs/>
                <w:color w:val="000000"/>
                <w:sz w:val="20"/>
                <w:szCs w:val="18"/>
              </w:rPr>
            </w:pPr>
            <w:proofErr w:type="spellStart"/>
            <w:r w:rsidRPr="001C1ABA">
              <w:rPr>
                <w:rFonts w:ascii="Times New Roman" w:hAnsi="Times New Roman" w:cs="Times New Roman"/>
                <w:b/>
                <w:bCs/>
                <w:color w:val="000000"/>
                <w:sz w:val="20"/>
                <w:szCs w:val="18"/>
              </w:rPr>
              <w:t>Immunohistochemical</w:t>
            </w:r>
            <w:proofErr w:type="spellEnd"/>
            <w:r w:rsidRPr="001C1ABA">
              <w:rPr>
                <w:rFonts w:ascii="Times New Roman" w:hAnsi="Times New Roman" w:cs="Times New Roman"/>
                <w:b/>
                <w:bCs/>
                <w:color w:val="000000"/>
                <w:sz w:val="20"/>
                <w:szCs w:val="18"/>
              </w:rPr>
              <w:t xml:space="preserve"> expression of TAZ in SRCC</w:t>
            </w:r>
          </w:p>
        </w:tc>
      </w:tr>
      <w:tr w:rsidR="005A3AD8" w:rsidRPr="001C1ABA" w:rsidTr="001C1ABA">
        <w:trPr>
          <w:trHeight w:val="243"/>
          <w:jc w:val="center"/>
        </w:trPr>
        <w:tc>
          <w:tcPr>
            <w:tcW w:w="2518" w:type="dxa"/>
            <w:vMerge/>
            <w:vAlign w:val="center"/>
          </w:tcPr>
          <w:p w:rsidR="005A3AD8" w:rsidRPr="001C1ABA" w:rsidRDefault="005A3AD8" w:rsidP="008272B1">
            <w:pPr>
              <w:adjustRightInd w:val="0"/>
              <w:snapToGrid w:val="0"/>
              <w:jc w:val="both"/>
              <w:rPr>
                <w:rFonts w:ascii="Times New Roman" w:hAnsi="Times New Roman" w:cs="Times New Roman"/>
                <w:color w:val="000000"/>
                <w:sz w:val="20"/>
                <w:szCs w:val="18"/>
              </w:rPr>
            </w:pPr>
          </w:p>
        </w:tc>
        <w:tc>
          <w:tcPr>
            <w:tcW w:w="1559" w:type="dxa"/>
            <w:vAlign w:val="center"/>
          </w:tcPr>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0 (Negative)</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N = 8</w:t>
            </w:r>
          </w:p>
        </w:tc>
        <w:tc>
          <w:tcPr>
            <w:tcW w:w="1560" w:type="dxa"/>
            <w:vAlign w:val="center"/>
          </w:tcPr>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(Weak H score)</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N = 9</w:t>
            </w:r>
          </w:p>
        </w:tc>
        <w:tc>
          <w:tcPr>
            <w:tcW w:w="1842" w:type="dxa"/>
            <w:vAlign w:val="center"/>
          </w:tcPr>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(Moderate H score)</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N = 20</w:t>
            </w:r>
          </w:p>
        </w:tc>
        <w:tc>
          <w:tcPr>
            <w:tcW w:w="1843" w:type="dxa"/>
            <w:vAlign w:val="center"/>
          </w:tcPr>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(Strong H score)</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N = 9</w:t>
            </w:r>
          </w:p>
        </w:tc>
      </w:tr>
      <w:tr w:rsidR="005A3AD8" w:rsidRPr="001C1ABA" w:rsidTr="001C1ABA">
        <w:trPr>
          <w:trHeight w:val="64"/>
          <w:jc w:val="center"/>
        </w:trPr>
        <w:tc>
          <w:tcPr>
            <w:tcW w:w="2518" w:type="dxa"/>
            <w:vAlign w:val="center"/>
          </w:tcPr>
          <w:p w:rsidR="005A3AD8" w:rsidRPr="001C1ABA" w:rsidRDefault="005A3AD8" w:rsidP="008272B1">
            <w:pPr>
              <w:adjustRightInd w:val="0"/>
              <w:snapToGrid w:val="0"/>
              <w:jc w:val="both"/>
              <w:rPr>
                <w:rFonts w:ascii="Times New Roman" w:hAnsi="Times New Roman" w:cs="Times New Roman"/>
                <w:b/>
                <w:bCs/>
                <w:color w:val="000000"/>
                <w:sz w:val="20"/>
                <w:szCs w:val="18"/>
              </w:rPr>
            </w:pPr>
            <w:r w:rsidRPr="001C1ABA">
              <w:rPr>
                <w:rFonts w:ascii="Times New Roman" w:hAnsi="Times New Roman" w:cs="Times New Roman"/>
                <w:b/>
                <w:bCs/>
                <w:color w:val="000000"/>
                <w:sz w:val="20"/>
                <w:szCs w:val="18"/>
              </w:rPr>
              <w:t>Intensity of staining</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+1</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+2</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+3</w:t>
            </w:r>
          </w:p>
        </w:tc>
        <w:tc>
          <w:tcPr>
            <w:tcW w:w="1559" w:type="dxa"/>
            <w:vAlign w:val="center"/>
          </w:tcPr>
          <w:p w:rsidR="005A3AD8" w:rsidRPr="001C1ABA" w:rsidRDefault="005A3AD8" w:rsidP="008272B1">
            <w:pPr>
              <w:adjustRightInd w:val="0"/>
              <w:snapToGrid w:val="0"/>
              <w:jc w:val="both"/>
              <w:rPr>
                <w:rFonts w:ascii="Times New Roman" w:hAnsi="Times New Roman" w:cs="Times New Roman"/>
                <w:color w:val="000000"/>
                <w:sz w:val="20"/>
                <w:szCs w:val="18"/>
                <w:lang w:bidi="ar-EG"/>
              </w:rPr>
            </w:pPr>
          </w:p>
          <w:p w:rsidR="005A3AD8" w:rsidRPr="001C1ABA" w:rsidRDefault="005A3AD8" w:rsidP="008272B1">
            <w:pPr>
              <w:adjustRightInd w:val="0"/>
              <w:snapToGrid w:val="0"/>
              <w:jc w:val="both"/>
              <w:rPr>
                <w:rFonts w:ascii="Times New Roman" w:hAnsi="Times New Roman" w:cs="Times New Roman"/>
                <w:color w:val="000000"/>
                <w:sz w:val="20"/>
                <w:szCs w:val="18"/>
                <w:lang w:bidi="ar-EG"/>
              </w:rPr>
            </w:pPr>
            <w:r w:rsidRPr="001C1ABA">
              <w:rPr>
                <w:rFonts w:ascii="Times New Roman" w:hAnsi="Times New Roman" w:cs="Times New Roman"/>
                <w:color w:val="000000"/>
                <w:sz w:val="20"/>
                <w:szCs w:val="18"/>
                <w:lang w:bidi="ar-EG"/>
              </w:rPr>
              <w:t>0</w:t>
            </w:r>
          </w:p>
          <w:p w:rsidR="005A3AD8" w:rsidRPr="001C1ABA" w:rsidRDefault="005A3AD8" w:rsidP="008272B1">
            <w:pPr>
              <w:adjustRightInd w:val="0"/>
              <w:snapToGrid w:val="0"/>
              <w:jc w:val="both"/>
              <w:rPr>
                <w:rFonts w:ascii="Times New Roman" w:hAnsi="Times New Roman" w:cs="Times New Roman"/>
                <w:color w:val="000000"/>
                <w:sz w:val="20"/>
                <w:szCs w:val="18"/>
                <w:lang w:bidi="ar-EG"/>
              </w:rPr>
            </w:pPr>
            <w:r w:rsidRPr="001C1ABA">
              <w:rPr>
                <w:rFonts w:ascii="Times New Roman" w:hAnsi="Times New Roman" w:cs="Times New Roman"/>
                <w:color w:val="000000"/>
                <w:sz w:val="20"/>
                <w:szCs w:val="18"/>
                <w:lang w:bidi="ar-EG"/>
              </w:rPr>
              <w:t>0</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lang w:bidi="ar-EG"/>
              </w:rPr>
              <w:t>0</w:t>
            </w:r>
          </w:p>
        </w:tc>
        <w:tc>
          <w:tcPr>
            <w:tcW w:w="1560" w:type="dxa"/>
            <w:vAlign w:val="center"/>
          </w:tcPr>
          <w:p w:rsidR="005A3AD8" w:rsidRPr="001C1ABA" w:rsidRDefault="005A3AD8" w:rsidP="008272B1">
            <w:pPr>
              <w:adjustRightInd w:val="0"/>
              <w:snapToGrid w:val="0"/>
              <w:jc w:val="both"/>
              <w:rPr>
                <w:rFonts w:ascii="Times New Roman" w:hAnsi="Times New Roman" w:cs="Times New Roman"/>
                <w:color w:val="000000"/>
                <w:sz w:val="20"/>
                <w:szCs w:val="18"/>
              </w:rPr>
            </w:pP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4</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4</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1</w:t>
            </w:r>
          </w:p>
        </w:tc>
        <w:tc>
          <w:tcPr>
            <w:tcW w:w="1842" w:type="dxa"/>
            <w:vAlign w:val="center"/>
          </w:tcPr>
          <w:p w:rsidR="005A3AD8" w:rsidRPr="001C1ABA" w:rsidRDefault="005A3AD8" w:rsidP="008272B1">
            <w:pPr>
              <w:adjustRightInd w:val="0"/>
              <w:snapToGrid w:val="0"/>
              <w:jc w:val="both"/>
              <w:rPr>
                <w:rFonts w:ascii="Times New Roman" w:hAnsi="Times New Roman" w:cs="Times New Roman"/>
                <w:color w:val="000000"/>
                <w:sz w:val="20"/>
                <w:szCs w:val="18"/>
              </w:rPr>
            </w:pP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0</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11</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9</w:t>
            </w:r>
          </w:p>
        </w:tc>
        <w:tc>
          <w:tcPr>
            <w:tcW w:w="1843" w:type="dxa"/>
            <w:vAlign w:val="center"/>
          </w:tcPr>
          <w:p w:rsidR="005A3AD8" w:rsidRPr="001C1ABA" w:rsidRDefault="005A3AD8" w:rsidP="008272B1">
            <w:pPr>
              <w:adjustRightInd w:val="0"/>
              <w:snapToGrid w:val="0"/>
              <w:jc w:val="both"/>
              <w:rPr>
                <w:rFonts w:ascii="Times New Roman" w:hAnsi="Times New Roman" w:cs="Times New Roman"/>
                <w:color w:val="000000"/>
                <w:sz w:val="20"/>
                <w:szCs w:val="18"/>
              </w:rPr>
            </w:pP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0</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0</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9</w:t>
            </w:r>
          </w:p>
        </w:tc>
      </w:tr>
      <w:tr w:rsidR="005A3AD8" w:rsidRPr="001C1ABA" w:rsidTr="001C1ABA">
        <w:trPr>
          <w:trHeight w:val="64"/>
          <w:jc w:val="center"/>
        </w:trPr>
        <w:tc>
          <w:tcPr>
            <w:tcW w:w="2518" w:type="dxa"/>
            <w:vAlign w:val="center"/>
          </w:tcPr>
          <w:p w:rsidR="005A3AD8" w:rsidRPr="001C1ABA" w:rsidRDefault="005A3AD8" w:rsidP="008272B1">
            <w:pPr>
              <w:adjustRightInd w:val="0"/>
              <w:snapToGrid w:val="0"/>
              <w:jc w:val="both"/>
              <w:rPr>
                <w:rFonts w:ascii="Times New Roman" w:hAnsi="Times New Roman" w:cs="Times New Roman"/>
                <w:b/>
                <w:bCs/>
                <w:color w:val="000000"/>
                <w:sz w:val="20"/>
                <w:szCs w:val="18"/>
              </w:rPr>
            </w:pPr>
            <w:r w:rsidRPr="001C1ABA">
              <w:rPr>
                <w:rFonts w:ascii="Times New Roman" w:hAnsi="Times New Roman" w:cs="Times New Roman"/>
                <w:b/>
                <w:bCs/>
                <w:color w:val="000000"/>
                <w:sz w:val="20"/>
                <w:szCs w:val="18"/>
              </w:rPr>
              <w:t>Percentage of positive cells</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+1</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+2</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+3</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+4</w:t>
            </w:r>
          </w:p>
        </w:tc>
        <w:tc>
          <w:tcPr>
            <w:tcW w:w="1559" w:type="dxa"/>
            <w:vAlign w:val="center"/>
          </w:tcPr>
          <w:p w:rsidR="005A3AD8" w:rsidRPr="001C1ABA" w:rsidRDefault="005A3AD8" w:rsidP="008272B1">
            <w:pPr>
              <w:adjustRightInd w:val="0"/>
              <w:snapToGrid w:val="0"/>
              <w:jc w:val="both"/>
              <w:rPr>
                <w:rFonts w:ascii="Times New Roman" w:hAnsi="Times New Roman" w:cs="Times New Roman"/>
                <w:color w:val="000000"/>
                <w:sz w:val="20"/>
                <w:szCs w:val="18"/>
              </w:rPr>
            </w:pP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0</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0</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0</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0</w:t>
            </w:r>
          </w:p>
        </w:tc>
        <w:tc>
          <w:tcPr>
            <w:tcW w:w="1560" w:type="dxa"/>
            <w:vAlign w:val="center"/>
          </w:tcPr>
          <w:p w:rsidR="005A3AD8" w:rsidRPr="001C1ABA" w:rsidRDefault="005A3AD8" w:rsidP="008272B1">
            <w:pPr>
              <w:adjustRightInd w:val="0"/>
              <w:snapToGrid w:val="0"/>
              <w:jc w:val="both"/>
              <w:rPr>
                <w:rFonts w:ascii="Times New Roman" w:hAnsi="Times New Roman" w:cs="Times New Roman"/>
                <w:color w:val="000000"/>
                <w:sz w:val="20"/>
                <w:szCs w:val="18"/>
              </w:rPr>
            </w:pP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5</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3</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1</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0</w:t>
            </w:r>
          </w:p>
        </w:tc>
        <w:tc>
          <w:tcPr>
            <w:tcW w:w="1842" w:type="dxa"/>
            <w:vAlign w:val="center"/>
          </w:tcPr>
          <w:p w:rsidR="005A3AD8" w:rsidRPr="001C1ABA" w:rsidRDefault="005A3AD8" w:rsidP="008272B1">
            <w:pPr>
              <w:adjustRightInd w:val="0"/>
              <w:snapToGrid w:val="0"/>
              <w:jc w:val="both"/>
              <w:rPr>
                <w:rFonts w:ascii="Times New Roman" w:hAnsi="Times New Roman" w:cs="Times New Roman"/>
                <w:color w:val="000000"/>
                <w:sz w:val="20"/>
                <w:szCs w:val="18"/>
              </w:rPr>
            </w:pP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0</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9</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9</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2</w:t>
            </w:r>
          </w:p>
        </w:tc>
        <w:tc>
          <w:tcPr>
            <w:tcW w:w="1843" w:type="dxa"/>
            <w:vAlign w:val="center"/>
          </w:tcPr>
          <w:p w:rsidR="005A3AD8" w:rsidRPr="001C1ABA" w:rsidRDefault="005A3AD8" w:rsidP="008272B1">
            <w:pPr>
              <w:adjustRightInd w:val="0"/>
              <w:snapToGrid w:val="0"/>
              <w:jc w:val="both"/>
              <w:rPr>
                <w:rFonts w:ascii="Times New Roman" w:hAnsi="Times New Roman" w:cs="Times New Roman"/>
                <w:color w:val="000000"/>
                <w:sz w:val="20"/>
                <w:szCs w:val="18"/>
              </w:rPr>
            </w:pP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0</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0</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6</w:t>
            </w:r>
          </w:p>
          <w:p w:rsidR="005A3AD8" w:rsidRPr="001C1ABA" w:rsidRDefault="005A3AD8" w:rsidP="008272B1">
            <w:pPr>
              <w:adjustRightInd w:val="0"/>
              <w:snapToGrid w:val="0"/>
              <w:jc w:val="both"/>
              <w:rPr>
                <w:rFonts w:ascii="Times New Roman" w:hAnsi="Times New Roman" w:cs="Times New Roman"/>
                <w:color w:val="000000"/>
                <w:sz w:val="20"/>
                <w:szCs w:val="18"/>
              </w:rPr>
            </w:pPr>
            <w:r w:rsidRPr="001C1ABA">
              <w:rPr>
                <w:rFonts w:ascii="Times New Roman" w:hAnsi="Times New Roman" w:cs="Times New Roman"/>
                <w:color w:val="000000"/>
                <w:sz w:val="20"/>
                <w:szCs w:val="18"/>
              </w:rPr>
              <w:t>3</w:t>
            </w:r>
          </w:p>
        </w:tc>
      </w:tr>
    </w:tbl>
    <w:p w:rsidR="005A3AD8" w:rsidRPr="001C1ABA" w:rsidRDefault="005A3AD8" w:rsidP="008272B1">
      <w:pPr>
        <w:adjustRightInd w:val="0"/>
        <w:snapToGrid w:val="0"/>
        <w:spacing w:after="0" w:line="240" w:lineRule="auto"/>
        <w:jc w:val="center"/>
        <w:rPr>
          <w:rFonts w:ascii="Times New Roman" w:hAnsi="Times New Roman" w:cs="Times New Roman"/>
          <w:sz w:val="20"/>
          <w:szCs w:val="20"/>
        </w:rPr>
      </w:pPr>
    </w:p>
    <w:p w:rsidR="005A3AD8" w:rsidRPr="001C1ABA" w:rsidRDefault="005A3AD8" w:rsidP="008272B1">
      <w:pPr>
        <w:adjustRightInd w:val="0"/>
        <w:snapToGrid w:val="0"/>
        <w:spacing w:after="0" w:line="240" w:lineRule="auto"/>
        <w:jc w:val="center"/>
        <w:rPr>
          <w:rFonts w:ascii="Times New Roman" w:hAnsi="Times New Roman" w:cs="Times New Roman"/>
          <w:sz w:val="20"/>
          <w:szCs w:val="20"/>
        </w:rPr>
      </w:pPr>
      <w:r w:rsidRPr="001C1ABA">
        <w:rPr>
          <w:rFonts w:ascii="Times New Roman" w:hAnsi="Times New Roman" w:cs="Times New Roman"/>
          <w:b/>
          <w:bCs/>
          <w:sz w:val="20"/>
          <w:szCs w:val="20"/>
        </w:rPr>
        <w:t xml:space="preserve">Table (2): </w:t>
      </w:r>
      <w:r w:rsidRPr="001C1ABA">
        <w:rPr>
          <w:rFonts w:ascii="Times New Roman" w:hAnsi="Times New Roman" w:cs="Times New Roman"/>
          <w:sz w:val="20"/>
          <w:szCs w:val="20"/>
        </w:rPr>
        <w:t>The relation of TAZ expression with the clinical characters of SRCC:</w:t>
      </w:r>
    </w:p>
    <w:tbl>
      <w:tblPr>
        <w:tblStyle w:val="TableGrid"/>
        <w:tblW w:w="9240" w:type="dxa"/>
        <w:jc w:val="center"/>
        <w:tblLook w:val="04A0"/>
      </w:tblPr>
      <w:tblGrid>
        <w:gridCol w:w="2310"/>
        <w:gridCol w:w="2310"/>
        <w:gridCol w:w="2310"/>
        <w:gridCol w:w="2310"/>
      </w:tblGrid>
      <w:tr w:rsidR="007D285F" w:rsidRPr="001C1ABA" w:rsidTr="001C1ABA">
        <w:trPr>
          <w:jc w:val="center"/>
        </w:trPr>
        <w:tc>
          <w:tcPr>
            <w:tcW w:w="2310" w:type="dxa"/>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Clinical characters</w:t>
            </w:r>
          </w:p>
        </w:tc>
        <w:tc>
          <w:tcPr>
            <w:tcW w:w="2310" w:type="dxa"/>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Low expression</w:t>
            </w:r>
          </w:p>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N = 9</w:t>
            </w:r>
          </w:p>
        </w:tc>
        <w:tc>
          <w:tcPr>
            <w:tcW w:w="2310" w:type="dxa"/>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High expression</w:t>
            </w:r>
          </w:p>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N = 29</w:t>
            </w:r>
          </w:p>
        </w:tc>
        <w:tc>
          <w:tcPr>
            <w:tcW w:w="2310" w:type="dxa"/>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P</w:t>
            </w:r>
          </w:p>
        </w:tc>
      </w:tr>
      <w:tr w:rsidR="007D285F" w:rsidRPr="001C1ABA" w:rsidTr="001C1ABA">
        <w:trPr>
          <w:jc w:val="center"/>
        </w:trPr>
        <w:tc>
          <w:tcPr>
            <w:tcW w:w="2310" w:type="dxa"/>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Age</w:t>
            </w:r>
          </w:p>
          <w:p w:rsidR="007D285F" w:rsidRPr="001C1ABA" w:rsidRDefault="007D285F" w:rsidP="008272B1">
            <w:pPr>
              <w:adjustRightInd w:val="0"/>
              <w:snapToGrid w:val="0"/>
              <w:jc w:val="both"/>
              <w:rPr>
                <w:rFonts w:ascii="Times New Roman" w:eastAsia="MinionMath-Regular" w:hAnsi="Times New Roman" w:cs="Times New Roman"/>
                <w:b/>
                <w:bCs/>
                <w:color w:val="000000"/>
                <w:sz w:val="20"/>
                <w:szCs w:val="20"/>
              </w:rPr>
            </w:pPr>
            <w:r w:rsidRPr="001C1ABA">
              <w:rPr>
                <w:rFonts w:ascii="Times New Roman" w:eastAsia="MinionMath-Regular" w:hAnsi="Times New Roman" w:cs="Times New Roman"/>
                <w:b/>
                <w:bCs/>
                <w:color w:val="000000"/>
                <w:sz w:val="20"/>
                <w:szCs w:val="20"/>
              </w:rPr>
              <w:t>&lt;60</w:t>
            </w:r>
          </w:p>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eastAsia="MinionMath-Regular" w:hAnsi="Times New Roman" w:cs="Times New Roman"/>
                <w:b/>
                <w:bCs/>
                <w:color w:val="000000"/>
                <w:sz w:val="20"/>
                <w:szCs w:val="20"/>
              </w:rPr>
              <w:t>&gt;60</w:t>
            </w:r>
          </w:p>
        </w:tc>
        <w:tc>
          <w:tcPr>
            <w:tcW w:w="2310" w:type="dxa"/>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4</w:t>
            </w: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5</w:t>
            </w:r>
          </w:p>
        </w:tc>
        <w:tc>
          <w:tcPr>
            <w:tcW w:w="2310" w:type="dxa"/>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13</w:t>
            </w: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16</w:t>
            </w:r>
          </w:p>
        </w:tc>
        <w:tc>
          <w:tcPr>
            <w:tcW w:w="2310" w:type="dxa"/>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0.237</w:t>
            </w:r>
          </w:p>
        </w:tc>
      </w:tr>
      <w:tr w:rsidR="007D285F" w:rsidRPr="001C1ABA" w:rsidTr="001C1ABA">
        <w:trPr>
          <w:jc w:val="center"/>
        </w:trPr>
        <w:tc>
          <w:tcPr>
            <w:tcW w:w="2310" w:type="dxa"/>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Sex</w:t>
            </w:r>
          </w:p>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Male</w:t>
            </w:r>
          </w:p>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Female</w:t>
            </w:r>
          </w:p>
        </w:tc>
        <w:tc>
          <w:tcPr>
            <w:tcW w:w="2310" w:type="dxa"/>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7</w:t>
            </w: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2</w:t>
            </w:r>
          </w:p>
        </w:tc>
        <w:tc>
          <w:tcPr>
            <w:tcW w:w="2310" w:type="dxa"/>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25</w:t>
            </w: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4</w:t>
            </w:r>
          </w:p>
        </w:tc>
        <w:tc>
          <w:tcPr>
            <w:tcW w:w="2310" w:type="dxa"/>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0.154</w:t>
            </w:r>
          </w:p>
        </w:tc>
      </w:tr>
      <w:tr w:rsidR="007D285F" w:rsidRPr="001C1ABA" w:rsidTr="001C1ABA">
        <w:trPr>
          <w:jc w:val="center"/>
        </w:trPr>
        <w:tc>
          <w:tcPr>
            <w:tcW w:w="2310" w:type="dxa"/>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Size</w:t>
            </w:r>
          </w:p>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&lt;5cm</w:t>
            </w:r>
          </w:p>
          <w:p w:rsidR="007D285F" w:rsidRPr="001C1ABA" w:rsidRDefault="007D285F" w:rsidP="008272B1">
            <w:pPr>
              <w:adjustRightInd w:val="0"/>
              <w:snapToGrid w:val="0"/>
              <w:jc w:val="both"/>
              <w:rPr>
                <w:rFonts w:ascii="Times New Roman" w:hAnsi="Times New Roman" w:cs="Times New Roman" w:hint="eastAsia"/>
                <w:b/>
                <w:bCs/>
                <w:color w:val="000000"/>
                <w:sz w:val="20"/>
                <w:szCs w:val="20"/>
                <w:lang w:eastAsia="zh-CN"/>
              </w:rPr>
            </w:pPr>
            <w:r w:rsidRPr="001C1ABA">
              <w:rPr>
                <w:rFonts w:ascii="Times New Roman" w:hAnsi="Times New Roman" w:cs="Times New Roman"/>
                <w:b/>
                <w:bCs/>
                <w:color w:val="000000"/>
                <w:sz w:val="20"/>
                <w:szCs w:val="20"/>
              </w:rPr>
              <w:t>&gt;5cm</w:t>
            </w:r>
          </w:p>
        </w:tc>
        <w:tc>
          <w:tcPr>
            <w:tcW w:w="2310" w:type="dxa"/>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6</w:t>
            </w: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3</w:t>
            </w:r>
          </w:p>
        </w:tc>
        <w:tc>
          <w:tcPr>
            <w:tcW w:w="2310" w:type="dxa"/>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7</w:t>
            </w: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22</w:t>
            </w:r>
          </w:p>
        </w:tc>
        <w:tc>
          <w:tcPr>
            <w:tcW w:w="2310" w:type="dxa"/>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0.041*</w:t>
            </w:r>
          </w:p>
        </w:tc>
      </w:tr>
    </w:tbl>
    <w:p w:rsidR="005A3AD8" w:rsidRPr="001C1ABA" w:rsidRDefault="007D285F" w:rsidP="008272B1">
      <w:pPr>
        <w:adjustRightInd w:val="0"/>
        <w:snapToGrid w:val="0"/>
        <w:spacing w:after="0" w:line="240" w:lineRule="auto"/>
        <w:ind w:firstLine="425"/>
        <w:jc w:val="both"/>
        <w:rPr>
          <w:rFonts w:ascii="Times New Roman" w:hAnsi="Times New Roman" w:cs="Times New Roman"/>
          <w:b/>
          <w:bCs/>
          <w:sz w:val="20"/>
          <w:szCs w:val="20"/>
        </w:rPr>
      </w:pPr>
      <w:r w:rsidRPr="001C1ABA">
        <w:rPr>
          <w:rFonts w:ascii="Times New Roman" w:hAnsi="Times New Roman" w:cs="Times New Roman"/>
          <w:b/>
          <w:bCs/>
          <w:sz w:val="20"/>
          <w:szCs w:val="20"/>
        </w:rPr>
        <w:t>*</w:t>
      </w:r>
      <w:r w:rsidRPr="001C1ABA">
        <w:rPr>
          <w:rFonts w:ascii="Times New Roman" w:hAnsi="Times New Roman" w:cs="Times New Roman"/>
          <w:sz w:val="20"/>
          <w:szCs w:val="20"/>
        </w:rPr>
        <w:t>Statistically significant (P&lt;0.05).</w:t>
      </w:r>
    </w:p>
    <w:p w:rsidR="001C1ABA" w:rsidRDefault="001C1ABA" w:rsidP="008272B1">
      <w:pPr>
        <w:autoSpaceDE w:val="0"/>
        <w:autoSpaceDN w:val="0"/>
        <w:adjustRightInd w:val="0"/>
        <w:snapToGrid w:val="0"/>
        <w:spacing w:after="0" w:line="240" w:lineRule="auto"/>
        <w:jc w:val="both"/>
        <w:rPr>
          <w:rFonts w:ascii="Times New Roman" w:hAnsi="Times New Roman" w:cs="Times New Roman"/>
          <w:b/>
          <w:bCs/>
          <w:sz w:val="20"/>
          <w:szCs w:val="20"/>
        </w:rPr>
      </w:pPr>
    </w:p>
    <w:p w:rsidR="001C1ABA" w:rsidRPr="001C1ABA" w:rsidRDefault="001C1ABA" w:rsidP="008272B1">
      <w:pPr>
        <w:autoSpaceDE w:val="0"/>
        <w:autoSpaceDN w:val="0"/>
        <w:adjustRightInd w:val="0"/>
        <w:snapToGrid w:val="0"/>
        <w:spacing w:after="0" w:line="240" w:lineRule="auto"/>
        <w:jc w:val="both"/>
        <w:rPr>
          <w:rFonts w:ascii="Times New Roman" w:hAnsi="Times New Roman" w:cs="Times New Roman"/>
          <w:b/>
          <w:bCs/>
          <w:sz w:val="20"/>
          <w:szCs w:val="20"/>
        </w:rPr>
        <w:sectPr w:rsidR="001C1ABA" w:rsidRPr="001C1ABA" w:rsidSect="00DF06F1">
          <w:headerReference w:type="default" r:id="rId18"/>
          <w:footerReference w:type="default" r:id="rId19"/>
          <w:type w:val="continuous"/>
          <w:pgSz w:w="12242" w:h="15842" w:code="1"/>
          <w:pgMar w:top="1440" w:right="1440" w:bottom="1440" w:left="1440" w:header="720" w:footer="720" w:gutter="0"/>
          <w:cols w:space="708"/>
          <w:docGrid w:linePitch="360"/>
        </w:sectPr>
      </w:pPr>
    </w:p>
    <w:p w:rsidR="00EC0D92" w:rsidRPr="001C1ABA" w:rsidRDefault="00EC0D92" w:rsidP="008272B1">
      <w:pPr>
        <w:autoSpaceDE w:val="0"/>
        <w:autoSpaceDN w:val="0"/>
        <w:adjustRightInd w:val="0"/>
        <w:snapToGrid w:val="0"/>
        <w:spacing w:after="0" w:line="240" w:lineRule="auto"/>
        <w:jc w:val="both"/>
        <w:rPr>
          <w:rFonts w:ascii="Times New Roman" w:hAnsi="Times New Roman" w:cs="Times New Roman"/>
          <w:b/>
          <w:bCs/>
          <w:sz w:val="20"/>
          <w:szCs w:val="20"/>
        </w:rPr>
      </w:pPr>
      <w:proofErr w:type="spellStart"/>
      <w:r w:rsidRPr="001C1ABA">
        <w:rPr>
          <w:rFonts w:ascii="Times New Roman" w:hAnsi="Times New Roman" w:cs="Times New Roman"/>
          <w:b/>
          <w:bCs/>
          <w:sz w:val="20"/>
          <w:szCs w:val="20"/>
        </w:rPr>
        <w:lastRenderedPageBreak/>
        <w:t>Immunohistochemical</w:t>
      </w:r>
      <w:proofErr w:type="spellEnd"/>
      <w:r w:rsidRPr="001C1ABA">
        <w:rPr>
          <w:rFonts w:ascii="Times New Roman" w:hAnsi="Times New Roman" w:cs="Times New Roman"/>
          <w:b/>
          <w:bCs/>
          <w:sz w:val="20"/>
          <w:szCs w:val="20"/>
        </w:rPr>
        <w:t xml:space="preserve"> staining results of PKM2:</w:t>
      </w:r>
    </w:p>
    <w:p w:rsidR="001C1ABA" w:rsidRPr="001C1ABA" w:rsidRDefault="00EC0D92" w:rsidP="008272B1">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1C1ABA">
        <w:rPr>
          <w:rFonts w:ascii="Times New Roman" w:hAnsi="Times New Roman" w:cs="Times New Roman"/>
          <w:sz w:val="20"/>
          <w:szCs w:val="20"/>
        </w:rPr>
        <w:t xml:space="preserve">PKM2 expression was positive in 40 (87%) out of 46 cases. Twelve cases (30%) showed weak positive PKM2 expression, 15 cases (37.5%) showed moderate staining and 13 cases (32.5%) showed strong expression. PKM2 was mainly localized in the cytoplasm of cancer cells. Diffuse and/or intense </w:t>
      </w:r>
      <w:proofErr w:type="spellStart"/>
      <w:r w:rsidRPr="001C1ABA">
        <w:rPr>
          <w:rFonts w:ascii="Times New Roman" w:hAnsi="Times New Roman" w:cs="Times New Roman"/>
          <w:sz w:val="20"/>
          <w:szCs w:val="20"/>
        </w:rPr>
        <w:t>cytoplasmic</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statining</w:t>
      </w:r>
      <w:proofErr w:type="spellEnd"/>
      <w:r w:rsidRPr="001C1ABA">
        <w:rPr>
          <w:rFonts w:ascii="Times New Roman" w:hAnsi="Times New Roman" w:cs="Times New Roman"/>
          <w:sz w:val="20"/>
          <w:szCs w:val="20"/>
        </w:rPr>
        <w:t xml:space="preserve"> was noted in only cancer cells. </w:t>
      </w:r>
      <w:r w:rsidRPr="001C1ABA">
        <w:rPr>
          <w:rFonts w:ascii="Times New Roman" w:hAnsi="Times New Roman" w:cs="Times New Roman"/>
          <w:sz w:val="20"/>
          <w:szCs w:val="20"/>
        </w:rPr>
        <w:lastRenderedPageBreak/>
        <w:t>In contrast, PKM2 was either undetectable or only marginally detect</w:t>
      </w:r>
      <w:r w:rsidRPr="001C1ABA">
        <w:rPr>
          <w:rFonts w:ascii="Times New Roman" w:hAnsi="Times New Roman" w:cs="Times New Roman"/>
          <w:sz w:val="20"/>
          <w:szCs w:val="20"/>
        </w:rPr>
        <w:softHyphen/>
        <w:t xml:space="preserve">able in the normal epithelial gastric body gland from the same patients </w:t>
      </w:r>
      <w:r w:rsidR="00367BB0" w:rsidRPr="001C1ABA">
        <w:rPr>
          <w:rFonts w:ascii="Times New Roman" w:hAnsi="Times New Roman" w:cs="Times New Roman"/>
          <w:sz w:val="20"/>
          <w:szCs w:val="20"/>
        </w:rPr>
        <w:t>(Figure. 3</w:t>
      </w:r>
      <w:proofErr w:type="gramStart"/>
      <w:r w:rsidR="00367BB0" w:rsidRPr="001C1ABA">
        <w:rPr>
          <w:rFonts w:ascii="Times New Roman" w:hAnsi="Times New Roman" w:cs="Times New Roman"/>
          <w:sz w:val="20"/>
          <w:szCs w:val="20"/>
        </w:rPr>
        <w:t>,4</w:t>
      </w:r>
      <w:proofErr w:type="gram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Stastical</w:t>
      </w:r>
      <w:proofErr w:type="spellEnd"/>
      <w:r w:rsidRPr="001C1ABA">
        <w:rPr>
          <w:rFonts w:ascii="Times New Roman" w:hAnsi="Times New Roman" w:cs="Times New Roman"/>
          <w:sz w:val="20"/>
          <w:szCs w:val="20"/>
        </w:rPr>
        <w:t xml:space="preserve"> analysis showed significant correlation between positive PKM2 expression and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size (Table </w:t>
      </w:r>
      <w:r w:rsidR="00367BB0" w:rsidRPr="001C1ABA">
        <w:rPr>
          <w:rFonts w:ascii="Times New Roman" w:hAnsi="Times New Roman" w:cs="Times New Roman"/>
          <w:sz w:val="20"/>
          <w:szCs w:val="20"/>
        </w:rPr>
        <w:t>3</w:t>
      </w:r>
      <w:r w:rsidRPr="001C1ABA">
        <w:rPr>
          <w:rFonts w:ascii="Times New Roman" w:hAnsi="Times New Roman" w:cs="Times New Roman"/>
          <w:sz w:val="20"/>
          <w:szCs w:val="20"/>
        </w:rPr>
        <w:t>)</w:t>
      </w:r>
      <w:r w:rsidR="00367BB0" w:rsidRPr="001C1ABA">
        <w:rPr>
          <w:rFonts w:ascii="Times New Roman" w:hAnsi="Times New Roman" w:cs="Times New Roman"/>
          <w:sz w:val="20"/>
          <w:szCs w:val="20"/>
        </w:rPr>
        <w:t>. In the same time</w:t>
      </w:r>
      <w:r w:rsidRPr="001C1ABA">
        <w:rPr>
          <w:rFonts w:ascii="Times New Roman" w:hAnsi="Times New Roman" w:cs="Times New Roman"/>
          <w:sz w:val="20"/>
          <w:szCs w:val="20"/>
        </w:rPr>
        <w:t xml:space="preserve">, there was a significant difference in expression between </w:t>
      </w:r>
      <w:proofErr w:type="spellStart"/>
      <w:r w:rsidRPr="001C1ABA">
        <w:rPr>
          <w:rFonts w:ascii="Times New Roman" w:hAnsi="Times New Roman" w:cs="Times New Roman"/>
          <w:sz w:val="20"/>
          <w:szCs w:val="20"/>
        </w:rPr>
        <w:t>tumorous</w:t>
      </w:r>
      <w:proofErr w:type="spellEnd"/>
      <w:r w:rsidRPr="001C1ABA">
        <w:rPr>
          <w:rFonts w:ascii="Times New Roman" w:hAnsi="Times New Roman" w:cs="Times New Roman"/>
          <w:sz w:val="20"/>
          <w:szCs w:val="20"/>
        </w:rPr>
        <w:t xml:space="preserve"> and non-</w:t>
      </w:r>
      <w:proofErr w:type="spellStart"/>
      <w:r w:rsidRPr="001C1ABA">
        <w:rPr>
          <w:rFonts w:ascii="Times New Roman" w:hAnsi="Times New Roman" w:cs="Times New Roman"/>
          <w:sz w:val="20"/>
          <w:szCs w:val="20"/>
        </w:rPr>
        <w:t>tumorous</w:t>
      </w:r>
      <w:proofErr w:type="spellEnd"/>
      <w:r w:rsidRPr="001C1ABA">
        <w:rPr>
          <w:rFonts w:ascii="Times New Roman" w:hAnsi="Times New Roman" w:cs="Times New Roman"/>
          <w:sz w:val="20"/>
          <w:szCs w:val="20"/>
        </w:rPr>
        <w:t xml:space="preserve"> tissues (Table </w:t>
      </w:r>
      <w:r w:rsidR="00367BB0" w:rsidRPr="001C1ABA">
        <w:rPr>
          <w:rFonts w:ascii="Times New Roman" w:hAnsi="Times New Roman" w:cs="Times New Roman"/>
          <w:sz w:val="20"/>
          <w:szCs w:val="20"/>
        </w:rPr>
        <w:t>4</w:t>
      </w:r>
      <w:r w:rsidRPr="001C1ABA">
        <w:rPr>
          <w:rFonts w:ascii="Times New Roman" w:hAnsi="Times New Roman" w:cs="Times New Roman"/>
          <w:sz w:val="20"/>
          <w:szCs w:val="20"/>
        </w:rPr>
        <w:t>)</w:t>
      </w:r>
      <w:r w:rsidR="007E2857" w:rsidRPr="001C1ABA">
        <w:rPr>
          <w:rFonts w:ascii="Times New Roman" w:hAnsi="Times New Roman" w:cs="Times New Roman"/>
          <w:sz w:val="20"/>
          <w:szCs w:val="20"/>
        </w:rPr>
        <w:t>.</w:t>
      </w:r>
      <w:r w:rsidR="008272B1">
        <w:rPr>
          <w:rFonts w:ascii="Times New Roman" w:hAnsi="Times New Roman" w:cs="Times New Roman" w:hint="eastAsia"/>
          <w:sz w:val="20"/>
          <w:szCs w:val="20"/>
          <w:lang w:eastAsia="zh-CN"/>
        </w:rPr>
        <w:t xml:space="preserve"> </w:t>
      </w:r>
    </w:p>
    <w:p w:rsidR="001C1ABA" w:rsidRDefault="001C1ABA" w:rsidP="008272B1">
      <w:pPr>
        <w:autoSpaceDE w:val="0"/>
        <w:autoSpaceDN w:val="0"/>
        <w:adjustRightInd w:val="0"/>
        <w:snapToGrid w:val="0"/>
        <w:spacing w:after="0" w:line="240" w:lineRule="auto"/>
        <w:ind w:firstLine="425"/>
        <w:jc w:val="both"/>
        <w:rPr>
          <w:rFonts w:ascii="Times New Roman" w:hAnsi="Times New Roman" w:cs="Times New Roman"/>
          <w:sz w:val="20"/>
          <w:szCs w:val="20"/>
        </w:rPr>
        <w:sectPr w:rsidR="001C1ABA" w:rsidSect="001C1ABA">
          <w:headerReference w:type="default" r:id="rId20"/>
          <w:footerReference w:type="default" r:id="rId21"/>
          <w:type w:val="continuous"/>
          <w:pgSz w:w="12242" w:h="15842" w:code="1"/>
          <w:pgMar w:top="1440" w:right="1440" w:bottom="1440" w:left="1440" w:header="720" w:footer="720" w:gutter="0"/>
          <w:cols w:num="2" w:space="550"/>
          <w:docGrid w:linePitch="360"/>
        </w:sectPr>
      </w:pPr>
    </w:p>
    <w:p w:rsidR="00836F98" w:rsidRPr="001C1ABA" w:rsidRDefault="00836F98" w:rsidP="008272B1">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836F98" w:rsidRPr="001C1ABA" w:rsidRDefault="00836F98" w:rsidP="008272B1">
      <w:pPr>
        <w:autoSpaceDE w:val="0"/>
        <w:autoSpaceDN w:val="0"/>
        <w:adjustRightInd w:val="0"/>
        <w:snapToGrid w:val="0"/>
        <w:spacing w:after="0" w:line="240" w:lineRule="auto"/>
        <w:jc w:val="center"/>
        <w:rPr>
          <w:rFonts w:ascii="Times New Roman" w:hAnsi="Times New Roman" w:cs="Times New Roman"/>
          <w:sz w:val="20"/>
          <w:szCs w:val="20"/>
        </w:rPr>
      </w:pPr>
      <w:r w:rsidRPr="001C1ABA">
        <w:rPr>
          <w:rFonts w:ascii="Times New Roman" w:hAnsi="Times New Roman" w:cs="Times New Roman"/>
          <w:noProof/>
          <w:sz w:val="20"/>
          <w:szCs w:val="20"/>
          <w:lang w:val="en-US" w:eastAsia="zh-CN"/>
        </w:rPr>
        <w:drawing>
          <wp:inline distT="0" distB="0" distL="0" distR="0">
            <wp:extent cx="2834655" cy="1701579"/>
            <wp:effectExtent l="19050" t="0" r="3795" b="0"/>
            <wp:docPr id="7" name="صورة 2" descr="C:\Users\aliaa\Documents\mmd\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aa\Documents\mmd\image003.jpg"/>
                    <pic:cNvPicPr>
                      <a:picLocks noChangeAspect="1" noChangeArrowheads="1"/>
                    </pic:cNvPicPr>
                  </pic:nvPicPr>
                  <pic:blipFill>
                    <a:blip r:embed="rId22" cstate="print"/>
                    <a:srcRect/>
                    <a:stretch>
                      <a:fillRect/>
                    </a:stretch>
                  </pic:blipFill>
                  <pic:spPr bwMode="auto">
                    <a:xfrm>
                      <a:off x="0" y="0"/>
                      <a:ext cx="2835479" cy="1702074"/>
                    </a:xfrm>
                    <a:prstGeom prst="rect">
                      <a:avLst/>
                    </a:prstGeom>
                    <a:noFill/>
                    <a:ln w="9525">
                      <a:noFill/>
                      <a:miter lim="800000"/>
                      <a:headEnd/>
                      <a:tailEnd/>
                    </a:ln>
                  </pic:spPr>
                </pic:pic>
              </a:graphicData>
            </a:graphic>
          </wp:inline>
        </w:drawing>
      </w:r>
    </w:p>
    <w:p w:rsidR="00836F98" w:rsidRPr="001C1ABA" w:rsidRDefault="00836F98" w:rsidP="008272B1">
      <w:pPr>
        <w:adjustRightInd w:val="0"/>
        <w:snapToGrid w:val="0"/>
        <w:spacing w:after="0" w:line="240" w:lineRule="auto"/>
        <w:jc w:val="both"/>
        <w:rPr>
          <w:rFonts w:ascii="Times New Roman" w:hAnsi="Times New Roman" w:cs="Times New Roman"/>
          <w:sz w:val="20"/>
          <w:szCs w:val="20"/>
        </w:rPr>
      </w:pPr>
      <w:proofErr w:type="gramStart"/>
      <w:r w:rsidRPr="001C1ABA">
        <w:rPr>
          <w:rFonts w:ascii="Times New Roman" w:hAnsi="Times New Roman" w:cs="Times New Roman"/>
          <w:b/>
          <w:bCs/>
          <w:sz w:val="20"/>
          <w:szCs w:val="20"/>
        </w:rPr>
        <w:t>Fig.</w:t>
      </w:r>
      <w:proofErr w:type="gramEnd"/>
      <w:r w:rsidRPr="001C1ABA">
        <w:rPr>
          <w:rFonts w:ascii="Times New Roman" w:hAnsi="Times New Roman" w:cs="Times New Roman"/>
          <w:b/>
          <w:bCs/>
          <w:sz w:val="20"/>
          <w:szCs w:val="20"/>
        </w:rPr>
        <w:t xml:space="preserve"> (3):</w:t>
      </w:r>
      <w:r w:rsidRPr="001C1ABA">
        <w:rPr>
          <w:rFonts w:ascii="Times New Roman" w:hAnsi="Times New Roman" w:cs="Times New Roman"/>
          <w:sz w:val="20"/>
          <w:szCs w:val="20"/>
        </w:rPr>
        <w:t xml:space="preserve"> PKM2 </w:t>
      </w:r>
      <w:proofErr w:type="spellStart"/>
      <w:r w:rsidRPr="001C1ABA">
        <w:rPr>
          <w:rFonts w:ascii="Times New Roman" w:hAnsi="Times New Roman" w:cs="Times New Roman"/>
          <w:sz w:val="20"/>
          <w:szCs w:val="20"/>
        </w:rPr>
        <w:t>cytoplasmic</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immunohistochemical</w:t>
      </w:r>
      <w:proofErr w:type="spellEnd"/>
      <w:r w:rsidRPr="001C1ABA">
        <w:rPr>
          <w:rFonts w:ascii="Times New Roman" w:hAnsi="Times New Roman" w:cs="Times New Roman"/>
          <w:sz w:val="20"/>
          <w:szCs w:val="20"/>
        </w:rPr>
        <w:t xml:space="preserve"> expression in malignant signet ring cells (x400).</w:t>
      </w:r>
    </w:p>
    <w:p w:rsidR="005A3AD8" w:rsidRPr="001C1ABA" w:rsidRDefault="005A3AD8" w:rsidP="008272B1">
      <w:pPr>
        <w:adjustRightInd w:val="0"/>
        <w:snapToGrid w:val="0"/>
        <w:spacing w:after="0" w:line="240" w:lineRule="auto"/>
        <w:ind w:firstLine="425"/>
        <w:jc w:val="both"/>
        <w:rPr>
          <w:rFonts w:ascii="Times New Roman" w:hAnsi="Times New Roman" w:cs="Times New Roman"/>
          <w:sz w:val="20"/>
          <w:szCs w:val="20"/>
        </w:rPr>
      </w:pPr>
    </w:p>
    <w:p w:rsidR="008272B1" w:rsidRDefault="008272B1" w:rsidP="008272B1">
      <w:pPr>
        <w:adjustRightInd w:val="0"/>
        <w:snapToGrid w:val="0"/>
        <w:spacing w:after="0" w:line="240" w:lineRule="auto"/>
        <w:jc w:val="center"/>
        <w:rPr>
          <w:rFonts w:ascii="Times New Roman" w:hAnsi="Times New Roman" w:cs="Times New Roman" w:hint="eastAsia"/>
          <w:sz w:val="20"/>
          <w:szCs w:val="20"/>
          <w:lang w:eastAsia="zh-CN"/>
        </w:rPr>
      </w:pPr>
    </w:p>
    <w:p w:rsidR="008272B1" w:rsidRDefault="008272B1" w:rsidP="008272B1">
      <w:pPr>
        <w:adjustRightInd w:val="0"/>
        <w:snapToGrid w:val="0"/>
        <w:spacing w:after="0" w:line="240" w:lineRule="auto"/>
        <w:jc w:val="center"/>
        <w:rPr>
          <w:rFonts w:ascii="Times New Roman" w:hAnsi="Times New Roman" w:cs="Times New Roman" w:hint="eastAsia"/>
          <w:sz w:val="20"/>
          <w:szCs w:val="20"/>
          <w:lang w:eastAsia="zh-CN"/>
        </w:rPr>
      </w:pPr>
    </w:p>
    <w:p w:rsidR="008272B1" w:rsidRDefault="008272B1" w:rsidP="008272B1">
      <w:pPr>
        <w:adjustRightInd w:val="0"/>
        <w:snapToGrid w:val="0"/>
        <w:spacing w:after="0" w:line="240" w:lineRule="auto"/>
        <w:jc w:val="center"/>
        <w:rPr>
          <w:rFonts w:ascii="Times New Roman" w:hAnsi="Times New Roman" w:cs="Times New Roman" w:hint="eastAsia"/>
          <w:sz w:val="20"/>
          <w:szCs w:val="20"/>
          <w:lang w:eastAsia="zh-CN"/>
        </w:rPr>
      </w:pPr>
    </w:p>
    <w:p w:rsidR="008272B1" w:rsidRDefault="008272B1" w:rsidP="008272B1">
      <w:pPr>
        <w:adjustRightInd w:val="0"/>
        <w:snapToGrid w:val="0"/>
        <w:spacing w:after="0" w:line="240" w:lineRule="auto"/>
        <w:jc w:val="center"/>
        <w:rPr>
          <w:rFonts w:ascii="Times New Roman" w:hAnsi="Times New Roman" w:cs="Times New Roman" w:hint="eastAsia"/>
          <w:sz w:val="20"/>
          <w:szCs w:val="20"/>
          <w:lang w:eastAsia="zh-CN"/>
        </w:rPr>
      </w:pPr>
    </w:p>
    <w:p w:rsidR="00836F98" w:rsidRPr="001C1ABA" w:rsidRDefault="00836F98" w:rsidP="008272B1">
      <w:pPr>
        <w:adjustRightInd w:val="0"/>
        <w:snapToGrid w:val="0"/>
        <w:spacing w:after="0" w:line="240" w:lineRule="auto"/>
        <w:jc w:val="center"/>
        <w:rPr>
          <w:rFonts w:ascii="Times New Roman" w:hAnsi="Times New Roman" w:cs="Times New Roman"/>
          <w:sz w:val="20"/>
          <w:szCs w:val="20"/>
        </w:rPr>
      </w:pPr>
      <w:r w:rsidRPr="001C1ABA">
        <w:rPr>
          <w:rFonts w:ascii="Times New Roman" w:hAnsi="Times New Roman" w:cs="Times New Roman"/>
          <w:noProof/>
          <w:sz w:val="20"/>
          <w:szCs w:val="20"/>
          <w:lang w:val="en-US" w:eastAsia="zh-CN"/>
        </w:rPr>
        <w:drawing>
          <wp:inline distT="0" distB="0" distL="0" distR="0">
            <wp:extent cx="2718319" cy="1892411"/>
            <wp:effectExtent l="19050" t="0" r="5831" b="0"/>
            <wp:docPr id="8" name="صورة 3" descr="C:\Users\aliaa\Documents\Papers\signet ring ca\pkm2 photos\PKM2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aa\Documents\Papers\signet ring ca\pkm2 photos\PKM2 II.jpg"/>
                    <pic:cNvPicPr>
                      <a:picLocks noChangeAspect="1" noChangeArrowheads="1"/>
                    </pic:cNvPicPr>
                  </pic:nvPicPr>
                  <pic:blipFill>
                    <a:blip r:embed="rId23" cstate="print"/>
                    <a:srcRect/>
                    <a:stretch>
                      <a:fillRect/>
                    </a:stretch>
                  </pic:blipFill>
                  <pic:spPr bwMode="auto">
                    <a:xfrm>
                      <a:off x="0" y="0"/>
                      <a:ext cx="2728253" cy="1899327"/>
                    </a:xfrm>
                    <a:prstGeom prst="rect">
                      <a:avLst/>
                    </a:prstGeom>
                    <a:noFill/>
                    <a:ln w="9525">
                      <a:noFill/>
                      <a:miter lim="800000"/>
                      <a:headEnd/>
                      <a:tailEnd/>
                    </a:ln>
                  </pic:spPr>
                </pic:pic>
              </a:graphicData>
            </a:graphic>
          </wp:inline>
        </w:drawing>
      </w:r>
    </w:p>
    <w:p w:rsidR="00836F98" w:rsidRPr="001C1ABA" w:rsidRDefault="00836F98" w:rsidP="008272B1">
      <w:pPr>
        <w:adjustRightInd w:val="0"/>
        <w:snapToGrid w:val="0"/>
        <w:spacing w:after="0" w:line="240" w:lineRule="auto"/>
        <w:jc w:val="both"/>
        <w:rPr>
          <w:rFonts w:ascii="Times New Roman" w:hAnsi="Times New Roman" w:cs="Times New Roman"/>
          <w:sz w:val="20"/>
          <w:szCs w:val="20"/>
        </w:rPr>
      </w:pPr>
      <w:r w:rsidRPr="001C1ABA">
        <w:rPr>
          <w:rFonts w:ascii="Times New Roman" w:hAnsi="Times New Roman" w:cs="Times New Roman"/>
          <w:b/>
          <w:bCs/>
          <w:sz w:val="20"/>
          <w:szCs w:val="20"/>
        </w:rPr>
        <w:t>Fig</w:t>
      </w:r>
      <w:proofErr w:type="gramStart"/>
      <w:r w:rsidRPr="001C1ABA">
        <w:rPr>
          <w:rFonts w:ascii="Times New Roman" w:hAnsi="Times New Roman" w:cs="Times New Roman"/>
          <w:b/>
          <w:bCs/>
          <w:sz w:val="20"/>
          <w:szCs w:val="20"/>
        </w:rPr>
        <w:t>.(</w:t>
      </w:r>
      <w:proofErr w:type="gramEnd"/>
      <w:r w:rsidRPr="001C1ABA">
        <w:rPr>
          <w:rFonts w:ascii="Times New Roman" w:hAnsi="Times New Roman" w:cs="Times New Roman"/>
          <w:b/>
          <w:bCs/>
          <w:sz w:val="20"/>
          <w:szCs w:val="20"/>
        </w:rPr>
        <w:t>4):</w:t>
      </w:r>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Cytoplasmic</w:t>
      </w:r>
      <w:proofErr w:type="spellEnd"/>
      <w:r w:rsidRPr="001C1ABA">
        <w:rPr>
          <w:rFonts w:ascii="Times New Roman" w:hAnsi="Times New Roman" w:cs="Times New Roman"/>
          <w:sz w:val="20"/>
          <w:szCs w:val="20"/>
        </w:rPr>
        <w:t xml:space="preserve"> expression of PKM2 in malignant signet ring cells with negative expression in the neighbouring normal (not involved) gastric gland (x400).</w:t>
      </w:r>
    </w:p>
    <w:p w:rsidR="001C1ABA" w:rsidRDefault="001C1ABA" w:rsidP="008272B1">
      <w:pPr>
        <w:adjustRightInd w:val="0"/>
        <w:snapToGrid w:val="0"/>
        <w:spacing w:after="0" w:line="240" w:lineRule="auto"/>
        <w:ind w:firstLine="425"/>
        <w:jc w:val="both"/>
        <w:rPr>
          <w:rFonts w:ascii="Times New Roman" w:hAnsi="Times New Roman" w:cs="Times New Roman"/>
          <w:sz w:val="20"/>
          <w:szCs w:val="20"/>
        </w:rPr>
        <w:sectPr w:rsidR="001C1ABA" w:rsidSect="001C1ABA">
          <w:type w:val="continuous"/>
          <w:pgSz w:w="12242" w:h="15842" w:code="1"/>
          <w:pgMar w:top="1440" w:right="1440" w:bottom="1440" w:left="1440" w:header="720" w:footer="720" w:gutter="0"/>
          <w:cols w:num="2" w:space="550"/>
          <w:docGrid w:linePitch="360"/>
        </w:sectPr>
      </w:pPr>
    </w:p>
    <w:p w:rsidR="001C1ABA" w:rsidRDefault="001C1ABA" w:rsidP="008272B1">
      <w:pPr>
        <w:adjustRightInd w:val="0"/>
        <w:snapToGrid w:val="0"/>
        <w:spacing w:after="0" w:line="240" w:lineRule="auto"/>
        <w:ind w:firstLine="425"/>
        <w:jc w:val="both"/>
        <w:rPr>
          <w:rFonts w:ascii="Times New Roman" w:hAnsi="Times New Roman" w:cs="Times New Roman" w:hint="eastAsia"/>
          <w:sz w:val="20"/>
          <w:szCs w:val="20"/>
          <w:lang w:eastAsia="zh-CN"/>
        </w:rPr>
      </w:pPr>
    </w:p>
    <w:p w:rsidR="008272B1" w:rsidRDefault="008272B1" w:rsidP="008272B1">
      <w:pPr>
        <w:adjustRightInd w:val="0"/>
        <w:snapToGrid w:val="0"/>
        <w:spacing w:after="0" w:line="240" w:lineRule="auto"/>
        <w:ind w:firstLine="425"/>
        <w:jc w:val="both"/>
        <w:rPr>
          <w:rFonts w:ascii="Times New Roman" w:hAnsi="Times New Roman" w:cs="Times New Roman" w:hint="eastAsia"/>
          <w:sz w:val="20"/>
          <w:szCs w:val="20"/>
          <w:lang w:eastAsia="zh-CN"/>
        </w:rPr>
      </w:pPr>
    </w:p>
    <w:p w:rsidR="007D285F" w:rsidRPr="001C1ABA" w:rsidRDefault="007D285F" w:rsidP="008272B1">
      <w:pPr>
        <w:adjustRightInd w:val="0"/>
        <w:snapToGrid w:val="0"/>
        <w:spacing w:after="0" w:line="240" w:lineRule="auto"/>
        <w:jc w:val="center"/>
        <w:rPr>
          <w:rFonts w:ascii="Times New Roman" w:hAnsi="Times New Roman" w:cs="Times New Roman"/>
          <w:sz w:val="20"/>
          <w:szCs w:val="20"/>
        </w:rPr>
      </w:pPr>
      <w:r w:rsidRPr="001C1ABA">
        <w:rPr>
          <w:rFonts w:ascii="Times New Roman" w:hAnsi="Times New Roman" w:cs="Times New Roman"/>
          <w:b/>
          <w:bCs/>
          <w:sz w:val="20"/>
          <w:szCs w:val="20"/>
        </w:rPr>
        <w:t xml:space="preserve">Table (3): </w:t>
      </w:r>
      <w:r w:rsidRPr="001C1ABA">
        <w:rPr>
          <w:rFonts w:ascii="Times New Roman" w:hAnsi="Times New Roman" w:cs="Times New Roman"/>
          <w:sz w:val="20"/>
          <w:szCs w:val="20"/>
        </w:rPr>
        <w:t>The correlation of PKM2 expression with the clinical characteristics of SRCC cases:</w:t>
      </w:r>
    </w:p>
    <w:tbl>
      <w:tblPr>
        <w:tblStyle w:val="TableGrid"/>
        <w:tblW w:w="5000" w:type="pct"/>
        <w:jc w:val="center"/>
        <w:tblLook w:val="04A0"/>
      </w:tblPr>
      <w:tblGrid>
        <w:gridCol w:w="2393"/>
        <w:gridCol w:w="2395"/>
        <w:gridCol w:w="2395"/>
        <w:gridCol w:w="2395"/>
      </w:tblGrid>
      <w:tr w:rsidR="007D285F" w:rsidRPr="001C1ABA" w:rsidTr="001C1ABA">
        <w:trPr>
          <w:trHeight w:val="469"/>
          <w:jc w:val="center"/>
        </w:trPr>
        <w:tc>
          <w:tcPr>
            <w:tcW w:w="1249" w:type="pct"/>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Clinical characters</w:t>
            </w:r>
          </w:p>
        </w:tc>
        <w:tc>
          <w:tcPr>
            <w:tcW w:w="1250" w:type="pct"/>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Positive expression</w:t>
            </w:r>
          </w:p>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N = 40</w:t>
            </w:r>
          </w:p>
        </w:tc>
        <w:tc>
          <w:tcPr>
            <w:tcW w:w="1250" w:type="pct"/>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Negative expression</w:t>
            </w:r>
          </w:p>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N = 6</w:t>
            </w:r>
          </w:p>
        </w:tc>
        <w:tc>
          <w:tcPr>
            <w:tcW w:w="1250" w:type="pct"/>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P value</w:t>
            </w:r>
          </w:p>
        </w:tc>
      </w:tr>
      <w:tr w:rsidR="007D285F" w:rsidRPr="001C1ABA" w:rsidTr="001C1ABA">
        <w:trPr>
          <w:trHeight w:val="469"/>
          <w:jc w:val="center"/>
        </w:trPr>
        <w:tc>
          <w:tcPr>
            <w:tcW w:w="1249" w:type="pct"/>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Age</w:t>
            </w:r>
          </w:p>
          <w:p w:rsidR="007D285F" w:rsidRPr="001C1ABA" w:rsidRDefault="007D285F" w:rsidP="008272B1">
            <w:pPr>
              <w:adjustRightInd w:val="0"/>
              <w:snapToGrid w:val="0"/>
              <w:jc w:val="both"/>
              <w:rPr>
                <w:rFonts w:ascii="Times New Roman" w:eastAsia="MinionMath-Regular" w:hAnsi="Times New Roman" w:cs="Times New Roman"/>
                <w:b/>
                <w:bCs/>
                <w:color w:val="000000"/>
                <w:sz w:val="20"/>
                <w:szCs w:val="20"/>
              </w:rPr>
            </w:pPr>
            <w:r w:rsidRPr="001C1ABA">
              <w:rPr>
                <w:rFonts w:ascii="Times New Roman" w:eastAsia="MinionMath-Regular" w:hAnsi="Times New Roman" w:cs="Times New Roman"/>
                <w:b/>
                <w:bCs/>
                <w:color w:val="000000"/>
                <w:sz w:val="20"/>
                <w:szCs w:val="20"/>
              </w:rPr>
              <w:t>&lt;60</w:t>
            </w:r>
          </w:p>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eastAsia="MinionMath-Regular" w:hAnsi="Times New Roman" w:cs="Times New Roman"/>
                <w:b/>
                <w:bCs/>
                <w:color w:val="000000"/>
                <w:sz w:val="20"/>
                <w:szCs w:val="20"/>
              </w:rPr>
              <w:t>&gt;60</w:t>
            </w:r>
          </w:p>
        </w:tc>
        <w:tc>
          <w:tcPr>
            <w:tcW w:w="1250" w:type="pct"/>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27</w:t>
            </w: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13</w:t>
            </w:r>
          </w:p>
        </w:tc>
        <w:tc>
          <w:tcPr>
            <w:tcW w:w="1250" w:type="pct"/>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2</w:t>
            </w: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4</w:t>
            </w:r>
          </w:p>
        </w:tc>
        <w:tc>
          <w:tcPr>
            <w:tcW w:w="1250" w:type="pct"/>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0.232</w:t>
            </w:r>
          </w:p>
        </w:tc>
      </w:tr>
      <w:tr w:rsidR="007D285F" w:rsidRPr="001C1ABA" w:rsidTr="001C1ABA">
        <w:trPr>
          <w:trHeight w:val="480"/>
          <w:jc w:val="center"/>
        </w:trPr>
        <w:tc>
          <w:tcPr>
            <w:tcW w:w="1249" w:type="pct"/>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Sex</w:t>
            </w:r>
          </w:p>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Male</w:t>
            </w:r>
          </w:p>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Female</w:t>
            </w:r>
          </w:p>
        </w:tc>
        <w:tc>
          <w:tcPr>
            <w:tcW w:w="1250" w:type="pct"/>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23</w:t>
            </w: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17</w:t>
            </w:r>
          </w:p>
        </w:tc>
        <w:tc>
          <w:tcPr>
            <w:tcW w:w="1250" w:type="pct"/>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3</w:t>
            </w: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3</w:t>
            </w:r>
          </w:p>
        </w:tc>
        <w:tc>
          <w:tcPr>
            <w:tcW w:w="1250" w:type="pct"/>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0.136</w:t>
            </w:r>
          </w:p>
        </w:tc>
      </w:tr>
      <w:tr w:rsidR="007D285F" w:rsidRPr="001C1ABA" w:rsidTr="001C1ABA">
        <w:trPr>
          <w:trHeight w:val="480"/>
          <w:jc w:val="center"/>
        </w:trPr>
        <w:tc>
          <w:tcPr>
            <w:tcW w:w="1249" w:type="pct"/>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Size</w:t>
            </w:r>
          </w:p>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&lt;5cm</w:t>
            </w:r>
          </w:p>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&gt;5cm</w:t>
            </w:r>
          </w:p>
        </w:tc>
        <w:tc>
          <w:tcPr>
            <w:tcW w:w="1250" w:type="pct"/>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9</w:t>
            </w: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31</w:t>
            </w:r>
          </w:p>
        </w:tc>
        <w:tc>
          <w:tcPr>
            <w:tcW w:w="1250" w:type="pct"/>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5</w:t>
            </w:r>
          </w:p>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1</w:t>
            </w:r>
          </w:p>
        </w:tc>
        <w:tc>
          <w:tcPr>
            <w:tcW w:w="1250" w:type="pct"/>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0.024*</w:t>
            </w:r>
          </w:p>
        </w:tc>
      </w:tr>
    </w:tbl>
    <w:p w:rsidR="00CD7B5C" w:rsidRDefault="00CD7B5C" w:rsidP="008272B1">
      <w:pPr>
        <w:adjustRightInd w:val="0"/>
        <w:snapToGrid w:val="0"/>
        <w:spacing w:after="0" w:line="240" w:lineRule="auto"/>
        <w:ind w:firstLine="425"/>
        <w:jc w:val="both"/>
        <w:rPr>
          <w:rFonts w:ascii="Times New Roman" w:hAnsi="Times New Roman" w:cs="Times New Roman" w:hint="eastAsia"/>
          <w:b/>
          <w:bCs/>
          <w:sz w:val="20"/>
          <w:szCs w:val="20"/>
          <w:lang w:eastAsia="zh-CN"/>
        </w:rPr>
      </w:pPr>
    </w:p>
    <w:p w:rsidR="008272B1" w:rsidRPr="001C1ABA" w:rsidRDefault="008272B1" w:rsidP="008272B1">
      <w:pPr>
        <w:adjustRightInd w:val="0"/>
        <w:snapToGrid w:val="0"/>
        <w:spacing w:after="0" w:line="240" w:lineRule="auto"/>
        <w:ind w:firstLine="425"/>
        <w:jc w:val="both"/>
        <w:rPr>
          <w:rFonts w:ascii="Times New Roman" w:hAnsi="Times New Roman" w:cs="Times New Roman" w:hint="eastAsia"/>
          <w:b/>
          <w:bCs/>
          <w:sz w:val="20"/>
          <w:szCs w:val="20"/>
          <w:lang w:eastAsia="zh-CN"/>
        </w:rPr>
      </w:pPr>
    </w:p>
    <w:p w:rsidR="007D285F" w:rsidRPr="001C1ABA" w:rsidRDefault="007D285F" w:rsidP="008272B1">
      <w:pPr>
        <w:adjustRightInd w:val="0"/>
        <w:snapToGrid w:val="0"/>
        <w:spacing w:after="0" w:line="240" w:lineRule="auto"/>
        <w:jc w:val="center"/>
        <w:rPr>
          <w:rFonts w:ascii="Times New Roman" w:hAnsi="Times New Roman" w:cs="Times New Roman"/>
          <w:sz w:val="20"/>
          <w:szCs w:val="20"/>
        </w:rPr>
      </w:pPr>
      <w:r w:rsidRPr="001C1ABA">
        <w:rPr>
          <w:rFonts w:ascii="Times New Roman" w:hAnsi="Times New Roman" w:cs="Times New Roman"/>
          <w:b/>
          <w:bCs/>
          <w:sz w:val="20"/>
          <w:szCs w:val="20"/>
        </w:rPr>
        <w:t xml:space="preserve">Table (4): </w:t>
      </w:r>
      <w:proofErr w:type="spellStart"/>
      <w:r w:rsidRPr="001C1ABA">
        <w:rPr>
          <w:rFonts w:ascii="Times New Roman" w:hAnsi="Times New Roman" w:cs="Times New Roman"/>
          <w:sz w:val="20"/>
          <w:szCs w:val="20"/>
        </w:rPr>
        <w:t>Immunohistochemical</w:t>
      </w:r>
      <w:proofErr w:type="spellEnd"/>
      <w:r w:rsidRPr="001C1ABA">
        <w:rPr>
          <w:rFonts w:ascii="Times New Roman" w:hAnsi="Times New Roman" w:cs="Times New Roman"/>
          <w:sz w:val="20"/>
          <w:szCs w:val="20"/>
        </w:rPr>
        <w:t xml:space="preserve"> expression of PKM2 in </w:t>
      </w:r>
      <w:proofErr w:type="spellStart"/>
      <w:r w:rsidRPr="001C1ABA">
        <w:rPr>
          <w:rFonts w:ascii="Times New Roman" w:hAnsi="Times New Roman" w:cs="Times New Roman"/>
          <w:sz w:val="20"/>
          <w:szCs w:val="20"/>
        </w:rPr>
        <w:t>tumorous</w:t>
      </w:r>
      <w:proofErr w:type="spellEnd"/>
      <w:r w:rsidRPr="001C1ABA">
        <w:rPr>
          <w:rFonts w:ascii="Times New Roman" w:hAnsi="Times New Roman" w:cs="Times New Roman"/>
          <w:sz w:val="20"/>
          <w:szCs w:val="20"/>
        </w:rPr>
        <w:t xml:space="preserve"> and non </w:t>
      </w:r>
      <w:proofErr w:type="spellStart"/>
      <w:r w:rsidRPr="001C1ABA">
        <w:rPr>
          <w:rFonts w:ascii="Times New Roman" w:hAnsi="Times New Roman" w:cs="Times New Roman"/>
          <w:sz w:val="20"/>
          <w:szCs w:val="20"/>
        </w:rPr>
        <w:t>tumorous</w:t>
      </w:r>
      <w:proofErr w:type="spellEnd"/>
      <w:r w:rsidRPr="001C1ABA">
        <w:rPr>
          <w:rFonts w:ascii="Times New Roman" w:hAnsi="Times New Roman" w:cs="Times New Roman"/>
          <w:sz w:val="20"/>
          <w:szCs w:val="20"/>
        </w:rPr>
        <w:t xml:space="preserve"> gastric tissues:</w:t>
      </w:r>
    </w:p>
    <w:tbl>
      <w:tblPr>
        <w:tblStyle w:val="TableGrid"/>
        <w:tblW w:w="0" w:type="auto"/>
        <w:jc w:val="center"/>
        <w:tblLook w:val="04A0"/>
      </w:tblPr>
      <w:tblGrid>
        <w:gridCol w:w="3058"/>
        <w:gridCol w:w="3059"/>
        <w:gridCol w:w="3059"/>
      </w:tblGrid>
      <w:tr w:rsidR="007D285F" w:rsidRPr="001C1ABA" w:rsidTr="001C1ABA">
        <w:trPr>
          <w:trHeight w:val="263"/>
          <w:jc w:val="center"/>
        </w:trPr>
        <w:tc>
          <w:tcPr>
            <w:tcW w:w="3058" w:type="dxa"/>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p>
        </w:tc>
        <w:tc>
          <w:tcPr>
            <w:tcW w:w="3059" w:type="dxa"/>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Negative PKM2 expression</w:t>
            </w:r>
          </w:p>
        </w:tc>
        <w:tc>
          <w:tcPr>
            <w:tcW w:w="3059" w:type="dxa"/>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Positive PKM2 expression</w:t>
            </w:r>
          </w:p>
        </w:tc>
      </w:tr>
      <w:tr w:rsidR="007D285F" w:rsidRPr="001C1ABA" w:rsidTr="001C1ABA">
        <w:trPr>
          <w:trHeight w:val="260"/>
          <w:jc w:val="center"/>
        </w:trPr>
        <w:tc>
          <w:tcPr>
            <w:tcW w:w="3058" w:type="dxa"/>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Signet ring cell carcinoma</w:t>
            </w:r>
          </w:p>
        </w:tc>
        <w:tc>
          <w:tcPr>
            <w:tcW w:w="3059" w:type="dxa"/>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6</w:t>
            </w:r>
          </w:p>
        </w:tc>
        <w:tc>
          <w:tcPr>
            <w:tcW w:w="3059" w:type="dxa"/>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40</w:t>
            </w:r>
          </w:p>
        </w:tc>
      </w:tr>
      <w:tr w:rsidR="007D285F" w:rsidRPr="001C1ABA" w:rsidTr="001C1ABA">
        <w:trPr>
          <w:trHeight w:val="263"/>
          <w:jc w:val="center"/>
        </w:trPr>
        <w:tc>
          <w:tcPr>
            <w:tcW w:w="3058" w:type="dxa"/>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Adjacent non-cancerous glands</w:t>
            </w:r>
          </w:p>
        </w:tc>
        <w:tc>
          <w:tcPr>
            <w:tcW w:w="3059" w:type="dxa"/>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46</w:t>
            </w:r>
          </w:p>
        </w:tc>
        <w:tc>
          <w:tcPr>
            <w:tcW w:w="3059" w:type="dxa"/>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0</w:t>
            </w:r>
          </w:p>
        </w:tc>
      </w:tr>
      <w:tr w:rsidR="007D285F" w:rsidRPr="001C1ABA" w:rsidTr="001C1ABA">
        <w:trPr>
          <w:trHeight w:val="260"/>
          <w:jc w:val="center"/>
        </w:trPr>
        <w:tc>
          <w:tcPr>
            <w:tcW w:w="3058" w:type="dxa"/>
            <w:vAlign w:val="center"/>
          </w:tcPr>
          <w:p w:rsidR="007D285F" w:rsidRPr="001C1ABA" w:rsidRDefault="007D285F" w:rsidP="008272B1">
            <w:pPr>
              <w:adjustRightInd w:val="0"/>
              <w:snapToGrid w:val="0"/>
              <w:jc w:val="both"/>
              <w:rPr>
                <w:rFonts w:ascii="Times New Roman" w:hAnsi="Times New Roman" w:cs="Times New Roman"/>
                <w:b/>
                <w:bCs/>
                <w:color w:val="000000"/>
                <w:sz w:val="20"/>
                <w:szCs w:val="20"/>
              </w:rPr>
            </w:pPr>
            <w:r w:rsidRPr="001C1ABA">
              <w:rPr>
                <w:rFonts w:ascii="Times New Roman" w:hAnsi="Times New Roman" w:cs="Times New Roman"/>
                <w:b/>
                <w:bCs/>
                <w:color w:val="000000"/>
                <w:sz w:val="20"/>
                <w:szCs w:val="20"/>
              </w:rPr>
              <w:t>P value</w:t>
            </w:r>
          </w:p>
        </w:tc>
        <w:tc>
          <w:tcPr>
            <w:tcW w:w="6117" w:type="dxa"/>
            <w:gridSpan w:val="2"/>
            <w:vAlign w:val="center"/>
          </w:tcPr>
          <w:p w:rsidR="007D285F" w:rsidRPr="001C1ABA" w:rsidRDefault="007D285F" w:rsidP="008272B1">
            <w:pPr>
              <w:adjustRightInd w:val="0"/>
              <w:snapToGrid w:val="0"/>
              <w:jc w:val="both"/>
              <w:rPr>
                <w:rFonts w:ascii="Times New Roman" w:hAnsi="Times New Roman" w:cs="Times New Roman"/>
                <w:color w:val="000000"/>
                <w:sz w:val="20"/>
                <w:szCs w:val="20"/>
              </w:rPr>
            </w:pPr>
            <w:r w:rsidRPr="001C1ABA">
              <w:rPr>
                <w:rFonts w:ascii="Times New Roman" w:hAnsi="Times New Roman" w:cs="Times New Roman"/>
                <w:color w:val="000000"/>
                <w:sz w:val="20"/>
                <w:szCs w:val="20"/>
              </w:rPr>
              <w:t>0.031*</w:t>
            </w:r>
          </w:p>
        </w:tc>
      </w:tr>
    </w:tbl>
    <w:p w:rsidR="001C1ABA" w:rsidRDefault="001C1ABA" w:rsidP="008272B1">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8272B1" w:rsidRDefault="008272B1" w:rsidP="008272B1">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1C1ABA" w:rsidRPr="001C1ABA" w:rsidRDefault="001C1ABA" w:rsidP="008272B1">
      <w:pPr>
        <w:autoSpaceDE w:val="0"/>
        <w:autoSpaceDN w:val="0"/>
        <w:adjustRightInd w:val="0"/>
        <w:snapToGrid w:val="0"/>
        <w:spacing w:after="0" w:line="240" w:lineRule="auto"/>
        <w:jc w:val="both"/>
        <w:rPr>
          <w:rFonts w:ascii="Times New Roman" w:hAnsi="Times New Roman" w:cs="Times New Roman"/>
          <w:b/>
          <w:bCs/>
          <w:sz w:val="20"/>
          <w:szCs w:val="20"/>
        </w:rPr>
        <w:sectPr w:rsidR="001C1ABA" w:rsidRPr="001C1ABA" w:rsidSect="00DF06F1">
          <w:headerReference w:type="default" r:id="rId24"/>
          <w:footerReference w:type="default" r:id="rId25"/>
          <w:type w:val="continuous"/>
          <w:pgSz w:w="12242" w:h="15842" w:code="1"/>
          <w:pgMar w:top="1440" w:right="1440" w:bottom="1440" w:left="1440" w:header="720" w:footer="720" w:gutter="0"/>
          <w:cols w:space="708"/>
          <w:docGrid w:linePitch="360"/>
        </w:sectPr>
      </w:pPr>
    </w:p>
    <w:p w:rsidR="00EC0D92" w:rsidRPr="001C1ABA" w:rsidRDefault="00444D26" w:rsidP="008272B1">
      <w:pPr>
        <w:autoSpaceDE w:val="0"/>
        <w:autoSpaceDN w:val="0"/>
        <w:adjustRightInd w:val="0"/>
        <w:snapToGrid w:val="0"/>
        <w:spacing w:after="0" w:line="240" w:lineRule="auto"/>
        <w:jc w:val="both"/>
        <w:rPr>
          <w:rFonts w:ascii="Times New Roman" w:hAnsi="Times New Roman" w:cs="Times New Roman"/>
          <w:b/>
          <w:bCs/>
          <w:sz w:val="20"/>
          <w:szCs w:val="20"/>
        </w:rPr>
      </w:pPr>
      <w:r w:rsidRPr="001C1ABA">
        <w:rPr>
          <w:rFonts w:ascii="Times New Roman" w:hAnsi="Times New Roman" w:cs="Times New Roman"/>
          <w:b/>
          <w:bCs/>
          <w:sz w:val="20"/>
          <w:szCs w:val="20"/>
        </w:rPr>
        <w:lastRenderedPageBreak/>
        <w:t xml:space="preserve">4. </w:t>
      </w:r>
      <w:r w:rsidR="00EC0D92" w:rsidRPr="001C1ABA">
        <w:rPr>
          <w:rFonts w:ascii="Times New Roman" w:hAnsi="Times New Roman" w:cs="Times New Roman"/>
          <w:b/>
          <w:bCs/>
          <w:sz w:val="20"/>
          <w:szCs w:val="20"/>
        </w:rPr>
        <w:t>Discussion:</w:t>
      </w:r>
    </w:p>
    <w:p w:rsidR="00EC0D92" w:rsidRPr="001C1ABA" w:rsidRDefault="00EC0D92" w:rsidP="008272B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C1ABA">
        <w:rPr>
          <w:rFonts w:ascii="Times New Roman" w:hAnsi="Times New Roman" w:cs="Times New Roman"/>
          <w:sz w:val="20"/>
          <w:szCs w:val="20"/>
        </w:rPr>
        <w:t xml:space="preserve">In this study, we reported the characterization of TAZ and PKM2 </w:t>
      </w:r>
      <w:proofErr w:type="spellStart"/>
      <w:r w:rsidRPr="001C1ABA">
        <w:rPr>
          <w:rFonts w:ascii="Times New Roman" w:hAnsi="Times New Roman" w:cs="Times New Roman"/>
          <w:sz w:val="20"/>
          <w:szCs w:val="20"/>
        </w:rPr>
        <w:t>immunohistochemical</w:t>
      </w:r>
      <w:proofErr w:type="spellEnd"/>
      <w:r w:rsidRPr="001C1ABA">
        <w:rPr>
          <w:rFonts w:ascii="Times New Roman" w:hAnsi="Times New Roman" w:cs="Times New Roman"/>
          <w:sz w:val="20"/>
          <w:szCs w:val="20"/>
        </w:rPr>
        <w:t xml:space="preserve"> expression in human gastric signet ring cell carcinomas. TAZ</w:t>
      </w:r>
      <w:r w:rsidR="00DB096E">
        <w:rPr>
          <w:rFonts w:ascii="Times New Roman" w:hAnsi="Times New Roman" w:cs="Times New Roman" w:hint="eastAsia"/>
          <w:sz w:val="20"/>
          <w:szCs w:val="20"/>
          <w:lang w:eastAsia="zh-CN"/>
        </w:rPr>
        <w:t xml:space="preserve"> </w:t>
      </w:r>
      <w:r w:rsidRPr="001C1ABA">
        <w:rPr>
          <w:rFonts w:ascii="Times New Roman" w:hAnsi="Times New Roman" w:cs="Times New Roman"/>
          <w:sz w:val="20"/>
          <w:szCs w:val="20"/>
        </w:rPr>
        <w:t xml:space="preserve">is a transcriptional </w:t>
      </w:r>
      <w:proofErr w:type="spellStart"/>
      <w:r w:rsidRPr="001C1ABA">
        <w:rPr>
          <w:rFonts w:ascii="Times New Roman" w:hAnsi="Times New Roman" w:cs="Times New Roman"/>
          <w:sz w:val="20"/>
          <w:szCs w:val="20"/>
        </w:rPr>
        <w:t>coactivator</w:t>
      </w:r>
      <w:proofErr w:type="spellEnd"/>
      <w:r w:rsidRPr="001C1ABA">
        <w:rPr>
          <w:rFonts w:ascii="Times New Roman" w:hAnsi="Times New Roman" w:cs="Times New Roman"/>
          <w:sz w:val="20"/>
          <w:szCs w:val="20"/>
        </w:rPr>
        <w:t xml:space="preserve"> that is inhibited by Hippo signalling pathway which regulates cellular proliferation and survival, thus exerting profound effects on normal cell fate and </w:t>
      </w:r>
      <w:proofErr w:type="spellStart"/>
      <w:r w:rsidRPr="001C1ABA">
        <w:rPr>
          <w:rFonts w:ascii="Times New Roman" w:hAnsi="Times New Roman" w:cs="Times New Roman"/>
          <w:sz w:val="20"/>
          <w:szCs w:val="20"/>
        </w:rPr>
        <w:t>tumorigenesis</w:t>
      </w:r>
      <w:proofErr w:type="spellEnd"/>
      <w:r w:rsidR="00DB096E">
        <w:rPr>
          <w:rFonts w:ascii="Times New Roman" w:hAnsi="Times New Roman" w:cs="Times New Roman" w:hint="eastAsia"/>
          <w:sz w:val="20"/>
          <w:szCs w:val="20"/>
          <w:lang w:eastAsia="zh-CN"/>
        </w:rPr>
        <w:t xml:space="preserve"> </w:t>
      </w:r>
      <w:r w:rsidR="008C1CFE" w:rsidRPr="001C1ABA">
        <w:rPr>
          <w:rFonts w:ascii="Times New Roman" w:hAnsi="Times New Roman" w:cs="Times New Roman"/>
          <w:sz w:val="20"/>
          <w:szCs w:val="20"/>
        </w:rPr>
        <w:t>[Yang et al., 2012]</w:t>
      </w:r>
      <w:r w:rsidRPr="001C1ABA">
        <w:rPr>
          <w:rFonts w:ascii="Times New Roman" w:hAnsi="Times New Roman" w:cs="Times New Roman"/>
          <w:sz w:val="20"/>
          <w:szCs w:val="20"/>
        </w:rPr>
        <w:t xml:space="preserve">. </w:t>
      </w:r>
      <w:proofErr w:type="gramStart"/>
      <w:r w:rsidRPr="001C1ABA">
        <w:rPr>
          <w:rFonts w:ascii="Times New Roman" w:hAnsi="Times New Roman" w:cs="Times New Roman"/>
          <w:sz w:val="20"/>
          <w:szCs w:val="20"/>
        </w:rPr>
        <w:t xml:space="preserve">Aberrant inactivation of the Hippo pathway and/or </w:t>
      </w:r>
      <w:proofErr w:type="spellStart"/>
      <w:r w:rsidRPr="001C1ABA">
        <w:rPr>
          <w:rFonts w:ascii="Times New Roman" w:hAnsi="Times New Roman" w:cs="Times New Roman"/>
          <w:sz w:val="20"/>
          <w:szCs w:val="20"/>
        </w:rPr>
        <w:t>overexpression</w:t>
      </w:r>
      <w:proofErr w:type="spellEnd"/>
      <w:r w:rsidRPr="001C1ABA">
        <w:rPr>
          <w:rFonts w:ascii="Times New Roman" w:hAnsi="Times New Roman" w:cs="Times New Roman"/>
          <w:sz w:val="20"/>
          <w:szCs w:val="20"/>
        </w:rPr>
        <w:t xml:space="preserve"> of TAZ</w:t>
      </w:r>
      <w:r w:rsidR="00DB096E">
        <w:rPr>
          <w:rFonts w:ascii="Times New Roman" w:hAnsi="Times New Roman" w:cs="Times New Roman" w:hint="eastAsia"/>
          <w:sz w:val="20"/>
          <w:szCs w:val="20"/>
          <w:lang w:eastAsia="zh-CN"/>
        </w:rPr>
        <w:t xml:space="preserve"> </w:t>
      </w:r>
      <w:r w:rsidRPr="001C1ABA">
        <w:rPr>
          <w:rFonts w:ascii="Times New Roman" w:hAnsi="Times New Roman" w:cs="Times New Roman"/>
          <w:sz w:val="20"/>
          <w:szCs w:val="20"/>
        </w:rPr>
        <w:t>results.</w:t>
      </w:r>
      <w:proofErr w:type="gramEnd"/>
      <w:r w:rsidRPr="001C1ABA">
        <w:rPr>
          <w:rFonts w:ascii="Times New Roman" w:hAnsi="Times New Roman" w:cs="Times New Roman"/>
          <w:sz w:val="20"/>
          <w:szCs w:val="20"/>
        </w:rPr>
        <w:t xml:space="preserve"> </w:t>
      </w:r>
      <w:proofErr w:type="gramStart"/>
      <w:r w:rsidRPr="001C1ABA">
        <w:rPr>
          <w:rFonts w:ascii="Times New Roman" w:hAnsi="Times New Roman" w:cs="Times New Roman"/>
          <w:sz w:val="20"/>
          <w:szCs w:val="20"/>
        </w:rPr>
        <w:t>in</w:t>
      </w:r>
      <w:proofErr w:type="gramEnd"/>
      <w:r w:rsidRPr="001C1ABA">
        <w:rPr>
          <w:rFonts w:ascii="Times New Roman" w:hAnsi="Times New Roman" w:cs="Times New Roman"/>
          <w:sz w:val="20"/>
          <w:szCs w:val="20"/>
        </w:rPr>
        <w:t xml:space="preserve"> transcriptional activation of their downstream targets. TAZ</w:t>
      </w:r>
      <w:r w:rsidR="00DB096E">
        <w:rPr>
          <w:rFonts w:ascii="Times New Roman" w:hAnsi="Times New Roman" w:cs="Times New Roman" w:hint="eastAsia"/>
          <w:sz w:val="20"/>
          <w:szCs w:val="20"/>
          <w:lang w:eastAsia="zh-CN"/>
        </w:rPr>
        <w:t xml:space="preserve"> </w:t>
      </w:r>
      <w:proofErr w:type="spellStart"/>
      <w:r w:rsidRPr="001C1ABA">
        <w:rPr>
          <w:rFonts w:ascii="Times New Roman" w:hAnsi="Times New Roman" w:cs="Times New Roman"/>
          <w:sz w:val="20"/>
          <w:szCs w:val="20"/>
        </w:rPr>
        <w:t>overexpression</w:t>
      </w:r>
      <w:proofErr w:type="spellEnd"/>
      <w:r w:rsidRPr="001C1ABA">
        <w:rPr>
          <w:rFonts w:ascii="Times New Roman" w:hAnsi="Times New Roman" w:cs="Times New Roman"/>
          <w:sz w:val="20"/>
          <w:szCs w:val="20"/>
        </w:rPr>
        <w:t xml:space="preserve"> induces cell proliferation and epithelial-</w:t>
      </w:r>
      <w:proofErr w:type="spellStart"/>
      <w:r w:rsidRPr="001C1ABA">
        <w:rPr>
          <w:rFonts w:ascii="Times New Roman" w:hAnsi="Times New Roman" w:cs="Times New Roman"/>
          <w:sz w:val="20"/>
          <w:szCs w:val="20"/>
        </w:rPr>
        <w:t>mesenchymal</w:t>
      </w:r>
      <w:proofErr w:type="spellEnd"/>
      <w:r w:rsidRPr="001C1ABA">
        <w:rPr>
          <w:rFonts w:ascii="Times New Roman" w:hAnsi="Times New Roman" w:cs="Times New Roman"/>
          <w:sz w:val="20"/>
          <w:szCs w:val="20"/>
        </w:rPr>
        <w:t xml:space="preserve"> transition (EMT) and inhibits apoptosis and contact inhibition. EMT is a process in which cells lose epithelial-like characteristics, such as cell-cell adhesion and polarity, and acquire </w:t>
      </w:r>
      <w:proofErr w:type="spellStart"/>
      <w:r w:rsidRPr="001C1ABA">
        <w:rPr>
          <w:rFonts w:ascii="Times New Roman" w:hAnsi="Times New Roman" w:cs="Times New Roman"/>
          <w:sz w:val="20"/>
          <w:szCs w:val="20"/>
        </w:rPr>
        <w:t>mesenchymal</w:t>
      </w:r>
      <w:proofErr w:type="spellEnd"/>
      <w:r w:rsidRPr="001C1ABA">
        <w:rPr>
          <w:rFonts w:ascii="Times New Roman" w:hAnsi="Times New Roman" w:cs="Times New Roman"/>
          <w:sz w:val="20"/>
          <w:szCs w:val="20"/>
        </w:rPr>
        <w:t xml:space="preserve"> properties that include increased motility</w:t>
      </w:r>
      <w:r w:rsidR="00DB096E">
        <w:rPr>
          <w:rFonts w:ascii="Times New Roman" w:hAnsi="Times New Roman" w:cs="Times New Roman" w:hint="eastAsia"/>
          <w:sz w:val="20"/>
          <w:szCs w:val="20"/>
          <w:lang w:eastAsia="zh-CN"/>
        </w:rPr>
        <w:t xml:space="preserve"> </w:t>
      </w:r>
      <w:r w:rsidR="008C1CFE" w:rsidRPr="001C1ABA">
        <w:rPr>
          <w:rFonts w:ascii="Times New Roman" w:hAnsi="Times New Roman" w:cs="Times New Roman"/>
          <w:sz w:val="20"/>
          <w:szCs w:val="20"/>
        </w:rPr>
        <w:t>[Zhang et al., 2009]</w:t>
      </w:r>
      <w:r w:rsidRPr="001C1ABA">
        <w:rPr>
          <w:rFonts w:ascii="Times New Roman" w:hAnsi="Times New Roman" w:cs="Times New Roman"/>
          <w:sz w:val="20"/>
          <w:szCs w:val="20"/>
        </w:rPr>
        <w:t xml:space="preserve">. We found that TAZ expression was positive in 82.7% of the studied SRCC cases with significant correlation with the increasing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size.</w:t>
      </w:r>
    </w:p>
    <w:p w:rsidR="00EC0D92" w:rsidRPr="001C1ABA" w:rsidRDefault="00EC0D92" w:rsidP="008272B1">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1C1ABA">
        <w:rPr>
          <w:rFonts w:ascii="Times New Roman" w:hAnsi="Times New Roman" w:cs="Times New Roman"/>
          <w:sz w:val="20"/>
          <w:szCs w:val="20"/>
        </w:rPr>
        <w:t>Yue</w:t>
      </w:r>
      <w:proofErr w:type="spellEnd"/>
      <w:r w:rsidRPr="001C1ABA">
        <w:rPr>
          <w:rFonts w:ascii="Times New Roman" w:hAnsi="Times New Roman" w:cs="Times New Roman"/>
          <w:sz w:val="20"/>
          <w:szCs w:val="20"/>
        </w:rPr>
        <w:t xml:space="preserve"> et al</w:t>
      </w:r>
      <w:r w:rsidR="009F7C91" w:rsidRPr="001C1ABA">
        <w:rPr>
          <w:rFonts w:ascii="Times New Roman" w:hAnsi="Times New Roman" w:cs="Times New Roman"/>
          <w:sz w:val="20"/>
          <w:szCs w:val="20"/>
        </w:rPr>
        <w:t>.</w:t>
      </w:r>
      <w:r w:rsidRPr="001C1ABA">
        <w:rPr>
          <w:rFonts w:ascii="Times New Roman" w:hAnsi="Times New Roman" w:cs="Times New Roman"/>
          <w:sz w:val="20"/>
          <w:szCs w:val="20"/>
        </w:rPr>
        <w:t xml:space="preserve">, 2014, reached similar results when they noticed positive </w:t>
      </w:r>
      <w:proofErr w:type="spellStart"/>
      <w:r w:rsidRPr="001C1ABA">
        <w:rPr>
          <w:rFonts w:ascii="Times New Roman" w:hAnsi="Times New Roman" w:cs="Times New Roman"/>
          <w:sz w:val="20"/>
          <w:szCs w:val="20"/>
        </w:rPr>
        <w:t>immunohistochemical</w:t>
      </w:r>
      <w:proofErr w:type="spellEnd"/>
      <w:r w:rsidRPr="001C1ABA">
        <w:rPr>
          <w:rFonts w:ascii="Times New Roman" w:hAnsi="Times New Roman" w:cs="Times New Roman"/>
          <w:sz w:val="20"/>
          <w:szCs w:val="20"/>
        </w:rPr>
        <w:t xml:space="preserve"> expression of TAZ in 113 (77.4%) out of 146 gastric cancer samples. They stated that high expression of TAZ</w:t>
      </w:r>
      <w:r w:rsidR="00DB096E">
        <w:rPr>
          <w:rFonts w:ascii="Times New Roman" w:hAnsi="Times New Roman" w:cs="Times New Roman" w:hint="eastAsia"/>
          <w:sz w:val="20"/>
          <w:szCs w:val="20"/>
          <w:lang w:eastAsia="zh-CN"/>
        </w:rPr>
        <w:t xml:space="preserve"> </w:t>
      </w:r>
      <w:r w:rsidRPr="001C1ABA">
        <w:rPr>
          <w:rFonts w:ascii="Times New Roman" w:hAnsi="Times New Roman" w:cs="Times New Roman"/>
          <w:sz w:val="20"/>
          <w:szCs w:val="20"/>
        </w:rPr>
        <w:t xml:space="preserve">protein was observed with higher percentage in gastric cancer samples with histology of SRCC than conventional </w:t>
      </w:r>
      <w:proofErr w:type="spellStart"/>
      <w:r w:rsidRPr="001C1ABA">
        <w:rPr>
          <w:rFonts w:ascii="Times New Roman" w:hAnsi="Times New Roman" w:cs="Times New Roman"/>
          <w:sz w:val="20"/>
          <w:szCs w:val="20"/>
        </w:rPr>
        <w:t>adenocarcinomas</w:t>
      </w:r>
      <w:proofErr w:type="spellEnd"/>
      <w:r w:rsidRPr="001C1ABA">
        <w:rPr>
          <w:rFonts w:ascii="Times New Roman" w:hAnsi="Times New Roman" w:cs="Times New Roman"/>
          <w:sz w:val="20"/>
          <w:szCs w:val="20"/>
        </w:rPr>
        <w:t>. Wang et al</w:t>
      </w:r>
      <w:r w:rsidR="009F7C91" w:rsidRPr="001C1ABA">
        <w:rPr>
          <w:rFonts w:ascii="Times New Roman" w:hAnsi="Times New Roman" w:cs="Times New Roman"/>
          <w:sz w:val="20"/>
          <w:szCs w:val="20"/>
        </w:rPr>
        <w:t>.</w:t>
      </w:r>
      <w:r w:rsidRPr="001C1ABA">
        <w:rPr>
          <w:rFonts w:ascii="Times New Roman" w:hAnsi="Times New Roman" w:cs="Times New Roman"/>
          <w:sz w:val="20"/>
          <w:szCs w:val="20"/>
        </w:rPr>
        <w:t xml:space="preserve">, 2013, also examined TAZ expression in colorectal carcinoma. They found that 57.8% of the studied cases showed positive expression of TAZ protein indicating a potential correlation between this </w:t>
      </w:r>
      <w:proofErr w:type="gramStart"/>
      <w:r w:rsidRPr="001C1ABA">
        <w:rPr>
          <w:rFonts w:ascii="Times New Roman" w:hAnsi="Times New Roman" w:cs="Times New Roman"/>
          <w:sz w:val="20"/>
          <w:szCs w:val="20"/>
        </w:rPr>
        <w:t>protein</w:t>
      </w:r>
      <w:proofErr w:type="gramEnd"/>
      <w:r w:rsidRPr="001C1ABA">
        <w:rPr>
          <w:rFonts w:ascii="Times New Roman" w:hAnsi="Times New Roman" w:cs="Times New Roman"/>
          <w:sz w:val="20"/>
          <w:szCs w:val="20"/>
        </w:rPr>
        <w:t xml:space="preserve"> in </w:t>
      </w:r>
      <w:r w:rsidRPr="001C1ABA">
        <w:rPr>
          <w:rFonts w:ascii="Times New Roman" w:hAnsi="Times New Roman" w:cs="Times New Roman"/>
          <w:sz w:val="20"/>
          <w:szCs w:val="20"/>
        </w:rPr>
        <w:lastRenderedPageBreak/>
        <w:t xml:space="preserve">colorectal carcinoma. In non small cell lung carcinoma, </w:t>
      </w:r>
      <w:proofErr w:type="spellStart"/>
      <w:r w:rsidRPr="001C1ABA">
        <w:rPr>
          <w:rFonts w:ascii="Times New Roman" w:hAnsi="Times New Roman" w:cs="Times New Roman"/>
          <w:sz w:val="20"/>
          <w:szCs w:val="20"/>
        </w:rPr>
        <w:t>Xie</w:t>
      </w:r>
      <w:proofErr w:type="spellEnd"/>
      <w:r w:rsidRPr="001C1ABA">
        <w:rPr>
          <w:rFonts w:ascii="Times New Roman" w:hAnsi="Times New Roman" w:cs="Times New Roman"/>
          <w:sz w:val="20"/>
          <w:szCs w:val="20"/>
        </w:rPr>
        <w:t xml:space="preserve"> et al</w:t>
      </w:r>
      <w:r w:rsidR="009F7C91" w:rsidRPr="001C1ABA">
        <w:rPr>
          <w:rFonts w:ascii="Times New Roman" w:hAnsi="Times New Roman" w:cs="Times New Roman"/>
          <w:sz w:val="20"/>
          <w:szCs w:val="20"/>
        </w:rPr>
        <w:t>.</w:t>
      </w:r>
      <w:r w:rsidRPr="001C1ABA">
        <w:rPr>
          <w:rFonts w:ascii="Times New Roman" w:hAnsi="Times New Roman" w:cs="Times New Roman"/>
          <w:sz w:val="20"/>
          <w:szCs w:val="20"/>
        </w:rPr>
        <w:t xml:space="preserve">, 2012, demonstrated that TAZ expression was observed in 121 of the 181 (66.8%) specimens with nuclear and </w:t>
      </w:r>
      <w:proofErr w:type="spellStart"/>
      <w:r w:rsidRPr="001C1ABA">
        <w:rPr>
          <w:rFonts w:ascii="Times New Roman" w:hAnsi="Times New Roman" w:cs="Times New Roman"/>
          <w:sz w:val="20"/>
          <w:szCs w:val="20"/>
        </w:rPr>
        <w:t>cytoplasmic</w:t>
      </w:r>
      <w:proofErr w:type="spellEnd"/>
      <w:r w:rsidRPr="001C1ABA">
        <w:rPr>
          <w:rFonts w:ascii="Times New Roman" w:hAnsi="Times New Roman" w:cs="Times New Roman"/>
          <w:sz w:val="20"/>
          <w:szCs w:val="20"/>
        </w:rPr>
        <w:t xml:space="preserve"> expression.</w:t>
      </w:r>
    </w:p>
    <w:p w:rsidR="00EC0D92" w:rsidRPr="001C1ABA" w:rsidRDefault="00EC0D92" w:rsidP="008272B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C1ABA">
        <w:rPr>
          <w:rFonts w:ascii="Times New Roman" w:eastAsia="E-BZ" w:hAnsi="Times New Roman" w:cs="Times New Roman"/>
          <w:sz w:val="20"/>
          <w:szCs w:val="20"/>
        </w:rPr>
        <w:t>Similarly, Li et al</w:t>
      </w:r>
      <w:r w:rsidR="009F7C91" w:rsidRPr="001C1ABA">
        <w:rPr>
          <w:rFonts w:ascii="Times New Roman" w:eastAsia="E-BZ" w:hAnsi="Times New Roman" w:cs="Times New Roman"/>
          <w:sz w:val="20"/>
          <w:szCs w:val="20"/>
        </w:rPr>
        <w:t>.</w:t>
      </w:r>
      <w:r w:rsidRPr="001C1ABA">
        <w:rPr>
          <w:rFonts w:ascii="Times New Roman" w:eastAsia="E-BZ" w:hAnsi="Times New Roman" w:cs="Times New Roman"/>
          <w:sz w:val="20"/>
          <w:szCs w:val="20"/>
        </w:rPr>
        <w:t xml:space="preserve">, 2014 noticed that the positive expression of TAZ protein in </w:t>
      </w:r>
      <w:proofErr w:type="spellStart"/>
      <w:r w:rsidRPr="001C1ABA">
        <w:rPr>
          <w:rFonts w:ascii="Times New Roman" w:eastAsia="E-BZ" w:hAnsi="Times New Roman" w:cs="Times New Roman"/>
          <w:sz w:val="20"/>
          <w:szCs w:val="20"/>
        </w:rPr>
        <w:t>glioma</w:t>
      </w:r>
      <w:proofErr w:type="spellEnd"/>
      <w:r w:rsidRPr="001C1ABA">
        <w:rPr>
          <w:rFonts w:ascii="Times New Roman" w:eastAsia="E-BZ" w:hAnsi="Times New Roman" w:cs="Times New Roman"/>
          <w:sz w:val="20"/>
          <w:szCs w:val="20"/>
        </w:rPr>
        <w:t xml:space="preserve"> tissues was significantly higher than that in normal brain tissue (79.2% </w:t>
      </w:r>
      <w:proofErr w:type="spellStart"/>
      <w:r w:rsidRPr="001C1ABA">
        <w:rPr>
          <w:rFonts w:ascii="Times New Roman" w:eastAsia="E-BZ" w:hAnsi="Times New Roman" w:cs="Times New Roman"/>
          <w:sz w:val="20"/>
          <w:szCs w:val="20"/>
        </w:rPr>
        <w:t>vs</w:t>
      </w:r>
      <w:proofErr w:type="spellEnd"/>
      <w:r w:rsidRPr="001C1ABA">
        <w:rPr>
          <w:rFonts w:ascii="Times New Roman" w:eastAsia="E-BZ" w:hAnsi="Times New Roman" w:cs="Times New Roman"/>
          <w:sz w:val="20"/>
          <w:szCs w:val="20"/>
        </w:rPr>
        <w:t xml:space="preserve"> 15.4%) suggesting that TAZ play a key role in initiation and propagation of human </w:t>
      </w:r>
      <w:proofErr w:type="spellStart"/>
      <w:r w:rsidRPr="001C1ABA">
        <w:rPr>
          <w:rFonts w:ascii="Times New Roman" w:eastAsia="E-BZ" w:hAnsi="Times New Roman" w:cs="Times New Roman"/>
          <w:sz w:val="20"/>
          <w:szCs w:val="20"/>
        </w:rPr>
        <w:t>glioma</w:t>
      </w:r>
      <w:proofErr w:type="spellEnd"/>
      <w:r w:rsidRPr="001C1ABA">
        <w:rPr>
          <w:rFonts w:ascii="Times New Roman" w:eastAsia="E-BZ" w:hAnsi="Times New Roman" w:cs="Times New Roman"/>
          <w:sz w:val="20"/>
          <w:szCs w:val="20"/>
        </w:rPr>
        <w:t>.</w:t>
      </w:r>
      <w:r w:rsidR="00DB096E">
        <w:rPr>
          <w:rFonts w:ascii="Times New Roman" w:eastAsia="E-BZ" w:hAnsi="Times New Roman" w:cs="Times New Roman" w:hint="eastAsia"/>
          <w:sz w:val="20"/>
          <w:szCs w:val="20"/>
          <w:lang w:eastAsia="zh-CN"/>
        </w:rPr>
        <w:t xml:space="preserve"> </w:t>
      </w:r>
      <w:r w:rsidRPr="001C1ABA">
        <w:rPr>
          <w:rFonts w:ascii="Times New Roman" w:hAnsi="Times New Roman" w:cs="Times New Roman"/>
          <w:sz w:val="20"/>
          <w:szCs w:val="20"/>
        </w:rPr>
        <w:t>Chan et al</w:t>
      </w:r>
      <w:r w:rsidR="009F7C91" w:rsidRPr="001C1ABA">
        <w:rPr>
          <w:rFonts w:ascii="Times New Roman" w:hAnsi="Times New Roman" w:cs="Times New Roman"/>
          <w:sz w:val="20"/>
          <w:szCs w:val="20"/>
        </w:rPr>
        <w:t>.</w:t>
      </w:r>
      <w:r w:rsidRPr="001C1ABA">
        <w:rPr>
          <w:rFonts w:ascii="Times New Roman" w:hAnsi="Times New Roman" w:cs="Times New Roman"/>
          <w:sz w:val="20"/>
          <w:szCs w:val="20"/>
        </w:rPr>
        <w:t xml:space="preserve">, 2008, also studied TAZ expression in breast cancer cells but they noted that TAZ is </w:t>
      </w:r>
      <w:proofErr w:type="spellStart"/>
      <w:r w:rsidRPr="001C1ABA">
        <w:rPr>
          <w:rFonts w:ascii="Times New Roman" w:hAnsi="Times New Roman" w:cs="Times New Roman"/>
          <w:sz w:val="20"/>
          <w:szCs w:val="20"/>
        </w:rPr>
        <w:t>overexpressed</w:t>
      </w:r>
      <w:proofErr w:type="spellEnd"/>
      <w:r w:rsidRPr="001C1ABA">
        <w:rPr>
          <w:rFonts w:ascii="Times New Roman" w:hAnsi="Times New Roman" w:cs="Times New Roman"/>
          <w:sz w:val="20"/>
          <w:szCs w:val="20"/>
        </w:rPr>
        <w:t xml:space="preserve"> in only 20% of breast cancer samples.</w:t>
      </w:r>
    </w:p>
    <w:p w:rsidR="00EC0D92" w:rsidRPr="001C1ABA" w:rsidRDefault="00EC0D92" w:rsidP="008272B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C1ABA">
        <w:rPr>
          <w:rFonts w:ascii="Times New Roman" w:hAnsi="Times New Roman" w:cs="Times New Roman"/>
          <w:sz w:val="20"/>
          <w:szCs w:val="20"/>
        </w:rPr>
        <w:t>In contrast, Sun et al</w:t>
      </w:r>
      <w:r w:rsidR="009F7C91" w:rsidRPr="001C1ABA">
        <w:rPr>
          <w:rFonts w:ascii="Times New Roman" w:hAnsi="Times New Roman" w:cs="Times New Roman"/>
          <w:sz w:val="20"/>
          <w:szCs w:val="20"/>
        </w:rPr>
        <w:t>.</w:t>
      </w:r>
      <w:r w:rsidRPr="001C1ABA">
        <w:rPr>
          <w:rFonts w:ascii="Times New Roman" w:hAnsi="Times New Roman" w:cs="Times New Roman"/>
          <w:sz w:val="20"/>
          <w:szCs w:val="20"/>
        </w:rPr>
        <w:t xml:space="preserve">, 2014, found that TAZ protein showed a strictly nuclear staining pattern in </w:t>
      </w:r>
      <w:proofErr w:type="spellStart"/>
      <w:r w:rsidRPr="001C1ABA">
        <w:rPr>
          <w:rFonts w:ascii="Times New Roman" w:hAnsi="Times New Roman" w:cs="Times New Roman"/>
          <w:sz w:val="20"/>
          <w:szCs w:val="20"/>
        </w:rPr>
        <w:t>adenocarcinoma</w:t>
      </w:r>
      <w:proofErr w:type="spellEnd"/>
      <w:r w:rsidRPr="001C1ABA">
        <w:rPr>
          <w:rFonts w:ascii="Times New Roman" w:hAnsi="Times New Roman" w:cs="Times New Roman"/>
          <w:sz w:val="20"/>
          <w:szCs w:val="20"/>
        </w:rPr>
        <w:t xml:space="preserve"> of the </w:t>
      </w:r>
      <w:proofErr w:type="spellStart"/>
      <w:r w:rsidRPr="001C1ABA">
        <w:rPr>
          <w:rFonts w:ascii="Times New Roman" w:hAnsi="Times New Roman" w:cs="Times New Roman"/>
          <w:sz w:val="20"/>
          <w:szCs w:val="20"/>
        </w:rPr>
        <w:t>esophagogastric</w:t>
      </w:r>
      <w:proofErr w:type="spellEnd"/>
      <w:r w:rsidRPr="001C1ABA">
        <w:rPr>
          <w:rFonts w:ascii="Times New Roman" w:hAnsi="Times New Roman" w:cs="Times New Roman"/>
          <w:sz w:val="20"/>
          <w:szCs w:val="20"/>
        </w:rPr>
        <w:t xml:space="preserve"> junction and dysplasia with </w:t>
      </w:r>
      <w:proofErr w:type="spellStart"/>
      <w:r w:rsidRPr="001C1ABA">
        <w:rPr>
          <w:rFonts w:ascii="Times New Roman" w:hAnsi="Times New Roman" w:cs="Times New Roman"/>
          <w:sz w:val="20"/>
          <w:szCs w:val="20"/>
        </w:rPr>
        <w:t>immunohistochemistery</w:t>
      </w:r>
      <w:proofErr w:type="spellEnd"/>
      <w:r w:rsidRPr="001C1ABA">
        <w:rPr>
          <w:rFonts w:ascii="Times New Roman" w:hAnsi="Times New Roman" w:cs="Times New Roman"/>
          <w:sz w:val="20"/>
          <w:szCs w:val="20"/>
        </w:rPr>
        <w:t xml:space="preserve">. Expression of TAZ was higher in dysplasia and </w:t>
      </w:r>
      <w:proofErr w:type="spellStart"/>
      <w:r w:rsidRPr="001C1ABA">
        <w:rPr>
          <w:rFonts w:ascii="Times New Roman" w:hAnsi="Times New Roman" w:cs="Times New Roman"/>
          <w:sz w:val="20"/>
          <w:szCs w:val="20"/>
        </w:rPr>
        <w:t>adenocarcinoma</w:t>
      </w:r>
      <w:proofErr w:type="spellEnd"/>
      <w:r w:rsidRPr="001C1ABA">
        <w:rPr>
          <w:rFonts w:ascii="Times New Roman" w:hAnsi="Times New Roman" w:cs="Times New Roman"/>
          <w:sz w:val="20"/>
          <w:szCs w:val="20"/>
        </w:rPr>
        <w:t xml:space="preserve"> compared with normal mucosa. TAZ was observed in normal mucosa 16.2%, dysplasia 70.7%, and </w:t>
      </w:r>
      <w:proofErr w:type="spellStart"/>
      <w:r w:rsidRPr="001C1ABA">
        <w:rPr>
          <w:rFonts w:ascii="Times New Roman" w:hAnsi="Times New Roman" w:cs="Times New Roman"/>
          <w:sz w:val="20"/>
          <w:szCs w:val="20"/>
        </w:rPr>
        <w:t>adenocarcinoma</w:t>
      </w:r>
      <w:proofErr w:type="spellEnd"/>
      <w:r w:rsidRPr="001C1ABA">
        <w:rPr>
          <w:rFonts w:ascii="Times New Roman" w:hAnsi="Times New Roman" w:cs="Times New Roman"/>
          <w:sz w:val="20"/>
          <w:szCs w:val="20"/>
        </w:rPr>
        <w:t xml:space="preserve"> of the </w:t>
      </w:r>
      <w:proofErr w:type="spellStart"/>
      <w:r w:rsidRPr="001C1ABA">
        <w:rPr>
          <w:rFonts w:ascii="Times New Roman" w:hAnsi="Times New Roman" w:cs="Times New Roman"/>
          <w:sz w:val="20"/>
          <w:szCs w:val="20"/>
        </w:rPr>
        <w:t>esophagogastric</w:t>
      </w:r>
      <w:proofErr w:type="spellEnd"/>
      <w:r w:rsidRPr="001C1ABA">
        <w:rPr>
          <w:rFonts w:ascii="Times New Roman" w:hAnsi="Times New Roman" w:cs="Times New Roman"/>
          <w:sz w:val="20"/>
          <w:szCs w:val="20"/>
        </w:rPr>
        <w:t xml:space="preserve"> junction 40.7%.</w:t>
      </w:r>
    </w:p>
    <w:p w:rsidR="00EC0D92" w:rsidRPr="001C1ABA" w:rsidRDefault="00EC0D92" w:rsidP="008272B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C1ABA">
        <w:rPr>
          <w:rFonts w:ascii="Times New Roman" w:hAnsi="Times New Roman" w:cs="Times New Roman"/>
          <w:sz w:val="20"/>
          <w:szCs w:val="20"/>
        </w:rPr>
        <w:t xml:space="preserve">On the other hand, it is thought and often quoted in literature that PKM1 is found in many normal differentiated tissues, whereas PKM2 is expressed in most proliferating cells, including all cancer cell lines and </w:t>
      </w:r>
      <w:proofErr w:type="spellStart"/>
      <w:r w:rsidRPr="001C1ABA">
        <w:rPr>
          <w:rFonts w:ascii="Times New Roman" w:hAnsi="Times New Roman" w:cs="Times New Roman"/>
          <w:sz w:val="20"/>
          <w:szCs w:val="20"/>
        </w:rPr>
        <w:t>tumors</w:t>
      </w:r>
      <w:proofErr w:type="spellEnd"/>
      <w:r w:rsidR="00DB096E">
        <w:rPr>
          <w:rFonts w:ascii="Times New Roman" w:hAnsi="Times New Roman" w:cs="Times New Roman" w:hint="eastAsia"/>
          <w:sz w:val="20"/>
          <w:szCs w:val="20"/>
          <w:lang w:eastAsia="zh-CN"/>
        </w:rPr>
        <w:t xml:space="preserve"> </w:t>
      </w:r>
      <w:r w:rsidR="00893E87" w:rsidRPr="001C1ABA">
        <w:rPr>
          <w:rFonts w:ascii="Times New Roman" w:hAnsi="Times New Roman" w:cs="Times New Roman"/>
          <w:sz w:val="20"/>
          <w:szCs w:val="20"/>
        </w:rPr>
        <w:t xml:space="preserve">[Vander </w:t>
      </w:r>
      <w:proofErr w:type="spellStart"/>
      <w:r w:rsidR="00893E87" w:rsidRPr="001C1ABA">
        <w:rPr>
          <w:rFonts w:ascii="Times New Roman" w:hAnsi="Times New Roman" w:cs="Times New Roman"/>
          <w:sz w:val="20"/>
          <w:szCs w:val="20"/>
        </w:rPr>
        <w:t>Heiden</w:t>
      </w:r>
      <w:proofErr w:type="spellEnd"/>
      <w:r w:rsidR="00893E87" w:rsidRPr="001C1ABA">
        <w:rPr>
          <w:rFonts w:ascii="Times New Roman" w:hAnsi="Times New Roman" w:cs="Times New Roman"/>
          <w:sz w:val="20"/>
          <w:szCs w:val="20"/>
        </w:rPr>
        <w:t xml:space="preserve"> et al., 2010 and Wong et al., 2013].</w:t>
      </w:r>
      <w:r w:rsidRPr="001C1ABA">
        <w:rPr>
          <w:rFonts w:ascii="Times New Roman" w:hAnsi="Times New Roman" w:cs="Times New Roman"/>
          <w:sz w:val="20"/>
          <w:szCs w:val="20"/>
        </w:rPr>
        <w:t xml:space="preserve"> Several studies have shown that PKM2 is selectively stained in cancer cells in </w:t>
      </w:r>
      <w:proofErr w:type="spellStart"/>
      <w:r w:rsidRPr="001C1ABA">
        <w:rPr>
          <w:rFonts w:ascii="Times New Roman" w:hAnsi="Times New Roman" w:cs="Times New Roman"/>
          <w:sz w:val="20"/>
          <w:szCs w:val="20"/>
        </w:rPr>
        <w:t>immunohistochemical</w:t>
      </w:r>
      <w:proofErr w:type="spellEnd"/>
      <w:r w:rsidRPr="001C1ABA">
        <w:rPr>
          <w:rFonts w:ascii="Times New Roman" w:hAnsi="Times New Roman" w:cs="Times New Roman"/>
          <w:sz w:val="20"/>
          <w:szCs w:val="20"/>
        </w:rPr>
        <w:t xml:space="preserve"> as</w:t>
      </w:r>
      <w:r w:rsidRPr="001C1ABA">
        <w:rPr>
          <w:rFonts w:ascii="Times New Roman" w:hAnsi="Times New Roman" w:cs="Times New Roman"/>
          <w:sz w:val="20"/>
          <w:szCs w:val="20"/>
        </w:rPr>
        <w:softHyphen/>
        <w:t xml:space="preserve">say. It has been suggested that plasma PKM2 could be a valuable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marker for diagnosis or monitoring of lung, pancreas, kidney, breast, tongue, and gastroin</w:t>
      </w:r>
      <w:r w:rsidRPr="001C1ABA">
        <w:rPr>
          <w:rFonts w:ascii="Times New Roman" w:hAnsi="Times New Roman" w:cs="Times New Roman"/>
          <w:sz w:val="20"/>
          <w:szCs w:val="20"/>
        </w:rPr>
        <w:softHyphen/>
        <w:t>testinal cancers</w:t>
      </w:r>
      <w:r w:rsidR="00DB096E">
        <w:rPr>
          <w:rFonts w:ascii="Times New Roman" w:hAnsi="Times New Roman" w:cs="Times New Roman" w:hint="eastAsia"/>
          <w:sz w:val="20"/>
          <w:szCs w:val="20"/>
          <w:lang w:eastAsia="zh-CN"/>
        </w:rPr>
        <w:t xml:space="preserve"> </w:t>
      </w:r>
      <w:r w:rsidR="00893E87" w:rsidRPr="001C1ABA">
        <w:rPr>
          <w:rFonts w:ascii="Times New Roman" w:hAnsi="Times New Roman" w:cs="Times New Roman"/>
          <w:sz w:val="20"/>
          <w:szCs w:val="20"/>
        </w:rPr>
        <w:t>[</w:t>
      </w:r>
      <w:proofErr w:type="spellStart"/>
      <w:r w:rsidR="00893E87" w:rsidRPr="001C1ABA">
        <w:rPr>
          <w:rFonts w:ascii="Times New Roman" w:hAnsi="Times New Roman" w:cs="Times New Roman"/>
          <w:sz w:val="20"/>
          <w:szCs w:val="20"/>
        </w:rPr>
        <w:t>Wechsel</w:t>
      </w:r>
      <w:proofErr w:type="spellEnd"/>
      <w:r w:rsidR="00893E87" w:rsidRPr="001C1ABA">
        <w:rPr>
          <w:rFonts w:ascii="Times New Roman" w:hAnsi="Times New Roman" w:cs="Times New Roman"/>
          <w:sz w:val="20"/>
          <w:szCs w:val="20"/>
        </w:rPr>
        <w:t xml:space="preserve"> </w:t>
      </w:r>
      <w:r w:rsidR="00893E87" w:rsidRPr="001C1ABA">
        <w:rPr>
          <w:rFonts w:ascii="Times New Roman" w:hAnsi="Times New Roman" w:cs="Times New Roman"/>
          <w:sz w:val="20"/>
          <w:szCs w:val="20"/>
        </w:rPr>
        <w:lastRenderedPageBreak/>
        <w:t xml:space="preserve">et al., 1999, </w:t>
      </w:r>
      <w:proofErr w:type="spellStart"/>
      <w:r w:rsidR="00893E87" w:rsidRPr="001C1ABA">
        <w:rPr>
          <w:rFonts w:ascii="Times New Roman" w:hAnsi="Times New Roman" w:cs="Times New Roman"/>
          <w:sz w:val="20"/>
          <w:szCs w:val="20"/>
        </w:rPr>
        <w:t>Lüftner</w:t>
      </w:r>
      <w:proofErr w:type="spellEnd"/>
      <w:r w:rsidR="00893E87" w:rsidRPr="001C1ABA">
        <w:rPr>
          <w:rFonts w:ascii="Times New Roman" w:hAnsi="Times New Roman" w:cs="Times New Roman"/>
          <w:sz w:val="20"/>
          <w:szCs w:val="20"/>
        </w:rPr>
        <w:t xml:space="preserve"> et al., 2000, </w:t>
      </w:r>
      <w:proofErr w:type="spellStart"/>
      <w:r w:rsidR="00AE18DC" w:rsidRPr="001C1ABA">
        <w:rPr>
          <w:rFonts w:ascii="Times New Roman" w:hAnsi="Times New Roman" w:cs="Times New Roman"/>
          <w:sz w:val="20"/>
          <w:szCs w:val="20"/>
        </w:rPr>
        <w:t>Shneider</w:t>
      </w:r>
      <w:proofErr w:type="spellEnd"/>
      <w:r w:rsidR="00AE18DC" w:rsidRPr="001C1ABA">
        <w:rPr>
          <w:rFonts w:ascii="Times New Roman" w:hAnsi="Times New Roman" w:cs="Times New Roman"/>
          <w:sz w:val="20"/>
          <w:szCs w:val="20"/>
        </w:rPr>
        <w:t xml:space="preserve"> et al., 2002, </w:t>
      </w:r>
      <w:proofErr w:type="spellStart"/>
      <w:r w:rsidR="00AE18DC" w:rsidRPr="001C1ABA">
        <w:rPr>
          <w:rFonts w:ascii="Times New Roman" w:hAnsi="Times New Roman" w:cs="Times New Roman"/>
          <w:sz w:val="20"/>
          <w:szCs w:val="20"/>
        </w:rPr>
        <w:t>Yoo</w:t>
      </w:r>
      <w:proofErr w:type="spellEnd"/>
      <w:r w:rsidR="00AE18DC" w:rsidRPr="001C1ABA">
        <w:rPr>
          <w:rFonts w:ascii="Times New Roman" w:hAnsi="Times New Roman" w:cs="Times New Roman"/>
          <w:sz w:val="20"/>
          <w:szCs w:val="20"/>
        </w:rPr>
        <w:t xml:space="preserve"> et al., 2004, Wong et al., 2008]</w:t>
      </w:r>
      <w:r w:rsidRPr="001C1ABA">
        <w:rPr>
          <w:rFonts w:ascii="Times New Roman" w:hAnsi="Times New Roman" w:cs="Times New Roman"/>
          <w:sz w:val="20"/>
          <w:szCs w:val="20"/>
        </w:rPr>
        <w:t xml:space="preserve">. However, little is known about the role of PKM2 in cancer and its usefulness in therapy. We found that PKM2 expression was positive in 87% of SRCC cases. 30% of the positive cases showed weak PKM2 expression, 37.5% showed moderate staining and 32.5% showed strong expression compared to the negative staining noticed in the adjacent non timorous tissue. Positive expression was significantly correlated to the larger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size.</w:t>
      </w:r>
    </w:p>
    <w:p w:rsidR="00EC0D92" w:rsidRPr="001C1ABA" w:rsidRDefault="00EC0D92" w:rsidP="008272B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C1ABA">
        <w:rPr>
          <w:rFonts w:ascii="Times New Roman" w:hAnsi="Times New Roman" w:cs="Times New Roman"/>
          <w:sz w:val="20"/>
          <w:szCs w:val="20"/>
        </w:rPr>
        <w:t>These results were in approval with those found by Lim et al</w:t>
      </w:r>
      <w:r w:rsidR="009F7C91" w:rsidRPr="001C1ABA">
        <w:rPr>
          <w:rFonts w:ascii="Times New Roman" w:hAnsi="Times New Roman" w:cs="Times New Roman"/>
          <w:sz w:val="20"/>
          <w:szCs w:val="20"/>
        </w:rPr>
        <w:t>.</w:t>
      </w:r>
      <w:r w:rsidRPr="001C1ABA">
        <w:rPr>
          <w:rFonts w:ascii="Times New Roman" w:hAnsi="Times New Roman" w:cs="Times New Roman"/>
          <w:sz w:val="20"/>
          <w:szCs w:val="20"/>
        </w:rPr>
        <w:t>, 2012. They observed that PKM2 expression was increased more than 2-fold in primary gastric cancers compared to adjacent normal tissues from the same patients. PKM2 protein was detected in 144 of 368 (39.1%) hu</w:t>
      </w:r>
      <w:r w:rsidRPr="001C1ABA">
        <w:rPr>
          <w:rFonts w:ascii="Times New Roman" w:hAnsi="Times New Roman" w:cs="Times New Roman"/>
          <w:sz w:val="20"/>
          <w:szCs w:val="20"/>
        </w:rPr>
        <w:softHyphen/>
        <w:t xml:space="preserve">man gastric cancer cases. </w:t>
      </w:r>
      <w:proofErr w:type="spellStart"/>
      <w:r w:rsidRPr="001C1ABA">
        <w:rPr>
          <w:rFonts w:ascii="Times New Roman" w:hAnsi="Times New Roman" w:cs="Times New Roman"/>
          <w:sz w:val="20"/>
          <w:szCs w:val="20"/>
        </w:rPr>
        <w:t>Sawayama</w:t>
      </w:r>
      <w:proofErr w:type="spellEnd"/>
      <w:r w:rsidRPr="001C1ABA">
        <w:rPr>
          <w:rFonts w:ascii="Times New Roman" w:hAnsi="Times New Roman" w:cs="Times New Roman"/>
          <w:sz w:val="20"/>
          <w:szCs w:val="20"/>
        </w:rPr>
        <w:t xml:space="preserve"> et al</w:t>
      </w:r>
      <w:r w:rsidR="009F7C91" w:rsidRPr="001C1ABA">
        <w:rPr>
          <w:rFonts w:ascii="Times New Roman" w:hAnsi="Times New Roman" w:cs="Times New Roman"/>
          <w:sz w:val="20"/>
          <w:szCs w:val="20"/>
        </w:rPr>
        <w:t>.</w:t>
      </w:r>
      <w:r w:rsidRPr="001C1ABA">
        <w:rPr>
          <w:rFonts w:ascii="Times New Roman" w:hAnsi="Times New Roman" w:cs="Times New Roman"/>
          <w:sz w:val="20"/>
          <w:szCs w:val="20"/>
        </w:rPr>
        <w:t xml:space="preserve">, 2014, also studied the expression of </w:t>
      </w:r>
      <w:proofErr w:type="spellStart"/>
      <w:r w:rsidRPr="001C1ABA">
        <w:rPr>
          <w:rFonts w:ascii="Times New Roman" w:hAnsi="Times New Roman" w:cs="Times New Roman"/>
          <w:sz w:val="20"/>
          <w:szCs w:val="20"/>
        </w:rPr>
        <w:t>glycolytic</w:t>
      </w:r>
      <w:proofErr w:type="spellEnd"/>
      <w:r w:rsidRPr="001C1ABA">
        <w:rPr>
          <w:rFonts w:ascii="Times New Roman" w:hAnsi="Times New Roman" w:cs="Times New Roman"/>
          <w:sz w:val="20"/>
          <w:szCs w:val="20"/>
        </w:rPr>
        <w:t xml:space="preserve"> enzymes as PKM2 in cancer cells. They suggested that PKM2 </w:t>
      </w:r>
      <w:proofErr w:type="spellStart"/>
      <w:r w:rsidRPr="001C1ABA">
        <w:rPr>
          <w:rFonts w:ascii="Times New Roman" w:hAnsi="Times New Roman" w:cs="Times New Roman"/>
          <w:sz w:val="20"/>
          <w:szCs w:val="20"/>
        </w:rPr>
        <w:t>maybe</w:t>
      </w:r>
      <w:proofErr w:type="spellEnd"/>
      <w:r w:rsidRPr="001C1ABA">
        <w:rPr>
          <w:rFonts w:ascii="Times New Roman" w:hAnsi="Times New Roman" w:cs="Times New Roman"/>
          <w:sz w:val="20"/>
          <w:szCs w:val="20"/>
        </w:rPr>
        <w:t xml:space="preserve"> a significant biomarker for predicting cancer prognosis and may be a therapeutic target in gastrointestinal cancer.</w:t>
      </w:r>
    </w:p>
    <w:p w:rsidR="00EC0D92" w:rsidRPr="001C1ABA" w:rsidRDefault="00EC0D92" w:rsidP="008272B1">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1C1ABA">
        <w:rPr>
          <w:rFonts w:ascii="Times New Roman" w:hAnsi="Times New Roman" w:cs="Times New Roman"/>
          <w:sz w:val="20"/>
          <w:szCs w:val="20"/>
        </w:rPr>
        <w:t>Wechsel</w:t>
      </w:r>
      <w:proofErr w:type="spellEnd"/>
      <w:r w:rsidRPr="001C1ABA">
        <w:rPr>
          <w:rFonts w:ascii="Times New Roman" w:hAnsi="Times New Roman" w:cs="Times New Roman"/>
          <w:sz w:val="20"/>
          <w:szCs w:val="20"/>
        </w:rPr>
        <w:t xml:space="preserve"> et al</w:t>
      </w:r>
      <w:r w:rsidR="009F7C91" w:rsidRPr="001C1ABA">
        <w:rPr>
          <w:rFonts w:ascii="Times New Roman" w:hAnsi="Times New Roman" w:cs="Times New Roman"/>
          <w:sz w:val="20"/>
          <w:szCs w:val="20"/>
        </w:rPr>
        <w:t>.</w:t>
      </w:r>
      <w:r w:rsidRPr="001C1ABA">
        <w:rPr>
          <w:rFonts w:ascii="Times New Roman" w:hAnsi="Times New Roman" w:cs="Times New Roman"/>
          <w:sz w:val="20"/>
          <w:szCs w:val="20"/>
        </w:rPr>
        <w:t xml:space="preserve">, 1999, as well, stated that </w:t>
      </w:r>
      <w:proofErr w:type="gramStart"/>
      <w:r w:rsidRPr="001C1ABA">
        <w:rPr>
          <w:rFonts w:ascii="Times New Roman" w:hAnsi="Times New Roman" w:cs="Times New Roman"/>
          <w:sz w:val="20"/>
          <w:szCs w:val="20"/>
        </w:rPr>
        <w:t>The</w:t>
      </w:r>
      <w:proofErr w:type="gram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isoenzyme</w:t>
      </w:r>
      <w:proofErr w:type="spellEnd"/>
      <w:r w:rsidRPr="001C1ABA">
        <w:rPr>
          <w:rFonts w:ascii="Times New Roman" w:hAnsi="Times New Roman" w:cs="Times New Roman"/>
          <w:sz w:val="20"/>
          <w:szCs w:val="20"/>
        </w:rPr>
        <w:t xml:space="preserve"> PKM2 could be demonstrated in renal cell carcinoma and their metastases by </w:t>
      </w:r>
      <w:proofErr w:type="spellStart"/>
      <w:r w:rsidRPr="001C1ABA">
        <w:rPr>
          <w:rFonts w:ascii="Times New Roman" w:hAnsi="Times New Roman" w:cs="Times New Roman"/>
          <w:sz w:val="20"/>
          <w:szCs w:val="20"/>
        </w:rPr>
        <w:t>immunohistochemistry</w:t>
      </w:r>
      <w:proofErr w:type="spellEnd"/>
      <w:r w:rsidRPr="001C1ABA">
        <w:rPr>
          <w:rFonts w:ascii="Times New Roman" w:hAnsi="Times New Roman" w:cs="Times New Roman"/>
          <w:sz w:val="20"/>
          <w:szCs w:val="20"/>
        </w:rPr>
        <w:t xml:space="preserve"> with a monoclonal antibody specific for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type M2. In normal kidney cells PKM2 is not detectable. In a similar study, Schneider et al</w:t>
      </w:r>
      <w:r w:rsidR="009F7C91" w:rsidRPr="001C1ABA">
        <w:rPr>
          <w:rFonts w:ascii="Times New Roman" w:hAnsi="Times New Roman" w:cs="Times New Roman"/>
          <w:sz w:val="20"/>
          <w:szCs w:val="20"/>
        </w:rPr>
        <w:t>.</w:t>
      </w:r>
      <w:r w:rsidRPr="001C1ABA">
        <w:rPr>
          <w:rFonts w:ascii="Times New Roman" w:hAnsi="Times New Roman" w:cs="Times New Roman"/>
          <w:sz w:val="20"/>
          <w:szCs w:val="20"/>
        </w:rPr>
        <w:t xml:space="preserve">, 2002, studied PKM2 expression in lung cancer and noted that </w:t>
      </w:r>
      <w:proofErr w:type="spellStart"/>
      <w:r w:rsidRPr="001C1ABA">
        <w:rPr>
          <w:rFonts w:ascii="Times New Roman" w:hAnsi="Times New Roman" w:cs="Times New Roman"/>
          <w:sz w:val="20"/>
          <w:szCs w:val="20"/>
        </w:rPr>
        <w:t>immunohistochemical</w:t>
      </w:r>
      <w:proofErr w:type="spellEnd"/>
      <w:r w:rsidRPr="001C1ABA">
        <w:rPr>
          <w:rFonts w:ascii="Times New Roman" w:hAnsi="Times New Roman" w:cs="Times New Roman"/>
          <w:sz w:val="20"/>
          <w:szCs w:val="20"/>
        </w:rPr>
        <w:t xml:space="preserve"> detection of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M2 in tissue sections of lung cancer specimens showed selective staining of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cells. In addition, </w:t>
      </w:r>
      <w:proofErr w:type="spellStart"/>
      <w:r w:rsidRPr="001C1ABA">
        <w:rPr>
          <w:rFonts w:ascii="Times New Roman" w:hAnsi="Times New Roman" w:cs="Times New Roman"/>
          <w:sz w:val="20"/>
          <w:szCs w:val="20"/>
        </w:rPr>
        <w:t>immunohistochemical</w:t>
      </w:r>
      <w:proofErr w:type="spellEnd"/>
      <w:r w:rsidRPr="001C1ABA">
        <w:rPr>
          <w:rFonts w:ascii="Times New Roman" w:hAnsi="Times New Roman" w:cs="Times New Roman"/>
          <w:sz w:val="20"/>
          <w:szCs w:val="20"/>
        </w:rPr>
        <w:t xml:space="preserve"> staining results of PKM2 observed by Wong et al</w:t>
      </w:r>
      <w:r w:rsidR="009F7C91" w:rsidRPr="001C1ABA">
        <w:rPr>
          <w:rFonts w:ascii="Times New Roman" w:hAnsi="Times New Roman" w:cs="Times New Roman"/>
          <w:sz w:val="20"/>
          <w:szCs w:val="20"/>
        </w:rPr>
        <w:t>.</w:t>
      </w:r>
      <w:r w:rsidRPr="001C1ABA">
        <w:rPr>
          <w:rFonts w:ascii="Times New Roman" w:hAnsi="Times New Roman" w:cs="Times New Roman"/>
          <w:sz w:val="20"/>
          <w:szCs w:val="20"/>
        </w:rPr>
        <w:t xml:space="preserve">, 2008, suggested that PKM2 was </w:t>
      </w:r>
      <w:proofErr w:type="spellStart"/>
      <w:r w:rsidRPr="001C1ABA">
        <w:rPr>
          <w:rFonts w:ascii="Times New Roman" w:hAnsi="Times New Roman" w:cs="Times New Roman"/>
          <w:sz w:val="20"/>
          <w:szCs w:val="20"/>
        </w:rPr>
        <w:t>overexpressed</w:t>
      </w:r>
      <w:proofErr w:type="spellEnd"/>
      <w:r w:rsidRPr="001C1ABA">
        <w:rPr>
          <w:rFonts w:ascii="Times New Roman" w:hAnsi="Times New Roman" w:cs="Times New Roman"/>
          <w:sz w:val="20"/>
          <w:szCs w:val="20"/>
        </w:rPr>
        <w:t xml:space="preserve"> in tongue </w:t>
      </w:r>
      <w:proofErr w:type="spellStart"/>
      <w:r w:rsidRPr="001C1ABA">
        <w:rPr>
          <w:rFonts w:ascii="Times New Roman" w:hAnsi="Times New Roman" w:cs="Times New Roman"/>
          <w:sz w:val="20"/>
          <w:szCs w:val="20"/>
        </w:rPr>
        <w:t>squamous</w:t>
      </w:r>
      <w:proofErr w:type="spellEnd"/>
      <w:r w:rsidRPr="001C1ABA">
        <w:rPr>
          <w:rFonts w:ascii="Times New Roman" w:hAnsi="Times New Roman" w:cs="Times New Roman"/>
          <w:sz w:val="20"/>
          <w:szCs w:val="20"/>
        </w:rPr>
        <w:t xml:space="preserve"> cell carcinoma.</w:t>
      </w:r>
    </w:p>
    <w:p w:rsidR="00EC0D92" w:rsidRPr="001C1ABA" w:rsidRDefault="00EC0D92" w:rsidP="008272B1">
      <w:pPr>
        <w:autoSpaceDE w:val="0"/>
        <w:autoSpaceDN w:val="0"/>
        <w:adjustRightInd w:val="0"/>
        <w:snapToGrid w:val="0"/>
        <w:spacing w:after="0" w:line="240" w:lineRule="auto"/>
        <w:jc w:val="both"/>
        <w:rPr>
          <w:rFonts w:ascii="Times New Roman" w:hAnsi="Times New Roman" w:cs="Times New Roman"/>
          <w:sz w:val="20"/>
          <w:szCs w:val="20"/>
        </w:rPr>
      </w:pPr>
    </w:p>
    <w:p w:rsidR="00EC0D92" w:rsidRPr="001C1ABA" w:rsidRDefault="00EC0D92" w:rsidP="008272B1">
      <w:pPr>
        <w:autoSpaceDE w:val="0"/>
        <w:autoSpaceDN w:val="0"/>
        <w:adjustRightInd w:val="0"/>
        <w:snapToGrid w:val="0"/>
        <w:spacing w:after="0" w:line="240" w:lineRule="auto"/>
        <w:jc w:val="both"/>
        <w:rPr>
          <w:rFonts w:ascii="Times New Roman" w:hAnsi="Times New Roman" w:cs="Times New Roman"/>
          <w:b/>
          <w:bCs/>
          <w:sz w:val="20"/>
          <w:szCs w:val="20"/>
        </w:rPr>
      </w:pPr>
      <w:r w:rsidRPr="001C1ABA">
        <w:rPr>
          <w:rFonts w:ascii="Times New Roman" w:hAnsi="Times New Roman" w:cs="Times New Roman"/>
          <w:b/>
          <w:bCs/>
          <w:sz w:val="20"/>
          <w:szCs w:val="20"/>
        </w:rPr>
        <w:t>Conclusion:</w:t>
      </w:r>
    </w:p>
    <w:p w:rsidR="00EC0D92" w:rsidRPr="001C1ABA" w:rsidRDefault="00EC0D92" w:rsidP="008272B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C1ABA">
        <w:rPr>
          <w:rFonts w:ascii="Times New Roman" w:hAnsi="Times New Roman" w:cs="Times New Roman"/>
          <w:sz w:val="20"/>
          <w:szCs w:val="20"/>
        </w:rPr>
        <w:t>It is important to identify new molecular marke</w:t>
      </w:r>
      <w:r w:rsidR="007E2857" w:rsidRPr="001C1ABA">
        <w:rPr>
          <w:rFonts w:ascii="Times New Roman" w:hAnsi="Times New Roman" w:cs="Times New Roman"/>
          <w:sz w:val="20"/>
          <w:szCs w:val="20"/>
        </w:rPr>
        <w:t xml:space="preserve">rs to </w:t>
      </w:r>
      <w:r w:rsidRPr="001C1ABA">
        <w:rPr>
          <w:rFonts w:ascii="Times New Roman" w:hAnsi="Times New Roman" w:cs="Times New Roman"/>
          <w:sz w:val="20"/>
          <w:szCs w:val="20"/>
        </w:rPr>
        <w:t>personalize treatments according to the individual biology of each cancer.</w:t>
      </w:r>
      <w:r w:rsidR="00DB096E">
        <w:rPr>
          <w:rFonts w:ascii="Times New Roman" w:hAnsi="Times New Roman" w:cs="Times New Roman" w:hint="eastAsia"/>
          <w:sz w:val="20"/>
          <w:szCs w:val="20"/>
          <w:lang w:eastAsia="zh-CN"/>
        </w:rPr>
        <w:t xml:space="preserve"> </w:t>
      </w:r>
      <w:r w:rsidRPr="001C1ABA">
        <w:rPr>
          <w:rFonts w:ascii="Times New Roman" w:hAnsi="Times New Roman" w:cs="Times New Roman"/>
          <w:sz w:val="20"/>
          <w:szCs w:val="20"/>
        </w:rPr>
        <w:t>Therefore, TAZ as well as PKM2 m</w:t>
      </w:r>
      <w:r w:rsidR="000531F9" w:rsidRPr="001C1ABA">
        <w:rPr>
          <w:rFonts w:ascii="Times New Roman" w:hAnsi="Times New Roman" w:cs="Times New Roman"/>
          <w:sz w:val="20"/>
          <w:szCs w:val="20"/>
        </w:rPr>
        <w:t xml:space="preserve">ay </w:t>
      </w:r>
      <w:r w:rsidRPr="001C1ABA">
        <w:rPr>
          <w:rFonts w:ascii="Times New Roman" w:hAnsi="Times New Roman" w:cs="Times New Roman"/>
          <w:sz w:val="20"/>
          <w:szCs w:val="20"/>
        </w:rPr>
        <w:t xml:space="preserve">play a key role in </w:t>
      </w:r>
      <w:r w:rsidR="000531F9" w:rsidRPr="001C1ABA">
        <w:rPr>
          <w:rFonts w:ascii="Times New Roman" w:hAnsi="Times New Roman" w:cs="Times New Roman"/>
          <w:sz w:val="20"/>
          <w:szCs w:val="20"/>
        </w:rPr>
        <w:t xml:space="preserve">the discovery of new </w:t>
      </w:r>
      <w:r w:rsidRPr="001C1ABA">
        <w:rPr>
          <w:rFonts w:ascii="Times New Roman" w:hAnsi="Times New Roman" w:cs="Times New Roman"/>
          <w:sz w:val="20"/>
          <w:szCs w:val="20"/>
        </w:rPr>
        <w:t>cancer target therapy.</w:t>
      </w:r>
    </w:p>
    <w:p w:rsidR="00EC0D92" w:rsidRPr="001C1ABA" w:rsidRDefault="00EC0D92" w:rsidP="008272B1">
      <w:pPr>
        <w:autoSpaceDE w:val="0"/>
        <w:autoSpaceDN w:val="0"/>
        <w:adjustRightInd w:val="0"/>
        <w:snapToGrid w:val="0"/>
        <w:spacing w:after="0" w:line="240" w:lineRule="auto"/>
        <w:jc w:val="both"/>
        <w:rPr>
          <w:rFonts w:ascii="Times New Roman" w:hAnsi="Times New Roman" w:cs="Times New Roman"/>
          <w:sz w:val="20"/>
          <w:szCs w:val="20"/>
        </w:rPr>
      </w:pPr>
    </w:p>
    <w:p w:rsidR="001A15D0" w:rsidRPr="001C1ABA" w:rsidRDefault="001A15D0" w:rsidP="008272B1">
      <w:pPr>
        <w:autoSpaceDE w:val="0"/>
        <w:autoSpaceDN w:val="0"/>
        <w:adjustRightInd w:val="0"/>
        <w:snapToGrid w:val="0"/>
        <w:spacing w:after="0" w:line="240" w:lineRule="auto"/>
        <w:jc w:val="both"/>
        <w:rPr>
          <w:rFonts w:ascii="Times New Roman" w:hAnsi="Times New Roman" w:cs="Times New Roman"/>
          <w:b/>
          <w:bCs/>
          <w:sz w:val="20"/>
          <w:szCs w:val="20"/>
        </w:rPr>
      </w:pPr>
      <w:r w:rsidRPr="001C1ABA">
        <w:rPr>
          <w:rFonts w:ascii="Times New Roman" w:hAnsi="Times New Roman" w:cs="Times New Roman"/>
          <w:b/>
          <w:bCs/>
          <w:sz w:val="20"/>
          <w:szCs w:val="20"/>
        </w:rPr>
        <w:t>Acknowledgments:</w:t>
      </w:r>
    </w:p>
    <w:p w:rsidR="001A15D0" w:rsidRPr="001C1ABA" w:rsidRDefault="001A15D0" w:rsidP="008272B1">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1C1ABA">
        <w:rPr>
          <w:rFonts w:ascii="Times New Roman" w:hAnsi="Times New Roman" w:cs="Times New Roman"/>
          <w:sz w:val="20"/>
          <w:szCs w:val="20"/>
        </w:rPr>
        <w:t>We wish to thank the department of pathology of faculty of medicine, Tanta university, for providing us with a large part of the cases from the archive of the department and making our work much easier.</w:t>
      </w:r>
    </w:p>
    <w:p w:rsidR="00AD352E" w:rsidRPr="001C1ABA" w:rsidRDefault="00AD352E" w:rsidP="008272B1">
      <w:pPr>
        <w:adjustRightInd w:val="0"/>
        <w:snapToGrid w:val="0"/>
        <w:spacing w:after="0" w:line="240" w:lineRule="auto"/>
        <w:jc w:val="both"/>
        <w:rPr>
          <w:rFonts w:ascii="Times New Roman" w:hAnsi="Times New Roman" w:cs="Times New Roman"/>
          <w:b/>
          <w:bCs/>
          <w:sz w:val="20"/>
          <w:szCs w:val="20"/>
        </w:rPr>
      </w:pPr>
    </w:p>
    <w:p w:rsidR="00EC0D92" w:rsidRPr="001C1ABA" w:rsidRDefault="00EC0D92" w:rsidP="008272B1">
      <w:pPr>
        <w:adjustRightInd w:val="0"/>
        <w:snapToGrid w:val="0"/>
        <w:spacing w:after="0" w:line="240" w:lineRule="auto"/>
        <w:jc w:val="both"/>
        <w:rPr>
          <w:rFonts w:ascii="Times New Roman" w:hAnsi="Times New Roman" w:cs="Times New Roman"/>
          <w:b/>
          <w:bCs/>
          <w:sz w:val="20"/>
          <w:szCs w:val="20"/>
        </w:rPr>
      </w:pPr>
      <w:r w:rsidRPr="001C1ABA">
        <w:rPr>
          <w:rFonts w:ascii="Times New Roman" w:hAnsi="Times New Roman" w:cs="Times New Roman"/>
          <w:b/>
          <w:bCs/>
          <w:sz w:val="20"/>
          <w:szCs w:val="20"/>
        </w:rPr>
        <w:t>References:</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Style w:val="HTMLCite"/>
          <w:rFonts w:ascii="Times New Roman" w:hAnsi="Times New Roman" w:cs="Times New Roman"/>
          <w:i w:val="0"/>
          <w:iCs w:val="0"/>
          <w:sz w:val="20"/>
          <w:szCs w:val="20"/>
        </w:rPr>
      </w:pPr>
      <w:proofErr w:type="spellStart"/>
      <w:r w:rsidRPr="001C1ABA">
        <w:rPr>
          <w:rStyle w:val="HTMLCite"/>
          <w:rFonts w:ascii="Times New Roman" w:hAnsi="Times New Roman" w:cs="Times New Roman"/>
          <w:i w:val="0"/>
          <w:iCs w:val="0"/>
          <w:sz w:val="20"/>
          <w:szCs w:val="20"/>
        </w:rPr>
        <w:t>Akhtar</w:t>
      </w:r>
      <w:proofErr w:type="spellEnd"/>
      <w:r w:rsidRPr="001C1ABA">
        <w:rPr>
          <w:rStyle w:val="HTMLCite"/>
          <w:rFonts w:ascii="Times New Roman" w:hAnsi="Times New Roman" w:cs="Times New Roman"/>
          <w:i w:val="0"/>
          <w:iCs w:val="0"/>
          <w:sz w:val="20"/>
          <w:szCs w:val="20"/>
        </w:rPr>
        <w:t xml:space="preserve"> K, Gupta V, </w:t>
      </w:r>
      <w:proofErr w:type="spellStart"/>
      <w:r w:rsidRPr="001C1ABA">
        <w:rPr>
          <w:rStyle w:val="HTMLCite"/>
          <w:rFonts w:ascii="Times New Roman" w:hAnsi="Times New Roman" w:cs="Times New Roman"/>
          <w:i w:val="0"/>
          <w:iCs w:val="0"/>
          <w:sz w:val="20"/>
          <w:szCs w:val="20"/>
        </w:rPr>
        <w:t>Koul</w:t>
      </w:r>
      <w:proofErr w:type="spellEnd"/>
      <w:r w:rsidRPr="001C1ABA">
        <w:rPr>
          <w:rStyle w:val="HTMLCite"/>
          <w:rFonts w:ascii="Times New Roman" w:hAnsi="Times New Roman" w:cs="Times New Roman"/>
          <w:i w:val="0"/>
          <w:iCs w:val="0"/>
          <w:sz w:val="20"/>
          <w:szCs w:val="20"/>
        </w:rPr>
        <w:t xml:space="preserve"> A, </w:t>
      </w:r>
      <w:proofErr w:type="spellStart"/>
      <w:r w:rsidRPr="001C1ABA">
        <w:rPr>
          <w:rStyle w:val="HTMLCite"/>
          <w:rFonts w:ascii="Times New Roman" w:hAnsi="Times New Roman" w:cs="Times New Roman"/>
          <w:i w:val="0"/>
          <w:iCs w:val="0"/>
          <w:sz w:val="20"/>
          <w:szCs w:val="20"/>
        </w:rPr>
        <w:t>Alam</w:t>
      </w:r>
      <w:proofErr w:type="spellEnd"/>
      <w:r w:rsidRPr="001C1ABA">
        <w:rPr>
          <w:rStyle w:val="HTMLCite"/>
          <w:rFonts w:ascii="Times New Roman" w:hAnsi="Times New Roman" w:cs="Times New Roman"/>
          <w:i w:val="0"/>
          <w:iCs w:val="0"/>
          <w:sz w:val="20"/>
          <w:szCs w:val="20"/>
        </w:rPr>
        <w:t xml:space="preserve"> N, </w:t>
      </w:r>
      <w:proofErr w:type="spellStart"/>
      <w:r w:rsidRPr="001C1ABA">
        <w:rPr>
          <w:rStyle w:val="HTMLCite"/>
          <w:rFonts w:ascii="Times New Roman" w:hAnsi="Times New Roman" w:cs="Times New Roman"/>
          <w:i w:val="0"/>
          <w:iCs w:val="0"/>
          <w:sz w:val="20"/>
          <w:szCs w:val="20"/>
        </w:rPr>
        <w:t>Bhat</w:t>
      </w:r>
      <w:proofErr w:type="spellEnd"/>
      <w:r w:rsidRPr="001C1ABA">
        <w:rPr>
          <w:rStyle w:val="HTMLCite"/>
          <w:rFonts w:ascii="Times New Roman" w:hAnsi="Times New Roman" w:cs="Times New Roman"/>
          <w:i w:val="0"/>
          <w:iCs w:val="0"/>
          <w:sz w:val="20"/>
          <w:szCs w:val="20"/>
        </w:rPr>
        <w:t xml:space="preserve"> R and </w:t>
      </w:r>
      <w:proofErr w:type="spellStart"/>
      <w:r w:rsidRPr="001C1ABA">
        <w:rPr>
          <w:rStyle w:val="HTMLCite"/>
          <w:rFonts w:ascii="Times New Roman" w:hAnsi="Times New Roman" w:cs="Times New Roman"/>
          <w:i w:val="0"/>
          <w:iCs w:val="0"/>
          <w:sz w:val="20"/>
          <w:szCs w:val="20"/>
        </w:rPr>
        <w:t>Bamezai</w:t>
      </w:r>
      <w:proofErr w:type="spellEnd"/>
      <w:r w:rsidRPr="001C1ABA">
        <w:rPr>
          <w:rStyle w:val="HTMLCite"/>
          <w:rFonts w:ascii="Times New Roman" w:hAnsi="Times New Roman" w:cs="Times New Roman"/>
          <w:i w:val="0"/>
          <w:iCs w:val="0"/>
          <w:sz w:val="20"/>
          <w:szCs w:val="20"/>
        </w:rPr>
        <w:t xml:space="preserve"> RN (2009): </w:t>
      </w:r>
      <w:hyperlink r:id="rId26" w:history="1">
        <w:r w:rsidRPr="001C1ABA">
          <w:rPr>
            <w:rStyle w:val="Hyperlink"/>
            <w:rFonts w:ascii="Times New Roman" w:hAnsi="Times New Roman" w:cs="Times New Roman"/>
            <w:color w:val="auto"/>
            <w:sz w:val="20"/>
            <w:szCs w:val="20"/>
            <w:u w:val="none"/>
          </w:rPr>
          <w:t xml:space="preserve">Differential </w:t>
        </w:r>
        <w:proofErr w:type="spellStart"/>
        <w:r w:rsidRPr="001C1ABA">
          <w:rPr>
            <w:rStyle w:val="Hyperlink"/>
            <w:rFonts w:ascii="Times New Roman" w:hAnsi="Times New Roman" w:cs="Times New Roman"/>
            <w:color w:val="auto"/>
            <w:sz w:val="20"/>
            <w:szCs w:val="20"/>
            <w:u w:val="none"/>
          </w:rPr>
          <w:t>behavior</w:t>
        </w:r>
        <w:proofErr w:type="spellEnd"/>
        <w:r w:rsidRPr="001C1ABA">
          <w:rPr>
            <w:rStyle w:val="Hyperlink"/>
            <w:rFonts w:ascii="Times New Roman" w:hAnsi="Times New Roman" w:cs="Times New Roman"/>
            <w:color w:val="auto"/>
            <w:sz w:val="20"/>
            <w:szCs w:val="20"/>
            <w:u w:val="none"/>
          </w:rPr>
          <w:t xml:space="preserve"> of </w:t>
        </w:r>
        <w:proofErr w:type="spellStart"/>
        <w:r w:rsidRPr="001C1ABA">
          <w:rPr>
            <w:rStyle w:val="Hyperlink"/>
            <w:rFonts w:ascii="Times New Roman" w:hAnsi="Times New Roman" w:cs="Times New Roman"/>
            <w:color w:val="auto"/>
            <w:sz w:val="20"/>
            <w:szCs w:val="20"/>
            <w:u w:val="none"/>
          </w:rPr>
          <w:t>missense</w:t>
        </w:r>
        <w:proofErr w:type="spellEnd"/>
        <w:r w:rsidRPr="001C1ABA">
          <w:rPr>
            <w:rStyle w:val="Hyperlink"/>
            <w:rFonts w:ascii="Times New Roman" w:hAnsi="Times New Roman" w:cs="Times New Roman"/>
            <w:color w:val="auto"/>
            <w:sz w:val="20"/>
            <w:szCs w:val="20"/>
            <w:u w:val="none"/>
          </w:rPr>
          <w:t xml:space="preserve"> mutations in the </w:t>
        </w:r>
        <w:proofErr w:type="spellStart"/>
        <w:r w:rsidRPr="001C1ABA">
          <w:rPr>
            <w:rStyle w:val="Hyperlink"/>
            <w:rFonts w:ascii="Times New Roman" w:hAnsi="Times New Roman" w:cs="Times New Roman"/>
            <w:color w:val="auto"/>
            <w:sz w:val="20"/>
            <w:szCs w:val="20"/>
            <w:u w:val="none"/>
          </w:rPr>
          <w:t>intersubunit</w:t>
        </w:r>
        <w:proofErr w:type="spellEnd"/>
        <w:r w:rsidRPr="001C1ABA">
          <w:rPr>
            <w:rStyle w:val="Hyperlink"/>
            <w:rFonts w:ascii="Times New Roman" w:hAnsi="Times New Roman" w:cs="Times New Roman"/>
            <w:color w:val="auto"/>
            <w:sz w:val="20"/>
            <w:szCs w:val="20"/>
            <w:u w:val="none"/>
          </w:rPr>
          <w:t xml:space="preserve"> contact </w:t>
        </w:r>
        <w:r w:rsidRPr="001C1ABA">
          <w:rPr>
            <w:rStyle w:val="Hyperlink"/>
            <w:rFonts w:ascii="Times New Roman" w:hAnsi="Times New Roman" w:cs="Times New Roman"/>
            <w:color w:val="auto"/>
            <w:sz w:val="20"/>
            <w:szCs w:val="20"/>
            <w:u w:val="none"/>
          </w:rPr>
          <w:lastRenderedPageBreak/>
          <w:t xml:space="preserve">domain of the human </w:t>
        </w:r>
        <w:proofErr w:type="spellStart"/>
        <w:r w:rsidRPr="001C1ABA">
          <w:rPr>
            <w:rStyle w:val="Hyperlink"/>
            <w:rFonts w:ascii="Times New Roman" w:hAnsi="Times New Roman" w:cs="Times New Roman"/>
            <w:color w:val="auto"/>
            <w:sz w:val="20"/>
            <w:szCs w:val="20"/>
            <w:u w:val="none"/>
          </w:rPr>
          <w:t>pyruvate</w:t>
        </w:r>
        <w:proofErr w:type="spellEnd"/>
        <w:r w:rsidRPr="001C1ABA">
          <w:rPr>
            <w:rStyle w:val="Hyperlink"/>
            <w:rFonts w:ascii="Times New Roman" w:hAnsi="Times New Roman" w:cs="Times New Roman"/>
            <w:color w:val="auto"/>
            <w:sz w:val="20"/>
            <w:szCs w:val="20"/>
            <w:u w:val="none"/>
          </w:rPr>
          <w:t xml:space="preserve"> </w:t>
        </w:r>
        <w:proofErr w:type="spellStart"/>
        <w:r w:rsidRPr="001C1ABA">
          <w:rPr>
            <w:rStyle w:val="Hyperlink"/>
            <w:rFonts w:ascii="Times New Roman" w:hAnsi="Times New Roman" w:cs="Times New Roman"/>
            <w:color w:val="auto"/>
            <w:sz w:val="20"/>
            <w:szCs w:val="20"/>
            <w:u w:val="none"/>
          </w:rPr>
          <w:t>kinase</w:t>
        </w:r>
        <w:proofErr w:type="spellEnd"/>
        <w:r w:rsidRPr="001C1ABA">
          <w:rPr>
            <w:rStyle w:val="Hyperlink"/>
            <w:rFonts w:ascii="Times New Roman" w:hAnsi="Times New Roman" w:cs="Times New Roman"/>
            <w:color w:val="auto"/>
            <w:sz w:val="20"/>
            <w:szCs w:val="20"/>
            <w:u w:val="none"/>
          </w:rPr>
          <w:t xml:space="preserve"> M2 </w:t>
        </w:r>
        <w:proofErr w:type="spellStart"/>
        <w:r w:rsidRPr="001C1ABA">
          <w:rPr>
            <w:rStyle w:val="Hyperlink"/>
            <w:rFonts w:ascii="Times New Roman" w:hAnsi="Times New Roman" w:cs="Times New Roman"/>
            <w:color w:val="auto"/>
            <w:sz w:val="20"/>
            <w:szCs w:val="20"/>
            <w:u w:val="none"/>
          </w:rPr>
          <w:t>isozyme</w:t>
        </w:r>
        <w:proofErr w:type="spellEnd"/>
      </w:hyperlink>
      <w:r w:rsidRPr="001C1ABA">
        <w:rPr>
          <w:rStyle w:val="HTMLCite"/>
          <w:rFonts w:ascii="Times New Roman" w:hAnsi="Times New Roman" w:cs="Times New Roman"/>
          <w:sz w:val="20"/>
          <w:szCs w:val="20"/>
        </w:rPr>
        <w:t>.</w:t>
      </w:r>
      <w:r w:rsidR="00DB096E">
        <w:rPr>
          <w:rStyle w:val="HTMLCite"/>
          <w:rFonts w:ascii="Times New Roman" w:hAnsi="Times New Roman" w:cs="Times New Roman" w:hint="eastAsia"/>
          <w:sz w:val="20"/>
          <w:szCs w:val="20"/>
          <w:lang w:eastAsia="zh-CN"/>
        </w:rPr>
        <w:t xml:space="preserve"> </w:t>
      </w:r>
      <w:r w:rsidRPr="001C1ABA">
        <w:rPr>
          <w:rStyle w:val="HTMLCite"/>
          <w:rFonts w:ascii="Times New Roman" w:hAnsi="Times New Roman" w:cs="Times New Roman"/>
          <w:sz w:val="20"/>
          <w:szCs w:val="20"/>
        </w:rPr>
        <w:t xml:space="preserve">J </w:t>
      </w:r>
      <w:proofErr w:type="spellStart"/>
      <w:r w:rsidRPr="001C1ABA">
        <w:rPr>
          <w:rStyle w:val="HTMLCite"/>
          <w:rFonts w:ascii="Times New Roman" w:hAnsi="Times New Roman" w:cs="Times New Roman"/>
          <w:sz w:val="20"/>
          <w:szCs w:val="20"/>
        </w:rPr>
        <w:t>Biol</w:t>
      </w:r>
      <w:proofErr w:type="spellEnd"/>
      <w:r w:rsidRPr="001C1ABA">
        <w:rPr>
          <w:rStyle w:val="HTMLCite"/>
          <w:rFonts w:ascii="Times New Roman" w:hAnsi="Times New Roman" w:cs="Times New Roman"/>
          <w:sz w:val="20"/>
          <w:szCs w:val="20"/>
        </w:rPr>
        <w:t xml:space="preserve"> Chem</w:t>
      </w:r>
      <w:r w:rsidRPr="001C1ABA">
        <w:rPr>
          <w:rStyle w:val="HTMLCite"/>
          <w:rFonts w:ascii="Times New Roman" w:hAnsi="Times New Roman" w:cs="Times New Roman"/>
          <w:i w:val="0"/>
          <w:iCs w:val="0"/>
          <w:sz w:val="20"/>
          <w:szCs w:val="20"/>
        </w:rPr>
        <w:t xml:space="preserve">. </w:t>
      </w:r>
      <w:r w:rsidRPr="001C1ABA">
        <w:rPr>
          <w:rStyle w:val="HTMLCite"/>
          <w:rFonts w:ascii="Times New Roman" w:hAnsi="Times New Roman" w:cs="Times New Roman"/>
          <w:bCs/>
          <w:i w:val="0"/>
          <w:iCs w:val="0"/>
          <w:sz w:val="20"/>
          <w:szCs w:val="20"/>
        </w:rPr>
        <w:t>284</w:t>
      </w:r>
      <w:r w:rsidRPr="001C1ABA">
        <w:rPr>
          <w:rStyle w:val="HTMLCite"/>
          <w:rFonts w:ascii="Times New Roman" w:hAnsi="Times New Roman" w:cs="Times New Roman"/>
          <w:i w:val="0"/>
          <w:iCs w:val="0"/>
          <w:sz w:val="20"/>
          <w:szCs w:val="20"/>
        </w:rPr>
        <w:t>, 11971–81.</w:t>
      </w:r>
    </w:p>
    <w:p w:rsidR="00444D26" w:rsidRPr="001C1ABA" w:rsidRDefault="007D29AE" w:rsidP="008272B1">
      <w:pPr>
        <w:pStyle w:val="ListParagraph"/>
        <w:numPr>
          <w:ilvl w:val="0"/>
          <w:numId w:val="2"/>
        </w:numPr>
        <w:tabs>
          <w:tab w:val="left" w:pos="142"/>
        </w:tabs>
        <w:autoSpaceDE w:val="0"/>
        <w:autoSpaceDN w:val="0"/>
        <w:adjustRightInd w:val="0"/>
        <w:snapToGrid w:val="0"/>
        <w:spacing w:after="0" w:line="240" w:lineRule="auto"/>
        <w:contextualSpacing w:val="0"/>
        <w:jc w:val="both"/>
        <w:rPr>
          <w:rFonts w:ascii="Times New Roman" w:hAnsi="Times New Roman" w:cs="Times New Roman"/>
          <w:sz w:val="20"/>
          <w:szCs w:val="20"/>
          <w:lang w:val="fr-FR"/>
        </w:rPr>
      </w:pPr>
      <w:r w:rsidRPr="001C1ABA">
        <w:rPr>
          <w:rFonts w:ascii="Times New Roman" w:hAnsi="Times New Roman" w:cs="Times New Roman"/>
          <w:sz w:val="20"/>
          <w:szCs w:val="20"/>
        </w:rPr>
        <w:t xml:space="preserve">Chan SW, Lim CJ, </w:t>
      </w:r>
      <w:proofErr w:type="spellStart"/>
      <w:r w:rsidRPr="001C1ABA">
        <w:rPr>
          <w:rFonts w:ascii="Times New Roman" w:hAnsi="Times New Roman" w:cs="Times New Roman"/>
          <w:sz w:val="20"/>
          <w:szCs w:val="20"/>
        </w:rPr>
        <w:t>Guo</w:t>
      </w:r>
      <w:proofErr w:type="spellEnd"/>
      <w:r w:rsidRPr="001C1ABA">
        <w:rPr>
          <w:rFonts w:ascii="Times New Roman" w:hAnsi="Times New Roman" w:cs="Times New Roman"/>
          <w:sz w:val="20"/>
          <w:szCs w:val="20"/>
        </w:rPr>
        <w:t xml:space="preserve"> K et al. (2008): A Role for TAZ in Migration, Invasion, and </w:t>
      </w:r>
      <w:proofErr w:type="spellStart"/>
      <w:r w:rsidRPr="001C1ABA">
        <w:rPr>
          <w:rFonts w:ascii="Times New Roman" w:hAnsi="Times New Roman" w:cs="Times New Roman"/>
          <w:sz w:val="20"/>
          <w:szCs w:val="20"/>
        </w:rPr>
        <w:t>Tumorigenesis</w:t>
      </w:r>
      <w:proofErr w:type="spellEnd"/>
      <w:r w:rsidRPr="001C1ABA">
        <w:rPr>
          <w:rFonts w:ascii="Times New Roman" w:hAnsi="Times New Roman" w:cs="Times New Roman"/>
          <w:sz w:val="20"/>
          <w:szCs w:val="20"/>
        </w:rPr>
        <w:t xml:space="preserve"> of Breast Cancer Cells. </w:t>
      </w:r>
      <w:r w:rsidRPr="001C1ABA">
        <w:rPr>
          <w:rFonts w:ascii="Times New Roman" w:hAnsi="Times New Roman" w:cs="Times New Roman"/>
          <w:i/>
          <w:iCs/>
          <w:sz w:val="20"/>
          <w:szCs w:val="20"/>
          <w:lang w:val="fr-FR"/>
        </w:rPr>
        <w:t xml:space="preserve">Cancer </w:t>
      </w:r>
      <w:proofErr w:type="spellStart"/>
      <w:r w:rsidRPr="001C1ABA">
        <w:rPr>
          <w:rFonts w:ascii="Times New Roman" w:hAnsi="Times New Roman" w:cs="Times New Roman"/>
          <w:i/>
          <w:iCs/>
          <w:sz w:val="20"/>
          <w:szCs w:val="20"/>
          <w:lang w:val="fr-FR"/>
        </w:rPr>
        <w:t>Res</w:t>
      </w:r>
      <w:proofErr w:type="spellEnd"/>
      <w:r w:rsidRPr="001C1ABA">
        <w:rPr>
          <w:rFonts w:ascii="Times New Roman" w:hAnsi="Times New Roman" w:cs="Times New Roman"/>
          <w:sz w:val="20"/>
          <w:szCs w:val="20"/>
          <w:lang w:val="fr-FR"/>
        </w:rPr>
        <w:t xml:space="preserve">, </w:t>
      </w:r>
      <w:r w:rsidRPr="001C1ABA">
        <w:rPr>
          <w:rFonts w:ascii="Times New Roman" w:hAnsi="Times New Roman" w:cs="Times New Roman"/>
          <w:bCs/>
          <w:sz w:val="20"/>
          <w:szCs w:val="20"/>
          <w:lang w:val="fr-FR"/>
        </w:rPr>
        <w:t>68</w:t>
      </w:r>
      <w:r w:rsidRPr="001C1ABA">
        <w:rPr>
          <w:rFonts w:ascii="Times New Roman" w:hAnsi="Times New Roman" w:cs="Times New Roman"/>
          <w:sz w:val="20"/>
          <w:szCs w:val="20"/>
          <w:lang w:val="fr-FR"/>
        </w:rPr>
        <w:t>, 2592–8.</w:t>
      </w:r>
    </w:p>
    <w:p w:rsidR="007D29AE" w:rsidRPr="001C1ABA" w:rsidRDefault="007D29AE" w:rsidP="008272B1">
      <w:pPr>
        <w:pStyle w:val="ListParagraph"/>
        <w:numPr>
          <w:ilvl w:val="0"/>
          <w:numId w:val="2"/>
        </w:numPr>
        <w:tabs>
          <w:tab w:val="left" w:pos="142"/>
        </w:tabs>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lang w:val="fr-FR"/>
        </w:rPr>
        <w:t xml:space="preserve">Chen J, Jiang Z, Wang B et al. </w:t>
      </w:r>
      <w:r w:rsidRPr="001C1ABA">
        <w:rPr>
          <w:rFonts w:ascii="Times New Roman" w:hAnsi="Times New Roman" w:cs="Times New Roman"/>
          <w:sz w:val="20"/>
          <w:szCs w:val="20"/>
        </w:rPr>
        <w:t xml:space="preserve">(2012): Vitamin </w:t>
      </w:r>
      <w:proofErr w:type="gramStart"/>
      <w:r w:rsidRPr="001C1ABA">
        <w:rPr>
          <w:rFonts w:ascii="Times New Roman" w:hAnsi="Times New Roman" w:cs="Times New Roman"/>
          <w:sz w:val="20"/>
          <w:szCs w:val="20"/>
        </w:rPr>
        <w:t>K(</w:t>
      </w:r>
      <w:proofErr w:type="gramEnd"/>
      <w:r w:rsidRPr="001C1ABA">
        <w:rPr>
          <w:rFonts w:ascii="Times New Roman" w:hAnsi="Times New Roman" w:cs="Times New Roman"/>
          <w:sz w:val="20"/>
          <w:szCs w:val="20"/>
        </w:rPr>
        <w:t xml:space="preserve">3) and K(5) are inhibitors of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M2. </w:t>
      </w:r>
      <w:r w:rsidRPr="001C1ABA">
        <w:rPr>
          <w:rFonts w:ascii="Times New Roman" w:hAnsi="Times New Roman" w:cs="Times New Roman"/>
          <w:i/>
          <w:iCs/>
          <w:sz w:val="20"/>
          <w:szCs w:val="20"/>
        </w:rPr>
        <w:t>Cancer Letters</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316</w:t>
      </w:r>
      <w:r w:rsidRPr="001C1ABA">
        <w:rPr>
          <w:rFonts w:ascii="Times New Roman" w:hAnsi="Times New Roman" w:cs="Times New Roman"/>
          <w:sz w:val="20"/>
          <w:szCs w:val="20"/>
        </w:rPr>
        <w:t>, 204–10.</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rPr>
        <w:t xml:space="preserve">Chen J, </w:t>
      </w:r>
      <w:proofErr w:type="spellStart"/>
      <w:r w:rsidRPr="001C1ABA">
        <w:rPr>
          <w:rFonts w:ascii="Times New Roman" w:hAnsi="Times New Roman" w:cs="Times New Roman"/>
          <w:sz w:val="20"/>
          <w:szCs w:val="20"/>
        </w:rPr>
        <w:t>Xie</w:t>
      </w:r>
      <w:proofErr w:type="spellEnd"/>
      <w:r w:rsidRPr="001C1ABA">
        <w:rPr>
          <w:rFonts w:ascii="Times New Roman" w:hAnsi="Times New Roman" w:cs="Times New Roman"/>
          <w:sz w:val="20"/>
          <w:szCs w:val="20"/>
        </w:rPr>
        <w:t xml:space="preserve"> J, Jiang Z, Wang B, Wang Y and </w:t>
      </w:r>
      <w:proofErr w:type="spellStart"/>
      <w:r w:rsidRPr="001C1ABA">
        <w:rPr>
          <w:rFonts w:ascii="Times New Roman" w:hAnsi="Times New Roman" w:cs="Times New Roman"/>
          <w:sz w:val="20"/>
          <w:szCs w:val="20"/>
        </w:rPr>
        <w:t>Hu</w:t>
      </w:r>
      <w:proofErr w:type="spellEnd"/>
      <w:r w:rsidRPr="001C1ABA">
        <w:rPr>
          <w:rFonts w:ascii="Times New Roman" w:hAnsi="Times New Roman" w:cs="Times New Roman"/>
          <w:sz w:val="20"/>
          <w:szCs w:val="20"/>
        </w:rPr>
        <w:t xml:space="preserve"> X (2012): </w:t>
      </w:r>
      <w:proofErr w:type="spellStart"/>
      <w:r w:rsidRPr="001C1ABA">
        <w:rPr>
          <w:rFonts w:ascii="Times New Roman" w:hAnsi="Times New Roman" w:cs="Times New Roman"/>
          <w:sz w:val="20"/>
          <w:szCs w:val="20"/>
        </w:rPr>
        <w:t>Shikonin</w:t>
      </w:r>
      <w:proofErr w:type="spellEnd"/>
      <w:r w:rsidRPr="001C1ABA">
        <w:rPr>
          <w:rFonts w:ascii="Times New Roman" w:hAnsi="Times New Roman" w:cs="Times New Roman"/>
          <w:sz w:val="20"/>
          <w:szCs w:val="20"/>
        </w:rPr>
        <w:t xml:space="preserve"> and its </w:t>
      </w:r>
      <w:proofErr w:type="spellStart"/>
      <w:r w:rsidRPr="001C1ABA">
        <w:rPr>
          <w:rFonts w:ascii="Times New Roman" w:hAnsi="Times New Roman" w:cs="Times New Roman"/>
          <w:sz w:val="20"/>
          <w:szCs w:val="20"/>
        </w:rPr>
        <w:t>analogs</w:t>
      </w:r>
      <w:proofErr w:type="spellEnd"/>
      <w:r w:rsidRPr="001C1ABA">
        <w:rPr>
          <w:rFonts w:ascii="Times New Roman" w:hAnsi="Times New Roman" w:cs="Times New Roman"/>
          <w:sz w:val="20"/>
          <w:szCs w:val="20"/>
        </w:rPr>
        <w:t xml:space="preserve"> inhibit cancer cell </w:t>
      </w:r>
      <w:proofErr w:type="spellStart"/>
      <w:r w:rsidRPr="001C1ABA">
        <w:rPr>
          <w:rFonts w:ascii="Times New Roman" w:hAnsi="Times New Roman" w:cs="Times New Roman"/>
          <w:sz w:val="20"/>
          <w:szCs w:val="20"/>
        </w:rPr>
        <w:t>glycolysis</w:t>
      </w:r>
      <w:proofErr w:type="spellEnd"/>
      <w:r w:rsidRPr="001C1ABA">
        <w:rPr>
          <w:rFonts w:ascii="Times New Roman" w:hAnsi="Times New Roman" w:cs="Times New Roman"/>
          <w:sz w:val="20"/>
          <w:szCs w:val="20"/>
        </w:rPr>
        <w:t xml:space="preserve"> by targeting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kinase-M2. </w:t>
      </w:r>
      <w:proofErr w:type="spellStart"/>
      <w:r w:rsidRPr="001C1ABA">
        <w:rPr>
          <w:rFonts w:ascii="Times New Roman" w:hAnsi="Times New Roman" w:cs="Times New Roman"/>
          <w:i/>
          <w:iCs/>
          <w:sz w:val="20"/>
          <w:szCs w:val="20"/>
        </w:rPr>
        <w:t>Oncogene</w:t>
      </w:r>
      <w:proofErr w:type="spellEnd"/>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30</w:t>
      </w:r>
      <w:r w:rsidRPr="001C1ABA">
        <w:rPr>
          <w:rFonts w:ascii="Times New Roman" w:hAnsi="Times New Roman" w:cs="Times New Roman"/>
          <w:sz w:val="20"/>
          <w:szCs w:val="20"/>
        </w:rPr>
        <w:t>, 4297–306.</w:t>
      </w:r>
    </w:p>
    <w:p w:rsidR="007D29AE" w:rsidRPr="001C1ABA" w:rsidRDefault="007D29AE" w:rsidP="008272B1">
      <w:pPr>
        <w:pStyle w:val="ListParagraph"/>
        <w:numPr>
          <w:ilvl w:val="0"/>
          <w:numId w:val="2"/>
        </w:numPr>
        <w:tabs>
          <w:tab w:val="left" w:pos="142"/>
        </w:tabs>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rPr>
        <w:t xml:space="preserve">Cho JY, Lim JY, Cheong JH et al. (2011): Gene expression signature- based prognostic risk score in gastric cancer. </w:t>
      </w:r>
      <w:r w:rsidRPr="001C1ABA">
        <w:rPr>
          <w:rFonts w:ascii="Times New Roman" w:hAnsi="Times New Roman" w:cs="Times New Roman"/>
          <w:i/>
          <w:iCs/>
          <w:sz w:val="20"/>
          <w:szCs w:val="20"/>
        </w:rPr>
        <w:t>Clinical Cancer Research</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17</w:t>
      </w:r>
      <w:r w:rsidRPr="001C1ABA">
        <w:rPr>
          <w:rFonts w:ascii="Times New Roman" w:hAnsi="Times New Roman" w:cs="Times New Roman"/>
          <w:sz w:val="20"/>
          <w:szCs w:val="20"/>
        </w:rPr>
        <w:t>, 1850–7.</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proofErr w:type="spellStart"/>
      <w:r w:rsidRPr="001C1ABA">
        <w:rPr>
          <w:rFonts w:ascii="Times New Roman" w:hAnsi="Times New Roman" w:cs="Times New Roman"/>
          <w:sz w:val="20"/>
          <w:szCs w:val="20"/>
        </w:rPr>
        <w:t>Christofk</w:t>
      </w:r>
      <w:proofErr w:type="spellEnd"/>
      <w:r w:rsidRPr="001C1ABA">
        <w:rPr>
          <w:rFonts w:ascii="Times New Roman" w:hAnsi="Times New Roman" w:cs="Times New Roman"/>
          <w:sz w:val="20"/>
          <w:szCs w:val="20"/>
        </w:rPr>
        <w:t xml:space="preserve"> HR, Vander </w:t>
      </w:r>
      <w:proofErr w:type="spellStart"/>
      <w:r w:rsidRPr="001C1ABA">
        <w:rPr>
          <w:rFonts w:ascii="Times New Roman" w:hAnsi="Times New Roman" w:cs="Times New Roman"/>
          <w:sz w:val="20"/>
          <w:szCs w:val="20"/>
        </w:rPr>
        <w:t>Heiden</w:t>
      </w:r>
      <w:proofErr w:type="spellEnd"/>
      <w:r w:rsidRPr="001C1ABA">
        <w:rPr>
          <w:rFonts w:ascii="Times New Roman" w:hAnsi="Times New Roman" w:cs="Times New Roman"/>
          <w:sz w:val="20"/>
          <w:szCs w:val="20"/>
        </w:rPr>
        <w:t xml:space="preserve"> MG, Harris MH et al. (2008): The M2 splice </w:t>
      </w:r>
      <w:proofErr w:type="spellStart"/>
      <w:r w:rsidRPr="001C1ABA">
        <w:rPr>
          <w:rFonts w:ascii="Times New Roman" w:hAnsi="Times New Roman" w:cs="Times New Roman"/>
          <w:sz w:val="20"/>
          <w:szCs w:val="20"/>
        </w:rPr>
        <w:t>isoform</w:t>
      </w:r>
      <w:proofErr w:type="spellEnd"/>
      <w:r w:rsidRPr="001C1ABA">
        <w:rPr>
          <w:rFonts w:ascii="Times New Roman" w:hAnsi="Times New Roman" w:cs="Times New Roman"/>
          <w:sz w:val="20"/>
          <w:szCs w:val="20"/>
        </w:rPr>
        <w:t xml:space="preserve"> of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is important for cancer metabolism and tumour growth. </w:t>
      </w:r>
      <w:r w:rsidRPr="001C1ABA">
        <w:rPr>
          <w:rFonts w:ascii="Times New Roman" w:hAnsi="Times New Roman" w:cs="Times New Roman"/>
          <w:i/>
          <w:iCs/>
          <w:sz w:val="20"/>
          <w:szCs w:val="20"/>
        </w:rPr>
        <w:t>Nature</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452</w:t>
      </w:r>
      <w:r w:rsidRPr="001C1ABA">
        <w:rPr>
          <w:rFonts w:ascii="Times New Roman" w:hAnsi="Times New Roman" w:cs="Times New Roman"/>
          <w:sz w:val="20"/>
          <w:szCs w:val="20"/>
        </w:rPr>
        <w:t>, 230-3.</w:t>
      </w:r>
    </w:p>
    <w:p w:rsidR="007D29AE" w:rsidRPr="001C1ABA" w:rsidRDefault="007D29AE" w:rsidP="008272B1">
      <w:pPr>
        <w:pStyle w:val="ListParagraph"/>
        <w:numPr>
          <w:ilvl w:val="0"/>
          <w:numId w:val="2"/>
        </w:numPr>
        <w:tabs>
          <w:tab w:val="left" w:pos="142"/>
          <w:tab w:val="left" w:pos="284"/>
        </w:tabs>
        <w:adjustRightInd w:val="0"/>
        <w:snapToGrid w:val="0"/>
        <w:spacing w:after="0" w:line="240" w:lineRule="auto"/>
        <w:contextualSpacing w:val="0"/>
        <w:jc w:val="both"/>
        <w:rPr>
          <w:rFonts w:ascii="Times New Roman" w:hAnsi="Times New Roman" w:cs="Times New Roman"/>
          <w:sz w:val="20"/>
          <w:szCs w:val="20"/>
        </w:rPr>
      </w:pPr>
      <w:proofErr w:type="spellStart"/>
      <w:r w:rsidRPr="001C1ABA">
        <w:rPr>
          <w:rFonts w:ascii="Times New Roman" w:hAnsi="Times New Roman" w:cs="Times New Roman"/>
          <w:sz w:val="20"/>
          <w:szCs w:val="20"/>
        </w:rPr>
        <w:t>Clower</w:t>
      </w:r>
      <w:proofErr w:type="spellEnd"/>
      <w:r w:rsidRPr="001C1ABA">
        <w:rPr>
          <w:rFonts w:ascii="Times New Roman" w:hAnsi="Times New Roman" w:cs="Times New Roman"/>
          <w:sz w:val="20"/>
          <w:szCs w:val="20"/>
        </w:rPr>
        <w:t xml:space="preserve"> CV, </w:t>
      </w:r>
      <w:proofErr w:type="spellStart"/>
      <w:r w:rsidRPr="001C1ABA">
        <w:rPr>
          <w:rFonts w:ascii="Times New Roman" w:hAnsi="Times New Roman" w:cs="Times New Roman"/>
          <w:sz w:val="20"/>
          <w:szCs w:val="20"/>
        </w:rPr>
        <w:t>Chatterjee</w:t>
      </w:r>
      <w:proofErr w:type="spellEnd"/>
      <w:r w:rsidRPr="001C1ABA">
        <w:rPr>
          <w:rFonts w:ascii="Times New Roman" w:hAnsi="Times New Roman" w:cs="Times New Roman"/>
          <w:sz w:val="20"/>
          <w:szCs w:val="20"/>
        </w:rPr>
        <w:t xml:space="preserve"> D, Wang Z et al.</w:t>
      </w:r>
      <w:r w:rsidR="00DB096E">
        <w:rPr>
          <w:rFonts w:ascii="Times New Roman" w:hAnsi="Times New Roman" w:cs="Times New Roman"/>
          <w:sz w:val="20"/>
          <w:szCs w:val="20"/>
        </w:rPr>
        <w:t xml:space="preserve"> </w:t>
      </w:r>
      <w:r w:rsidRPr="001C1ABA">
        <w:rPr>
          <w:rFonts w:ascii="Times New Roman" w:hAnsi="Times New Roman" w:cs="Times New Roman"/>
          <w:sz w:val="20"/>
          <w:szCs w:val="20"/>
        </w:rPr>
        <w:t xml:space="preserve">(2010): The alternative splicing repressors </w:t>
      </w:r>
      <w:proofErr w:type="spellStart"/>
      <w:r w:rsidRPr="001C1ABA">
        <w:rPr>
          <w:rFonts w:ascii="Times New Roman" w:hAnsi="Times New Roman" w:cs="Times New Roman"/>
          <w:sz w:val="20"/>
          <w:szCs w:val="20"/>
        </w:rPr>
        <w:t>hnRNP</w:t>
      </w:r>
      <w:proofErr w:type="spellEnd"/>
      <w:r w:rsidRPr="001C1ABA">
        <w:rPr>
          <w:rFonts w:ascii="Times New Roman" w:hAnsi="Times New Roman" w:cs="Times New Roman"/>
          <w:sz w:val="20"/>
          <w:szCs w:val="20"/>
        </w:rPr>
        <w:t xml:space="preserve"> A1/A2 and PTB influence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isoform</w:t>
      </w:r>
      <w:proofErr w:type="spellEnd"/>
      <w:r w:rsidRPr="001C1ABA">
        <w:rPr>
          <w:rFonts w:ascii="Times New Roman" w:hAnsi="Times New Roman" w:cs="Times New Roman"/>
          <w:sz w:val="20"/>
          <w:szCs w:val="20"/>
        </w:rPr>
        <w:t xml:space="preserve"> expression and cell metabolism. </w:t>
      </w:r>
      <w:r w:rsidRPr="001C1ABA">
        <w:rPr>
          <w:rFonts w:ascii="Times New Roman" w:hAnsi="Times New Roman" w:cs="Times New Roman"/>
          <w:i/>
          <w:iCs/>
          <w:sz w:val="20"/>
          <w:szCs w:val="20"/>
        </w:rPr>
        <w:t>Proceedings of the National Academy of Sciences of the United States of America,</w:t>
      </w:r>
      <w:r w:rsidR="00DB096E">
        <w:rPr>
          <w:rFonts w:ascii="Times New Roman" w:hAnsi="Times New Roman" w:cs="Times New Roman" w:hint="eastAsia"/>
          <w:i/>
          <w:iCs/>
          <w:sz w:val="20"/>
          <w:szCs w:val="20"/>
          <w:lang w:eastAsia="zh-CN"/>
        </w:rPr>
        <w:t xml:space="preserve"> </w:t>
      </w:r>
      <w:r w:rsidRPr="001C1ABA">
        <w:rPr>
          <w:rFonts w:ascii="Times New Roman" w:hAnsi="Times New Roman" w:cs="Times New Roman"/>
          <w:bCs/>
          <w:sz w:val="20"/>
          <w:szCs w:val="20"/>
        </w:rPr>
        <w:t>107</w:t>
      </w:r>
      <w:r w:rsidRPr="001C1ABA">
        <w:rPr>
          <w:rFonts w:ascii="Times New Roman" w:hAnsi="Times New Roman" w:cs="Times New Roman"/>
          <w:sz w:val="20"/>
          <w:szCs w:val="20"/>
        </w:rPr>
        <w:t>, 1894–99.</w:t>
      </w:r>
    </w:p>
    <w:p w:rsidR="007D29AE" w:rsidRPr="001C1ABA" w:rsidRDefault="007D29AE" w:rsidP="008272B1">
      <w:pPr>
        <w:pStyle w:val="ListParagraph"/>
        <w:numPr>
          <w:ilvl w:val="0"/>
          <w:numId w:val="2"/>
        </w:numPr>
        <w:tabs>
          <w:tab w:val="left" w:pos="142"/>
          <w:tab w:val="left" w:pos="284"/>
        </w:tabs>
        <w:adjustRightInd w:val="0"/>
        <w:snapToGrid w:val="0"/>
        <w:spacing w:after="0" w:line="240" w:lineRule="auto"/>
        <w:contextualSpacing w:val="0"/>
        <w:jc w:val="both"/>
        <w:rPr>
          <w:rFonts w:ascii="Times New Roman" w:hAnsi="Times New Roman" w:cs="Times New Roman"/>
          <w:sz w:val="20"/>
          <w:szCs w:val="20"/>
          <w:lang w:val="fr-FR"/>
        </w:rPr>
      </w:pPr>
      <w:r w:rsidRPr="001C1ABA">
        <w:rPr>
          <w:rFonts w:ascii="Times New Roman" w:hAnsi="Times New Roman" w:cs="Times New Roman"/>
          <w:sz w:val="20"/>
          <w:szCs w:val="20"/>
          <w:lang w:val="fr-FR"/>
        </w:rPr>
        <w:t xml:space="preserve">David CJ, Chen M, </w:t>
      </w:r>
      <w:proofErr w:type="spellStart"/>
      <w:r w:rsidRPr="001C1ABA">
        <w:rPr>
          <w:rFonts w:ascii="Times New Roman" w:hAnsi="Times New Roman" w:cs="Times New Roman"/>
          <w:sz w:val="20"/>
          <w:szCs w:val="20"/>
          <w:lang w:val="fr-FR"/>
        </w:rPr>
        <w:t>Assanah</w:t>
      </w:r>
      <w:proofErr w:type="spellEnd"/>
      <w:r w:rsidRPr="001C1ABA">
        <w:rPr>
          <w:rFonts w:ascii="Times New Roman" w:hAnsi="Times New Roman" w:cs="Times New Roman"/>
          <w:sz w:val="20"/>
          <w:szCs w:val="20"/>
          <w:lang w:val="fr-FR"/>
        </w:rPr>
        <w:t xml:space="preserve"> M et al. </w:t>
      </w:r>
      <w:r w:rsidRPr="001C1ABA">
        <w:rPr>
          <w:rFonts w:ascii="Times New Roman" w:hAnsi="Times New Roman" w:cs="Times New Roman"/>
          <w:sz w:val="20"/>
          <w:szCs w:val="20"/>
        </w:rPr>
        <w:t xml:space="preserve">(2010): </w:t>
      </w:r>
      <w:proofErr w:type="spellStart"/>
      <w:r w:rsidRPr="001C1ABA">
        <w:rPr>
          <w:rFonts w:ascii="Times New Roman" w:hAnsi="Times New Roman" w:cs="Times New Roman"/>
          <w:sz w:val="20"/>
          <w:szCs w:val="20"/>
        </w:rPr>
        <w:t>HnRNP</w:t>
      </w:r>
      <w:proofErr w:type="spellEnd"/>
      <w:r w:rsidRPr="001C1ABA">
        <w:rPr>
          <w:rFonts w:ascii="Times New Roman" w:hAnsi="Times New Roman" w:cs="Times New Roman"/>
          <w:sz w:val="20"/>
          <w:szCs w:val="20"/>
        </w:rPr>
        <w:t xml:space="preserve"> proteins controlled by c-</w:t>
      </w:r>
      <w:proofErr w:type="spellStart"/>
      <w:r w:rsidRPr="001C1ABA">
        <w:rPr>
          <w:rFonts w:ascii="Times New Roman" w:hAnsi="Times New Roman" w:cs="Times New Roman"/>
          <w:sz w:val="20"/>
          <w:szCs w:val="20"/>
        </w:rPr>
        <w:t>Myc</w:t>
      </w:r>
      <w:proofErr w:type="spellEnd"/>
      <w:r w:rsidRPr="001C1ABA">
        <w:rPr>
          <w:rFonts w:ascii="Times New Roman" w:hAnsi="Times New Roman" w:cs="Times New Roman"/>
          <w:sz w:val="20"/>
          <w:szCs w:val="20"/>
        </w:rPr>
        <w:t xml:space="preserve"> deregulate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mRNA splicing in cancer. </w:t>
      </w:r>
      <w:r w:rsidRPr="001C1ABA">
        <w:rPr>
          <w:rFonts w:ascii="Times New Roman" w:hAnsi="Times New Roman" w:cs="Times New Roman"/>
          <w:i/>
          <w:iCs/>
          <w:sz w:val="20"/>
          <w:szCs w:val="20"/>
          <w:lang w:val="fr-FR"/>
        </w:rPr>
        <w:t>Nature</w:t>
      </w:r>
      <w:r w:rsidRPr="001C1ABA">
        <w:rPr>
          <w:rFonts w:ascii="Times New Roman" w:hAnsi="Times New Roman" w:cs="Times New Roman"/>
          <w:sz w:val="20"/>
          <w:szCs w:val="20"/>
          <w:lang w:val="fr-FR"/>
        </w:rPr>
        <w:t xml:space="preserve">, </w:t>
      </w:r>
      <w:r w:rsidRPr="001C1ABA">
        <w:rPr>
          <w:rFonts w:ascii="Times New Roman" w:hAnsi="Times New Roman" w:cs="Times New Roman"/>
          <w:bCs/>
          <w:sz w:val="20"/>
          <w:szCs w:val="20"/>
          <w:lang w:val="fr-FR"/>
        </w:rPr>
        <w:t>463</w:t>
      </w:r>
      <w:r w:rsidRPr="001C1ABA">
        <w:rPr>
          <w:rFonts w:ascii="Times New Roman" w:hAnsi="Times New Roman" w:cs="Times New Roman"/>
          <w:sz w:val="20"/>
          <w:szCs w:val="20"/>
          <w:lang w:val="fr-FR"/>
        </w:rPr>
        <w:t>, 364–8.</w:t>
      </w:r>
    </w:p>
    <w:p w:rsidR="007D29AE" w:rsidRPr="001C1ABA" w:rsidRDefault="007D29AE" w:rsidP="008272B1">
      <w:pPr>
        <w:pStyle w:val="ListParagraph"/>
        <w:numPr>
          <w:ilvl w:val="0"/>
          <w:numId w:val="2"/>
        </w:numPr>
        <w:tabs>
          <w:tab w:val="left" w:pos="142"/>
        </w:tabs>
        <w:autoSpaceDE w:val="0"/>
        <w:autoSpaceDN w:val="0"/>
        <w:adjustRightInd w:val="0"/>
        <w:snapToGrid w:val="0"/>
        <w:spacing w:after="0" w:line="240" w:lineRule="auto"/>
        <w:contextualSpacing w:val="0"/>
        <w:jc w:val="both"/>
        <w:rPr>
          <w:rFonts w:ascii="Times New Roman" w:hAnsi="Times New Roman" w:cs="Times New Roman"/>
          <w:sz w:val="20"/>
          <w:szCs w:val="20"/>
          <w:lang w:val="fr-FR"/>
        </w:rPr>
      </w:pPr>
      <w:r w:rsidRPr="001C1ABA">
        <w:rPr>
          <w:rFonts w:ascii="Times New Roman" w:hAnsi="Times New Roman" w:cs="Times New Roman"/>
          <w:sz w:val="20"/>
          <w:szCs w:val="20"/>
          <w:lang w:val="fr-FR"/>
        </w:rPr>
        <w:t xml:space="preserve">De </w:t>
      </w:r>
      <w:proofErr w:type="spellStart"/>
      <w:r w:rsidRPr="001C1ABA">
        <w:rPr>
          <w:rFonts w:ascii="Times New Roman" w:hAnsi="Times New Roman" w:cs="Times New Roman"/>
          <w:sz w:val="20"/>
          <w:szCs w:val="20"/>
          <w:lang w:val="fr-FR"/>
        </w:rPr>
        <w:t>Cristofaro</w:t>
      </w:r>
      <w:proofErr w:type="spellEnd"/>
      <w:r w:rsidRPr="001C1ABA">
        <w:rPr>
          <w:rFonts w:ascii="Times New Roman" w:hAnsi="Times New Roman" w:cs="Times New Roman"/>
          <w:sz w:val="20"/>
          <w:szCs w:val="20"/>
          <w:lang w:val="fr-FR"/>
        </w:rPr>
        <w:t xml:space="preserve"> T, Di Palma T, Ferraro A et al. </w:t>
      </w:r>
      <w:r w:rsidRPr="001C1ABA">
        <w:rPr>
          <w:rFonts w:ascii="Times New Roman" w:hAnsi="Times New Roman" w:cs="Times New Roman"/>
          <w:sz w:val="20"/>
          <w:szCs w:val="20"/>
        </w:rPr>
        <w:t xml:space="preserve">(2011): TAZ/WWTR1 is </w:t>
      </w:r>
      <w:proofErr w:type="spellStart"/>
      <w:r w:rsidRPr="001C1ABA">
        <w:rPr>
          <w:rFonts w:ascii="Times New Roman" w:hAnsi="Times New Roman" w:cs="Times New Roman"/>
          <w:sz w:val="20"/>
          <w:szCs w:val="20"/>
        </w:rPr>
        <w:t>overexpressed</w:t>
      </w:r>
      <w:proofErr w:type="spellEnd"/>
      <w:r w:rsidRPr="001C1ABA">
        <w:rPr>
          <w:rFonts w:ascii="Times New Roman" w:hAnsi="Times New Roman" w:cs="Times New Roman"/>
          <w:sz w:val="20"/>
          <w:szCs w:val="20"/>
        </w:rPr>
        <w:t xml:space="preserve"> in papillary thyroid carcinoma. </w:t>
      </w:r>
      <w:proofErr w:type="spellStart"/>
      <w:r w:rsidRPr="001C1ABA">
        <w:rPr>
          <w:rFonts w:ascii="Times New Roman" w:hAnsi="Times New Roman" w:cs="Times New Roman"/>
          <w:i/>
          <w:iCs/>
          <w:sz w:val="20"/>
          <w:szCs w:val="20"/>
          <w:lang w:val="fr-FR"/>
        </w:rPr>
        <w:t>European</w:t>
      </w:r>
      <w:proofErr w:type="spellEnd"/>
      <w:r w:rsidRPr="001C1ABA">
        <w:rPr>
          <w:rFonts w:ascii="Times New Roman" w:hAnsi="Times New Roman" w:cs="Times New Roman"/>
          <w:i/>
          <w:iCs/>
          <w:sz w:val="20"/>
          <w:szCs w:val="20"/>
          <w:lang w:val="fr-FR"/>
        </w:rPr>
        <w:t xml:space="preserve"> Journal of Cancer,</w:t>
      </w:r>
      <w:r w:rsidR="00DB096E">
        <w:rPr>
          <w:rFonts w:ascii="Times New Roman" w:hAnsi="Times New Roman" w:cs="Times New Roman" w:hint="eastAsia"/>
          <w:i/>
          <w:iCs/>
          <w:sz w:val="20"/>
          <w:szCs w:val="20"/>
          <w:lang w:val="fr-FR" w:eastAsia="zh-CN"/>
        </w:rPr>
        <w:t xml:space="preserve"> </w:t>
      </w:r>
      <w:r w:rsidRPr="001C1ABA">
        <w:rPr>
          <w:rFonts w:ascii="Times New Roman" w:hAnsi="Times New Roman" w:cs="Times New Roman"/>
          <w:bCs/>
          <w:sz w:val="20"/>
          <w:szCs w:val="20"/>
          <w:lang w:val="fr-FR"/>
        </w:rPr>
        <w:t>47</w:t>
      </w:r>
      <w:r w:rsidRPr="001C1ABA">
        <w:rPr>
          <w:rFonts w:ascii="Times New Roman" w:hAnsi="Times New Roman" w:cs="Times New Roman"/>
          <w:sz w:val="20"/>
          <w:szCs w:val="20"/>
          <w:lang w:val="fr-FR"/>
        </w:rPr>
        <w:t>, 926–933.</w:t>
      </w:r>
    </w:p>
    <w:p w:rsidR="007D29AE" w:rsidRPr="001C1ABA" w:rsidRDefault="007D29AE" w:rsidP="008272B1">
      <w:pPr>
        <w:pStyle w:val="ListParagraph"/>
        <w:numPr>
          <w:ilvl w:val="0"/>
          <w:numId w:val="2"/>
        </w:numPr>
        <w:tabs>
          <w:tab w:val="left" w:pos="142"/>
        </w:tabs>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lang w:val="fr-FR"/>
        </w:rPr>
        <w:t xml:space="preserve">Di Palma T, D’Andrea B, </w:t>
      </w:r>
      <w:proofErr w:type="spellStart"/>
      <w:r w:rsidRPr="001C1ABA">
        <w:rPr>
          <w:rFonts w:ascii="Times New Roman" w:hAnsi="Times New Roman" w:cs="Times New Roman"/>
          <w:sz w:val="20"/>
          <w:szCs w:val="20"/>
          <w:lang w:val="fr-FR"/>
        </w:rPr>
        <w:t>Liguori</w:t>
      </w:r>
      <w:proofErr w:type="spellEnd"/>
      <w:r w:rsidRPr="001C1ABA">
        <w:rPr>
          <w:rFonts w:ascii="Times New Roman" w:hAnsi="Times New Roman" w:cs="Times New Roman"/>
          <w:sz w:val="20"/>
          <w:szCs w:val="20"/>
          <w:lang w:val="fr-FR"/>
        </w:rPr>
        <w:t xml:space="preserve"> G et al. </w:t>
      </w:r>
      <w:r w:rsidRPr="001C1ABA">
        <w:rPr>
          <w:rFonts w:ascii="Times New Roman" w:hAnsi="Times New Roman" w:cs="Times New Roman"/>
          <w:sz w:val="20"/>
          <w:szCs w:val="20"/>
        </w:rPr>
        <w:t xml:space="preserve">(2009): TAZ is a </w:t>
      </w:r>
      <w:proofErr w:type="spellStart"/>
      <w:r w:rsidRPr="001C1ABA">
        <w:rPr>
          <w:rFonts w:ascii="Times New Roman" w:hAnsi="Times New Roman" w:cs="Times New Roman"/>
          <w:sz w:val="20"/>
          <w:szCs w:val="20"/>
        </w:rPr>
        <w:t>coactivator</w:t>
      </w:r>
      <w:proofErr w:type="spellEnd"/>
      <w:r w:rsidRPr="001C1ABA">
        <w:rPr>
          <w:rFonts w:ascii="Times New Roman" w:hAnsi="Times New Roman" w:cs="Times New Roman"/>
          <w:sz w:val="20"/>
          <w:szCs w:val="20"/>
        </w:rPr>
        <w:t xml:space="preserve"> for Pax8 and TTF-1, two transcription factors involved in thyroid differentiation. </w:t>
      </w:r>
      <w:r w:rsidRPr="001C1ABA">
        <w:rPr>
          <w:rFonts w:ascii="Times New Roman" w:hAnsi="Times New Roman" w:cs="Times New Roman"/>
          <w:i/>
          <w:iCs/>
          <w:sz w:val="20"/>
          <w:szCs w:val="20"/>
        </w:rPr>
        <w:t>Experimental Cell Research</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315</w:t>
      </w:r>
      <w:r w:rsidRPr="001C1ABA">
        <w:rPr>
          <w:rFonts w:ascii="Times New Roman" w:hAnsi="Times New Roman" w:cs="Times New Roman"/>
          <w:sz w:val="20"/>
          <w:szCs w:val="20"/>
        </w:rPr>
        <w:t>, 162–75.</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proofErr w:type="spellStart"/>
      <w:r w:rsidRPr="001C1ABA">
        <w:rPr>
          <w:rFonts w:ascii="Times New Roman" w:hAnsi="Times New Roman" w:cs="Times New Roman"/>
          <w:sz w:val="20"/>
          <w:szCs w:val="20"/>
        </w:rPr>
        <w:t>Gatenby</w:t>
      </w:r>
      <w:proofErr w:type="spellEnd"/>
      <w:r w:rsidRPr="001C1ABA">
        <w:rPr>
          <w:rFonts w:ascii="Times New Roman" w:hAnsi="Times New Roman" w:cs="Times New Roman"/>
          <w:sz w:val="20"/>
          <w:szCs w:val="20"/>
        </w:rPr>
        <w:t xml:space="preserve"> RA and </w:t>
      </w:r>
      <w:proofErr w:type="spellStart"/>
      <w:r w:rsidRPr="001C1ABA">
        <w:rPr>
          <w:rFonts w:ascii="Times New Roman" w:hAnsi="Times New Roman" w:cs="Times New Roman"/>
          <w:sz w:val="20"/>
          <w:szCs w:val="20"/>
        </w:rPr>
        <w:t>Gillies</w:t>
      </w:r>
      <w:proofErr w:type="spellEnd"/>
      <w:r w:rsidRPr="001C1ABA">
        <w:rPr>
          <w:rFonts w:ascii="Times New Roman" w:hAnsi="Times New Roman" w:cs="Times New Roman"/>
          <w:sz w:val="20"/>
          <w:szCs w:val="20"/>
        </w:rPr>
        <w:t xml:space="preserve"> RJ (2004): Why do cancers have high aerobic </w:t>
      </w:r>
      <w:proofErr w:type="spellStart"/>
      <w:r w:rsidRPr="001C1ABA">
        <w:rPr>
          <w:rFonts w:ascii="Times New Roman" w:hAnsi="Times New Roman" w:cs="Times New Roman"/>
          <w:sz w:val="20"/>
          <w:szCs w:val="20"/>
        </w:rPr>
        <w:t>glycolysis</w:t>
      </w:r>
      <w:proofErr w:type="spellEnd"/>
      <w:r w:rsidRPr="001C1ABA">
        <w:rPr>
          <w:rFonts w:ascii="Times New Roman" w:hAnsi="Times New Roman" w:cs="Times New Roman"/>
          <w:sz w:val="20"/>
          <w:szCs w:val="20"/>
        </w:rPr>
        <w:t xml:space="preserve">? </w:t>
      </w:r>
      <w:r w:rsidRPr="001C1ABA">
        <w:rPr>
          <w:rFonts w:ascii="Times New Roman" w:hAnsi="Times New Roman" w:cs="Times New Roman"/>
          <w:i/>
          <w:iCs/>
          <w:sz w:val="20"/>
          <w:szCs w:val="20"/>
        </w:rPr>
        <w:t>Nat Rev Cancer</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4</w:t>
      </w:r>
      <w:r w:rsidRPr="001C1ABA">
        <w:rPr>
          <w:rFonts w:ascii="Times New Roman" w:hAnsi="Times New Roman" w:cs="Times New Roman"/>
          <w:sz w:val="20"/>
          <w:szCs w:val="20"/>
        </w:rPr>
        <w:t>, 891-9.</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rPr>
        <w:t xml:space="preserve">Goldberg MS and Sharp PA (2012):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M2-specific </w:t>
      </w:r>
      <w:proofErr w:type="spellStart"/>
      <w:r w:rsidRPr="001C1ABA">
        <w:rPr>
          <w:rFonts w:ascii="Times New Roman" w:hAnsi="Times New Roman" w:cs="Times New Roman"/>
          <w:sz w:val="20"/>
          <w:szCs w:val="20"/>
        </w:rPr>
        <w:t>siRNA</w:t>
      </w:r>
      <w:proofErr w:type="spellEnd"/>
      <w:r w:rsidRPr="001C1ABA">
        <w:rPr>
          <w:rFonts w:ascii="Times New Roman" w:hAnsi="Times New Roman" w:cs="Times New Roman"/>
          <w:sz w:val="20"/>
          <w:szCs w:val="20"/>
        </w:rPr>
        <w:t xml:space="preserve"> induces apoptosis and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regression. </w:t>
      </w:r>
      <w:r w:rsidRPr="001C1ABA">
        <w:rPr>
          <w:rFonts w:ascii="Times New Roman" w:hAnsi="Times New Roman" w:cs="Times New Roman"/>
          <w:i/>
          <w:iCs/>
          <w:sz w:val="20"/>
          <w:szCs w:val="20"/>
        </w:rPr>
        <w:t>Journal of Experimental Medicine</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209</w:t>
      </w:r>
      <w:r w:rsidRPr="001C1ABA">
        <w:rPr>
          <w:rFonts w:ascii="Times New Roman" w:hAnsi="Times New Roman" w:cs="Times New Roman"/>
          <w:sz w:val="20"/>
          <w:szCs w:val="20"/>
        </w:rPr>
        <w:t>, 217–24.</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proofErr w:type="spellStart"/>
      <w:r w:rsidRPr="001C1ABA">
        <w:rPr>
          <w:rFonts w:ascii="Times New Roman" w:hAnsi="Times New Roman" w:cs="Times New Roman"/>
          <w:sz w:val="20"/>
          <w:szCs w:val="20"/>
        </w:rPr>
        <w:t>Gordan</w:t>
      </w:r>
      <w:proofErr w:type="spellEnd"/>
      <w:r w:rsidRPr="001C1ABA">
        <w:rPr>
          <w:rFonts w:ascii="Times New Roman" w:hAnsi="Times New Roman" w:cs="Times New Roman"/>
          <w:sz w:val="20"/>
          <w:szCs w:val="20"/>
        </w:rPr>
        <w:t xml:space="preserve"> JD, Thompson CB and Simon MC (2007): HIF and c-</w:t>
      </w:r>
      <w:proofErr w:type="spellStart"/>
      <w:r w:rsidRPr="001C1ABA">
        <w:rPr>
          <w:rFonts w:ascii="Times New Roman" w:hAnsi="Times New Roman" w:cs="Times New Roman"/>
          <w:sz w:val="20"/>
          <w:szCs w:val="20"/>
        </w:rPr>
        <w:t>Myc</w:t>
      </w:r>
      <w:proofErr w:type="spellEnd"/>
      <w:r w:rsidRPr="001C1ABA">
        <w:rPr>
          <w:rFonts w:ascii="Times New Roman" w:hAnsi="Times New Roman" w:cs="Times New Roman"/>
          <w:sz w:val="20"/>
          <w:szCs w:val="20"/>
        </w:rPr>
        <w:t xml:space="preserve">: sibling rivals for control of cancer cell metabolism and proliferation. </w:t>
      </w:r>
      <w:r w:rsidRPr="001C1ABA">
        <w:rPr>
          <w:rFonts w:ascii="Times New Roman" w:hAnsi="Times New Roman" w:cs="Times New Roman"/>
          <w:i/>
          <w:iCs/>
          <w:sz w:val="20"/>
          <w:szCs w:val="20"/>
        </w:rPr>
        <w:t>Cancer Cell</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12</w:t>
      </w:r>
      <w:r w:rsidRPr="001C1ABA">
        <w:rPr>
          <w:rFonts w:ascii="Times New Roman" w:hAnsi="Times New Roman" w:cs="Times New Roman"/>
          <w:sz w:val="20"/>
          <w:szCs w:val="20"/>
        </w:rPr>
        <w:t>, 108–13.</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rPr>
        <w:t xml:space="preserve">Gordon GJ, Dong L, </w:t>
      </w:r>
      <w:proofErr w:type="spellStart"/>
      <w:r w:rsidRPr="001C1ABA">
        <w:rPr>
          <w:rFonts w:ascii="Times New Roman" w:hAnsi="Times New Roman" w:cs="Times New Roman"/>
          <w:sz w:val="20"/>
          <w:szCs w:val="20"/>
        </w:rPr>
        <w:t>Yeap</w:t>
      </w:r>
      <w:proofErr w:type="spellEnd"/>
      <w:r w:rsidRPr="001C1ABA">
        <w:rPr>
          <w:rFonts w:ascii="Times New Roman" w:hAnsi="Times New Roman" w:cs="Times New Roman"/>
          <w:sz w:val="20"/>
          <w:szCs w:val="20"/>
        </w:rPr>
        <w:t xml:space="preserve"> BY et al. (2009): Four-gene expression ratio test for survival in patients undergoing surgery for </w:t>
      </w:r>
      <w:proofErr w:type="spellStart"/>
      <w:r w:rsidRPr="001C1ABA">
        <w:rPr>
          <w:rFonts w:ascii="Times New Roman" w:hAnsi="Times New Roman" w:cs="Times New Roman"/>
          <w:sz w:val="20"/>
          <w:szCs w:val="20"/>
        </w:rPr>
        <w:t>mesothelioma</w:t>
      </w:r>
      <w:proofErr w:type="spellEnd"/>
      <w:r w:rsidRPr="001C1ABA">
        <w:rPr>
          <w:rFonts w:ascii="Times New Roman" w:hAnsi="Times New Roman" w:cs="Times New Roman"/>
          <w:sz w:val="20"/>
          <w:szCs w:val="20"/>
        </w:rPr>
        <w:t xml:space="preserve">. </w:t>
      </w:r>
      <w:r w:rsidRPr="001C1ABA">
        <w:rPr>
          <w:rFonts w:ascii="Times New Roman" w:hAnsi="Times New Roman" w:cs="Times New Roman"/>
          <w:i/>
          <w:iCs/>
          <w:sz w:val="20"/>
          <w:szCs w:val="20"/>
        </w:rPr>
        <w:t>Journal of the National Cancer Institute</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101</w:t>
      </w:r>
      <w:r w:rsidRPr="001C1ABA">
        <w:rPr>
          <w:rFonts w:ascii="Times New Roman" w:hAnsi="Times New Roman" w:cs="Times New Roman"/>
          <w:sz w:val="20"/>
          <w:szCs w:val="20"/>
        </w:rPr>
        <w:t>, 678–86.</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lang w:val="fr-FR"/>
        </w:rPr>
      </w:pPr>
      <w:r w:rsidRPr="001C1ABA">
        <w:rPr>
          <w:rFonts w:ascii="Times New Roman" w:eastAsia="JCbgK-Identity-H" w:hAnsi="Times New Roman" w:cs="Times New Roman"/>
          <w:sz w:val="20"/>
          <w:szCs w:val="20"/>
        </w:rPr>
        <w:lastRenderedPageBreak/>
        <w:t xml:space="preserve">Hamilton SR and </w:t>
      </w:r>
      <w:proofErr w:type="spellStart"/>
      <w:r w:rsidRPr="001C1ABA">
        <w:rPr>
          <w:rFonts w:ascii="Times New Roman" w:eastAsia="JCbgK-Identity-H" w:hAnsi="Times New Roman" w:cs="Times New Roman"/>
          <w:sz w:val="20"/>
          <w:szCs w:val="20"/>
        </w:rPr>
        <w:t>Aaltonen</w:t>
      </w:r>
      <w:proofErr w:type="spellEnd"/>
      <w:r w:rsidRPr="001C1ABA">
        <w:rPr>
          <w:rFonts w:ascii="Times New Roman" w:eastAsia="JCbgK-Identity-H" w:hAnsi="Times New Roman" w:cs="Times New Roman"/>
          <w:sz w:val="20"/>
          <w:szCs w:val="20"/>
        </w:rPr>
        <w:t xml:space="preserve"> LA (</w:t>
      </w:r>
      <w:r w:rsidRPr="001C1ABA">
        <w:rPr>
          <w:rFonts w:ascii="Times New Roman" w:hAnsi="Times New Roman" w:cs="Times New Roman"/>
          <w:sz w:val="20"/>
          <w:szCs w:val="20"/>
        </w:rPr>
        <w:t xml:space="preserve">2004): World Health Organisation, Classification of tumours, Pathology and genetics of tumours of the digestive system. </w:t>
      </w:r>
      <w:r w:rsidRPr="001C1ABA">
        <w:rPr>
          <w:rFonts w:ascii="Times New Roman" w:hAnsi="Times New Roman" w:cs="Times New Roman"/>
          <w:sz w:val="20"/>
          <w:szCs w:val="20"/>
          <w:lang w:val="fr-FR"/>
        </w:rPr>
        <w:t xml:space="preserve">Pub. IARC </w:t>
      </w:r>
      <w:proofErr w:type="spellStart"/>
      <w:r w:rsidRPr="001C1ABA">
        <w:rPr>
          <w:rFonts w:ascii="Times New Roman" w:hAnsi="Times New Roman" w:cs="Times New Roman"/>
          <w:sz w:val="20"/>
          <w:szCs w:val="20"/>
          <w:lang w:val="fr-FR"/>
        </w:rPr>
        <w:t>Press</w:t>
      </w:r>
      <w:proofErr w:type="spellEnd"/>
      <w:r w:rsidRPr="001C1ABA">
        <w:rPr>
          <w:rFonts w:ascii="Times New Roman" w:hAnsi="Times New Roman" w:cs="Times New Roman"/>
          <w:sz w:val="20"/>
          <w:szCs w:val="20"/>
          <w:lang w:val="fr-FR"/>
        </w:rPr>
        <w:t>, Lyon, 38-52.</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Style w:val="reference-text"/>
          <w:rFonts w:ascii="Times New Roman" w:hAnsi="Times New Roman" w:cs="Times New Roman"/>
          <w:sz w:val="20"/>
          <w:szCs w:val="20"/>
        </w:rPr>
      </w:pPr>
      <w:r w:rsidRPr="001C1ABA">
        <w:rPr>
          <w:rStyle w:val="reference-text"/>
          <w:rFonts w:ascii="Times New Roman" w:hAnsi="Times New Roman" w:cs="Times New Roman"/>
          <w:sz w:val="20"/>
          <w:szCs w:val="20"/>
          <w:lang w:val="fr-FR"/>
        </w:rPr>
        <w:t xml:space="preserve">Iqbal MA, </w:t>
      </w:r>
      <w:proofErr w:type="spellStart"/>
      <w:r w:rsidRPr="001C1ABA">
        <w:rPr>
          <w:rStyle w:val="reference-text"/>
          <w:rFonts w:ascii="Times New Roman" w:hAnsi="Times New Roman" w:cs="Times New Roman"/>
          <w:sz w:val="20"/>
          <w:szCs w:val="20"/>
          <w:lang w:val="fr-FR"/>
        </w:rPr>
        <w:t>Siddiqui</w:t>
      </w:r>
      <w:proofErr w:type="spellEnd"/>
      <w:r w:rsidRPr="001C1ABA">
        <w:rPr>
          <w:rStyle w:val="reference-text"/>
          <w:rFonts w:ascii="Times New Roman" w:hAnsi="Times New Roman" w:cs="Times New Roman"/>
          <w:sz w:val="20"/>
          <w:szCs w:val="20"/>
          <w:lang w:val="fr-FR"/>
        </w:rPr>
        <w:t xml:space="preserve"> FA, Chaman N et al. </w:t>
      </w:r>
      <w:r w:rsidRPr="001C1ABA">
        <w:rPr>
          <w:rStyle w:val="reference-text"/>
          <w:rFonts w:ascii="Times New Roman" w:hAnsi="Times New Roman" w:cs="Times New Roman"/>
          <w:sz w:val="20"/>
          <w:szCs w:val="20"/>
        </w:rPr>
        <w:t xml:space="preserve">(2014): </w:t>
      </w:r>
      <w:proofErr w:type="spellStart"/>
      <w:r w:rsidRPr="001C1ABA">
        <w:rPr>
          <w:rStyle w:val="reference-text"/>
          <w:rFonts w:ascii="Times New Roman" w:hAnsi="Times New Roman" w:cs="Times New Roman"/>
          <w:sz w:val="20"/>
          <w:szCs w:val="20"/>
        </w:rPr>
        <w:t>Missense</w:t>
      </w:r>
      <w:proofErr w:type="spellEnd"/>
      <w:r w:rsidRPr="001C1ABA">
        <w:rPr>
          <w:rStyle w:val="reference-text"/>
          <w:rFonts w:ascii="Times New Roman" w:hAnsi="Times New Roman" w:cs="Times New Roman"/>
          <w:sz w:val="20"/>
          <w:szCs w:val="20"/>
        </w:rPr>
        <w:t xml:space="preserve"> mutations in </w:t>
      </w:r>
      <w:proofErr w:type="spellStart"/>
      <w:r w:rsidRPr="001C1ABA">
        <w:rPr>
          <w:rStyle w:val="reference-text"/>
          <w:rFonts w:ascii="Times New Roman" w:hAnsi="Times New Roman" w:cs="Times New Roman"/>
          <w:sz w:val="20"/>
          <w:szCs w:val="20"/>
        </w:rPr>
        <w:t>pyruvate</w:t>
      </w:r>
      <w:proofErr w:type="spellEnd"/>
      <w:r w:rsidRPr="001C1ABA">
        <w:rPr>
          <w:rStyle w:val="reference-text"/>
          <w:rFonts w:ascii="Times New Roman" w:hAnsi="Times New Roman" w:cs="Times New Roman"/>
          <w:sz w:val="20"/>
          <w:szCs w:val="20"/>
        </w:rPr>
        <w:t xml:space="preserve"> </w:t>
      </w:r>
      <w:proofErr w:type="spellStart"/>
      <w:r w:rsidRPr="001C1ABA">
        <w:rPr>
          <w:rStyle w:val="reference-text"/>
          <w:rFonts w:ascii="Times New Roman" w:hAnsi="Times New Roman" w:cs="Times New Roman"/>
          <w:sz w:val="20"/>
          <w:szCs w:val="20"/>
        </w:rPr>
        <w:t>kinase</w:t>
      </w:r>
      <w:proofErr w:type="spellEnd"/>
      <w:r w:rsidRPr="001C1ABA">
        <w:rPr>
          <w:rStyle w:val="reference-text"/>
          <w:rFonts w:ascii="Times New Roman" w:hAnsi="Times New Roman" w:cs="Times New Roman"/>
          <w:sz w:val="20"/>
          <w:szCs w:val="20"/>
        </w:rPr>
        <w:t xml:space="preserve"> M2 promote cancer metabolism, oxidative endurance, anchorage independence and </w:t>
      </w:r>
      <w:proofErr w:type="spellStart"/>
      <w:r w:rsidRPr="001C1ABA">
        <w:rPr>
          <w:rStyle w:val="reference-text"/>
          <w:rFonts w:ascii="Times New Roman" w:hAnsi="Times New Roman" w:cs="Times New Roman"/>
          <w:sz w:val="20"/>
          <w:szCs w:val="20"/>
        </w:rPr>
        <w:t>tumor</w:t>
      </w:r>
      <w:proofErr w:type="spellEnd"/>
      <w:r w:rsidRPr="001C1ABA">
        <w:rPr>
          <w:rStyle w:val="reference-text"/>
          <w:rFonts w:ascii="Times New Roman" w:hAnsi="Times New Roman" w:cs="Times New Roman"/>
          <w:sz w:val="20"/>
          <w:szCs w:val="20"/>
        </w:rPr>
        <w:t xml:space="preserve"> growth in a dominant negative manner. </w:t>
      </w:r>
      <w:r w:rsidRPr="001C1ABA">
        <w:rPr>
          <w:rStyle w:val="reference-text"/>
          <w:rFonts w:ascii="Times New Roman" w:hAnsi="Times New Roman" w:cs="Times New Roman"/>
          <w:i/>
          <w:iCs/>
          <w:sz w:val="20"/>
          <w:szCs w:val="20"/>
        </w:rPr>
        <w:t xml:space="preserve">J </w:t>
      </w:r>
      <w:proofErr w:type="spellStart"/>
      <w:r w:rsidRPr="001C1ABA">
        <w:rPr>
          <w:rStyle w:val="reference-text"/>
          <w:rFonts w:ascii="Times New Roman" w:hAnsi="Times New Roman" w:cs="Times New Roman"/>
          <w:i/>
          <w:iCs/>
          <w:sz w:val="20"/>
          <w:szCs w:val="20"/>
        </w:rPr>
        <w:t>Biol</w:t>
      </w:r>
      <w:proofErr w:type="spellEnd"/>
      <w:r w:rsidRPr="001C1ABA">
        <w:rPr>
          <w:rStyle w:val="reference-text"/>
          <w:rFonts w:ascii="Times New Roman" w:hAnsi="Times New Roman" w:cs="Times New Roman"/>
          <w:i/>
          <w:iCs/>
          <w:sz w:val="20"/>
          <w:szCs w:val="20"/>
        </w:rPr>
        <w:t xml:space="preserve"> Chem.</w:t>
      </w:r>
      <w:r w:rsidR="00DB096E">
        <w:rPr>
          <w:rStyle w:val="reference-text"/>
          <w:rFonts w:ascii="Times New Roman" w:hAnsi="Times New Roman" w:cs="Times New Roman" w:hint="eastAsia"/>
          <w:i/>
          <w:iCs/>
          <w:sz w:val="20"/>
          <w:szCs w:val="20"/>
          <w:lang w:eastAsia="zh-CN"/>
        </w:rPr>
        <w:t xml:space="preserve"> </w:t>
      </w:r>
      <w:r w:rsidRPr="001C1ABA">
        <w:rPr>
          <w:rStyle w:val="reference-text"/>
          <w:rFonts w:ascii="Times New Roman" w:hAnsi="Times New Roman" w:cs="Times New Roman"/>
          <w:bCs/>
          <w:sz w:val="20"/>
          <w:szCs w:val="20"/>
        </w:rPr>
        <w:t>289</w:t>
      </w:r>
      <w:r w:rsidRPr="001C1ABA">
        <w:rPr>
          <w:rStyle w:val="reference-text"/>
          <w:rFonts w:ascii="Times New Roman" w:hAnsi="Times New Roman" w:cs="Times New Roman"/>
          <w:sz w:val="20"/>
          <w:szCs w:val="20"/>
        </w:rPr>
        <w:t>, 8098-105.</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proofErr w:type="spellStart"/>
      <w:r w:rsidRPr="001C1ABA">
        <w:rPr>
          <w:rFonts w:ascii="Times New Roman" w:hAnsi="Times New Roman" w:cs="Times New Roman"/>
          <w:sz w:val="20"/>
          <w:szCs w:val="20"/>
        </w:rPr>
        <w:t>Jaakkola</w:t>
      </w:r>
      <w:proofErr w:type="spellEnd"/>
      <w:r w:rsidRPr="001C1ABA">
        <w:rPr>
          <w:rFonts w:ascii="Times New Roman" w:hAnsi="Times New Roman" w:cs="Times New Roman"/>
          <w:sz w:val="20"/>
          <w:szCs w:val="20"/>
        </w:rPr>
        <w:t xml:space="preserve"> P, Mole DR, </w:t>
      </w:r>
      <w:proofErr w:type="spellStart"/>
      <w:r w:rsidRPr="001C1ABA">
        <w:rPr>
          <w:rFonts w:ascii="Times New Roman" w:hAnsi="Times New Roman" w:cs="Times New Roman"/>
          <w:sz w:val="20"/>
          <w:szCs w:val="20"/>
        </w:rPr>
        <w:t>Tian</w:t>
      </w:r>
      <w:proofErr w:type="spellEnd"/>
      <w:r w:rsidRPr="001C1ABA">
        <w:rPr>
          <w:rFonts w:ascii="Times New Roman" w:hAnsi="Times New Roman" w:cs="Times New Roman"/>
          <w:sz w:val="20"/>
          <w:szCs w:val="20"/>
        </w:rPr>
        <w:t xml:space="preserve"> YM et al. (2001): Targeting of HIF-</w:t>
      </w:r>
      <w:r w:rsidRPr="001C1ABA">
        <w:rPr>
          <w:rFonts w:ascii="Times New Roman" w:hAnsi="Times New Roman" w:cs="Times New Roman"/>
          <w:i/>
          <w:iCs/>
          <w:sz w:val="20"/>
          <w:szCs w:val="20"/>
        </w:rPr>
        <w:t>α</w:t>
      </w:r>
      <w:r w:rsidRPr="001C1ABA">
        <w:rPr>
          <w:rFonts w:ascii="Times New Roman" w:hAnsi="Times New Roman" w:cs="Times New Roman"/>
          <w:sz w:val="20"/>
          <w:szCs w:val="20"/>
        </w:rPr>
        <w:t xml:space="preserve"> to the von </w:t>
      </w:r>
      <w:proofErr w:type="spellStart"/>
      <w:r w:rsidRPr="001C1ABA">
        <w:rPr>
          <w:rFonts w:ascii="Times New Roman" w:hAnsi="Times New Roman" w:cs="Times New Roman"/>
          <w:sz w:val="20"/>
          <w:szCs w:val="20"/>
        </w:rPr>
        <w:t>Hippel-Lindau</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ubiquitylation</w:t>
      </w:r>
      <w:proofErr w:type="spellEnd"/>
      <w:r w:rsidRPr="001C1ABA">
        <w:rPr>
          <w:rFonts w:ascii="Times New Roman" w:hAnsi="Times New Roman" w:cs="Times New Roman"/>
          <w:sz w:val="20"/>
          <w:szCs w:val="20"/>
        </w:rPr>
        <w:t xml:space="preserve"> complex by O</w:t>
      </w:r>
      <w:r w:rsidRPr="001C1ABA">
        <w:rPr>
          <w:rFonts w:ascii="Times New Roman" w:hAnsi="Times New Roman" w:cs="Times New Roman"/>
          <w:sz w:val="20"/>
          <w:szCs w:val="20"/>
          <w:vertAlign w:val="subscript"/>
        </w:rPr>
        <w:t>2</w:t>
      </w:r>
      <w:r w:rsidRPr="001C1ABA">
        <w:rPr>
          <w:rFonts w:ascii="Times New Roman" w:hAnsi="Times New Roman" w:cs="Times New Roman"/>
          <w:sz w:val="20"/>
          <w:szCs w:val="20"/>
        </w:rPr>
        <w:t xml:space="preserve">-regulated </w:t>
      </w:r>
      <w:proofErr w:type="spellStart"/>
      <w:r w:rsidRPr="001C1ABA">
        <w:rPr>
          <w:rFonts w:ascii="Times New Roman" w:hAnsi="Times New Roman" w:cs="Times New Roman"/>
          <w:sz w:val="20"/>
          <w:szCs w:val="20"/>
        </w:rPr>
        <w:t>prolyl</w:t>
      </w:r>
      <w:proofErr w:type="spellEnd"/>
      <w:r w:rsidRPr="001C1ABA">
        <w:rPr>
          <w:rFonts w:ascii="Times New Roman" w:hAnsi="Times New Roman" w:cs="Times New Roman"/>
          <w:sz w:val="20"/>
          <w:szCs w:val="20"/>
        </w:rPr>
        <w:t xml:space="preserve"> hydroxylation. </w:t>
      </w:r>
      <w:r w:rsidRPr="001C1ABA">
        <w:rPr>
          <w:rFonts w:ascii="Times New Roman" w:hAnsi="Times New Roman" w:cs="Times New Roman"/>
          <w:i/>
          <w:iCs/>
          <w:sz w:val="20"/>
          <w:szCs w:val="20"/>
        </w:rPr>
        <w:t>Science</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292</w:t>
      </w:r>
      <w:r w:rsidRPr="001C1ABA">
        <w:rPr>
          <w:rFonts w:ascii="Times New Roman" w:hAnsi="Times New Roman" w:cs="Times New Roman"/>
          <w:sz w:val="20"/>
          <w:szCs w:val="20"/>
        </w:rPr>
        <w:t>, 468–72.</w:t>
      </w:r>
    </w:p>
    <w:p w:rsidR="007D29AE" w:rsidRPr="001C1ABA" w:rsidRDefault="007D29AE" w:rsidP="008272B1">
      <w:pPr>
        <w:pStyle w:val="ListParagraph"/>
        <w:numPr>
          <w:ilvl w:val="0"/>
          <w:numId w:val="2"/>
        </w:numPr>
        <w:tabs>
          <w:tab w:val="left" w:pos="142"/>
        </w:tabs>
        <w:autoSpaceDE w:val="0"/>
        <w:autoSpaceDN w:val="0"/>
        <w:adjustRightInd w:val="0"/>
        <w:snapToGrid w:val="0"/>
        <w:spacing w:after="0" w:line="240" w:lineRule="auto"/>
        <w:contextualSpacing w:val="0"/>
        <w:jc w:val="both"/>
        <w:rPr>
          <w:rFonts w:ascii="Times New Roman" w:hAnsi="Times New Roman" w:cs="Times New Roman"/>
          <w:sz w:val="20"/>
          <w:szCs w:val="20"/>
        </w:rPr>
      </w:pPr>
      <w:proofErr w:type="spellStart"/>
      <w:r w:rsidRPr="001C1ABA">
        <w:rPr>
          <w:rFonts w:ascii="Times New Roman" w:hAnsi="Times New Roman" w:cs="Times New Roman"/>
          <w:sz w:val="20"/>
          <w:szCs w:val="20"/>
        </w:rPr>
        <w:t>Jemal</w:t>
      </w:r>
      <w:proofErr w:type="spellEnd"/>
      <w:r w:rsidRPr="001C1ABA">
        <w:rPr>
          <w:rFonts w:ascii="Times New Roman" w:hAnsi="Times New Roman" w:cs="Times New Roman"/>
          <w:sz w:val="20"/>
          <w:szCs w:val="20"/>
        </w:rPr>
        <w:t xml:space="preserve"> A, Bray F, </w:t>
      </w:r>
      <w:proofErr w:type="spellStart"/>
      <w:r w:rsidRPr="001C1ABA">
        <w:rPr>
          <w:rFonts w:ascii="Times New Roman" w:hAnsi="Times New Roman" w:cs="Times New Roman"/>
          <w:sz w:val="20"/>
          <w:szCs w:val="20"/>
        </w:rPr>
        <w:t>Center</w:t>
      </w:r>
      <w:proofErr w:type="spellEnd"/>
      <w:r w:rsidRPr="001C1ABA">
        <w:rPr>
          <w:rFonts w:ascii="Times New Roman" w:hAnsi="Times New Roman" w:cs="Times New Roman"/>
          <w:sz w:val="20"/>
          <w:szCs w:val="20"/>
        </w:rPr>
        <w:t xml:space="preserve"> MM et al. (2011): Global cancer statistics. CA Cancer </w:t>
      </w:r>
      <w:r w:rsidRPr="001C1ABA">
        <w:rPr>
          <w:rFonts w:ascii="Times New Roman" w:hAnsi="Times New Roman" w:cs="Times New Roman"/>
          <w:i/>
          <w:iCs/>
          <w:sz w:val="20"/>
          <w:szCs w:val="20"/>
        </w:rPr>
        <w:t>Journal for Clinicians</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61</w:t>
      </w:r>
      <w:r w:rsidRPr="001C1ABA">
        <w:rPr>
          <w:rFonts w:ascii="Times New Roman" w:hAnsi="Times New Roman" w:cs="Times New Roman"/>
          <w:sz w:val="20"/>
          <w:szCs w:val="20"/>
        </w:rPr>
        <w:t>, 134.</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proofErr w:type="spellStart"/>
      <w:r w:rsidRPr="001C1ABA">
        <w:rPr>
          <w:rFonts w:ascii="Times New Roman" w:hAnsi="Times New Roman" w:cs="Times New Roman"/>
          <w:sz w:val="20"/>
          <w:szCs w:val="20"/>
        </w:rPr>
        <w:t>Kaelin</w:t>
      </w:r>
      <w:proofErr w:type="spellEnd"/>
      <w:r w:rsidRPr="001C1ABA">
        <w:rPr>
          <w:rFonts w:ascii="Times New Roman" w:hAnsi="Times New Roman" w:cs="Times New Roman"/>
          <w:sz w:val="20"/>
          <w:szCs w:val="20"/>
        </w:rPr>
        <w:t xml:space="preserve"> WG and </w:t>
      </w:r>
      <w:proofErr w:type="spellStart"/>
      <w:r w:rsidRPr="001C1ABA">
        <w:rPr>
          <w:rFonts w:ascii="Times New Roman" w:hAnsi="Times New Roman" w:cs="Times New Roman"/>
          <w:sz w:val="20"/>
          <w:szCs w:val="20"/>
        </w:rPr>
        <w:t>Ratcliffe</w:t>
      </w:r>
      <w:proofErr w:type="spellEnd"/>
      <w:r w:rsidRPr="001C1ABA">
        <w:rPr>
          <w:rFonts w:ascii="Times New Roman" w:hAnsi="Times New Roman" w:cs="Times New Roman"/>
          <w:sz w:val="20"/>
          <w:szCs w:val="20"/>
        </w:rPr>
        <w:t xml:space="preserve"> PJ (2008): Oxygen sensing by metazoans: the central role of the HIF </w:t>
      </w:r>
      <w:proofErr w:type="spellStart"/>
      <w:r w:rsidRPr="001C1ABA">
        <w:rPr>
          <w:rFonts w:ascii="Times New Roman" w:hAnsi="Times New Roman" w:cs="Times New Roman"/>
          <w:sz w:val="20"/>
          <w:szCs w:val="20"/>
        </w:rPr>
        <w:t>hydroxylase</w:t>
      </w:r>
      <w:proofErr w:type="spellEnd"/>
      <w:r w:rsidRPr="001C1ABA">
        <w:rPr>
          <w:rFonts w:ascii="Times New Roman" w:hAnsi="Times New Roman" w:cs="Times New Roman"/>
          <w:sz w:val="20"/>
          <w:szCs w:val="20"/>
        </w:rPr>
        <w:t xml:space="preserve"> pathway. </w:t>
      </w:r>
      <w:r w:rsidRPr="001C1ABA">
        <w:rPr>
          <w:rFonts w:ascii="Times New Roman" w:hAnsi="Times New Roman" w:cs="Times New Roman"/>
          <w:i/>
          <w:iCs/>
          <w:sz w:val="20"/>
          <w:szCs w:val="20"/>
        </w:rPr>
        <w:t>Molecular Cell</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30</w:t>
      </w:r>
      <w:r w:rsidRPr="001C1ABA">
        <w:rPr>
          <w:rFonts w:ascii="Times New Roman" w:hAnsi="Times New Roman" w:cs="Times New Roman"/>
          <w:sz w:val="20"/>
          <w:szCs w:val="20"/>
        </w:rPr>
        <w:t>, 393–402.</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proofErr w:type="spellStart"/>
      <w:r w:rsidRPr="001C1ABA">
        <w:rPr>
          <w:rFonts w:ascii="Times New Roman" w:hAnsi="Times New Roman" w:cs="Times New Roman"/>
          <w:sz w:val="20"/>
          <w:szCs w:val="20"/>
        </w:rPr>
        <w:t>Kefas</w:t>
      </w:r>
      <w:proofErr w:type="spellEnd"/>
      <w:r w:rsidRPr="001C1ABA">
        <w:rPr>
          <w:rFonts w:ascii="Times New Roman" w:hAnsi="Times New Roman" w:cs="Times New Roman"/>
          <w:sz w:val="20"/>
          <w:szCs w:val="20"/>
        </w:rPr>
        <w:t xml:space="preserve"> B, </w:t>
      </w:r>
      <w:proofErr w:type="spellStart"/>
      <w:r w:rsidRPr="001C1ABA">
        <w:rPr>
          <w:rFonts w:ascii="Times New Roman" w:hAnsi="Times New Roman" w:cs="Times New Roman"/>
          <w:sz w:val="20"/>
          <w:szCs w:val="20"/>
        </w:rPr>
        <w:t>Comeau</w:t>
      </w:r>
      <w:proofErr w:type="spellEnd"/>
      <w:r w:rsidRPr="001C1ABA">
        <w:rPr>
          <w:rFonts w:ascii="Times New Roman" w:hAnsi="Times New Roman" w:cs="Times New Roman"/>
          <w:sz w:val="20"/>
          <w:szCs w:val="20"/>
        </w:rPr>
        <w:t xml:space="preserve"> L, </w:t>
      </w:r>
      <w:proofErr w:type="spellStart"/>
      <w:r w:rsidRPr="001C1ABA">
        <w:rPr>
          <w:rFonts w:ascii="Times New Roman" w:hAnsi="Times New Roman" w:cs="Times New Roman"/>
          <w:sz w:val="20"/>
          <w:szCs w:val="20"/>
        </w:rPr>
        <w:t>Erdle</w:t>
      </w:r>
      <w:proofErr w:type="spellEnd"/>
      <w:r w:rsidRPr="001C1ABA">
        <w:rPr>
          <w:rFonts w:ascii="Times New Roman" w:hAnsi="Times New Roman" w:cs="Times New Roman"/>
          <w:sz w:val="20"/>
          <w:szCs w:val="20"/>
        </w:rPr>
        <w:t xml:space="preserve"> N, Montgomery E, Amos S and </w:t>
      </w:r>
      <w:proofErr w:type="spellStart"/>
      <w:r w:rsidRPr="001C1ABA">
        <w:rPr>
          <w:rFonts w:ascii="Times New Roman" w:hAnsi="Times New Roman" w:cs="Times New Roman"/>
          <w:sz w:val="20"/>
          <w:szCs w:val="20"/>
        </w:rPr>
        <w:t>Purow</w:t>
      </w:r>
      <w:proofErr w:type="spellEnd"/>
      <w:r w:rsidRPr="001C1ABA">
        <w:rPr>
          <w:rFonts w:ascii="Times New Roman" w:hAnsi="Times New Roman" w:cs="Times New Roman"/>
          <w:sz w:val="20"/>
          <w:szCs w:val="20"/>
        </w:rPr>
        <w:t xml:space="preserve"> B (2010):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M2 is a target of the </w:t>
      </w:r>
      <w:proofErr w:type="spellStart"/>
      <w:r w:rsidRPr="001C1ABA">
        <w:rPr>
          <w:rFonts w:ascii="Times New Roman" w:hAnsi="Times New Roman" w:cs="Times New Roman"/>
          <w:sz w:val="20"/>
          <w:szCs w:val="20"/>
        </w:rPr>
        <w:t>tumorsuppressive</w:t>
      </w:r>
      <w:proofErr w:type="spellEnd"/>
      <w:r w:rsidRPr="001C1ABA">
        <w:rPr>
          <w:rFonts w:ascii="Times New Roman" w:hAnsi="Times New Roman" w:cs="Times New Roman"/>
          <w:sz w:val="20"/>
          <w:szCs w:val="20"/>
        </w:rPr>
        <w:t xml:space="preserve"> microRNA-326 and regulates the survival of </w:t>
      </w:r>
      <w:proofErr w:type="spellStart"/>
      <w:r w:rsidRPr="001C1ABA">
        <w:rPr>
          <w:rFonts w:ascii="Times New Roman" w:hAnsi="Times New Roman" w:cs="Times New Roman"/>
          <w:sz w:val="20"/>
          <w:szCs w:val="20"/>
        </w:rPr>
        <w:t>glioma</w:t>
      </w:r>
      <w:proofErr w:type="spellEnd"/>
      <w:r w:rsidRPr="001C1ABA">
        <w:rPr>
          <w:rFonts w:ascii="Times New Roman" w:hAnsi="Times New Roman" w:cs="Times New Roman"/>
          <w:sz w:val="20"/>
          <w:szCs w:val="20"/>
        </w:rPr>
        <w:t xml:space="preserve"> cells. </w:t>
      </w:r>
      <w:proofErr w:type="spellStart"/>
      <w:r w:rsidRPr="001C1ABA">
        <w:rPr>
          <w:rFonts w:ascii="Times New Roman" w:hAnsi="Times New Roman" w:cs="Times New Roman"/>
          <w:i/>
          <w:iCs/>
          <w:sz w:val="20"/>
          <w:szCs w:val="20"/>
        </w:rPr>
        <w:t>Neuro</w:t>
      </w:r>
      <w:proofErr w:type="spellEnd"/>
      <w:r w:rsidRPr="001C1ABA">
        <w:rPr>
          <w:rFonts w:ascii="Times New Roman" w:hAnsi="Times New Roman" w:cs="Times New Roman"/>
          <w:i/>
          <w:iCs/>
          <w:sz w:val="20"/>
          <w:szCs w:val="20"/>
        </w:rPr>
        <w:t>-Oncology</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12</w:t>
      </w:r>
      <w:r w:rsidRPr="001C1ABA">
        <w:rPr>
          <w:rFonts w:ascii="Times New Roman" w:hAnsi="Times New Roman" w:cs="Times New Roman"/>
          <w:sz w:val="20"/>
          <w:szCs w:val="20"/>
        </w:rPr>
        <w:t>, 1102–12.</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rPr>
        <w:t xml:space="preserve">Kwon OH, Kang TW, Kim JH et al. (2012):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M2 promotes the growth of gastric cancer cells via regulation of </w:t>
      </w:r>
      <w:proofErr w:type="spellStart"/>
      <w:r w:rsidRPr="001C1ABA">
        <w:rPr>
          <w:rFonts w:ascii="Times New Roman" w:hAnsi="Times New Roman" w:cs="Times New Roman"/>
          <w:sz w:val="20"/>
          <w:szCs w:val="20"/>
        </w:rPr>
        <w:t>Bcl-xL</w:t>
      </w:r>
      <w:proofErr w:type="spellEnd"/>
      <w:r w:rsidRPr="001C1ABA">
        <w:rPr>
          <w:rFonts w:ascii="Times New Roman" w:hAnsi="Times New Roman" w:cs="Times New Roman"/>
          <w:sz w:val="20"/>
          <w:szCs w:val="20"/>
        </w:rPr>
        <w:t xml:space="preserve"> expression at transcriptional level. </w:t>
      </w:r>
      <w:r w:rsidRPr="001C1ABA">
        <w:rPr>
          <w:rFonts w:ascii="Times New Roman" w:hAnsi="Times New Roman" w:cs="Times New Roman"/>
          <w:i/>
          <w:iCs/>
          <w:sz w:val="20"/>
          <w:szCs w:val="20"/>
        </w:rPr>
        <w:t>Biochemical and Biophysical Research Communications</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423</w:t>
      </w:r>
      <w:r w:rsidRPr="001C1ABA">
        <w:rPr>
          <w:rFonts w:ascii="Times New Roman" w:hAnsi="Times New Roman" w:cs="Times New Roman"/>
          <w:sz w:val="20"/>
          <w:szCs w:val="20"/>
        </w:rPr>
        <w:t>, 38–44.</w:t>
      </w:r>
    </w:p>
    <w:p w:rsidR="007D29AE" w:rsidRPr="001C1ABA" w:rsidRDefault="00CD7B5C" w:rsidP="008272B1">
      <w:pPr>
        <w:pStyle w:val="ListParagraph"/>
        <w:numPr>
          <w:ilvl w:val="0"/>
          <w:numId w:val="2"/>
        </w:numPr>
        <w:tabs>
          <w:tab w:val="left" w:pos="142"/>
        </w:tabs>
        <w:autoSpaceDE w:val="0"/>
        <w:autoSpaceDN w:val="0"/>
        <w:adjustRightInd w:val="0"/>
        <w:snapToGrid w:val="0"/>
        <w:spacing w:after="0" w:line="240" w:lineRule="auto"/>
        <w:contextualSpacing w:val="0"/>
        <w:jc w:val="both"/>
        <w:rPr>
          <w:rFonts w:ascii="Times New Roman" w:eastAsia="E-B3" w:hAnsi="Times New Roman" w:cs="Times New Roman"/>
          <w:sz w:val="20"/>
          <w:szCs w:val="20"/>
        </w:rPr>
      </w:pPr>
      <w:r w:rsidRPr="001C1ABA">
        <w:rPr>
          <w:rFonts w:ascii="Times New Roman" w:eastAsia="E-B3" w:hAnsi="Times New Roman" w:cs="Times New Roman"/>
          <w:sz w:val="20"/>
          <w:szCs w:val="20"/>
        </w:rPr>
        <w:t>Li P</w:t>
      </w:r>
      <w:r w:rsidR="007D29AE" w:rsidRPr="001C1ABA">
        <w:rPr>
          <w:rFonts w:ascii="Times New Roman" w:eastAsia="E-B3" w:hAnsi="Times New Roman" w:cs="Times New Roman"/>
          <w:sz w:val="20"/>
          <w:szCs w:val="20"/>
        </w:rPr>
        <w:t>D, Wang X-J, Shan Q et al. (2014): Evaluation of TAZ exp</w:t>
      </w:r>
      <w:r w:rsidRPr="001C1ABA">
        <w:rPr>
          <w:rFonts w:ascii="Times New Roman" w:eastAsia="E-B3" w:hAnsi="Times New Roman" w:cs="Times New Roman"/>
          <w:sz w:val="20"/>
          <w:szCs w:val="20"/>
        </w:rPr>
        <w:t xml:space="preserve">ression and its effect on </w:t>
      </w:r>
      <w:proofErr w:type="spellStart"/>
      <w:r w:rsidRPr="001C1ABA">
        <w:rPr>
          <w:rFonts w:ascii="Times New Roman" w:eastAsia="E-B3" w:hAnsi="Times New Roman" w:cs="Times New Roman"/>
          <w:sz w:val="20"/>
          <w:szCs w:val="20"/>
        </w:rPr>
        <w:t>tumor</w:t>
      </w:r>
      <w:proofErr w:type="spellEnd"/>
      <w:r w:rsidRPr="001C1ABA">
        <w:rPr>
          <w:rFonts w:ascii="Times New Roman" w:eastAsia="E-B3" w:hAnsi="Times New Roman" w:cs="Times New Roman"/>
          <w:sz w:val="20"/>
          <w:szCs w:val="20"/>
        </w:rPr>
        <w:t xml:space="preserve"> </w:t>
      </w:r>
      <w:r w:rsidR="007D29AE" w:rsidRPr="001C1ABA">
        <w:rPr>
          <w:rFonts w:ascii="Times New Roman" w:eastAsia="E-B3" w:hAnsi="Times New Roman" w:cs="Times New Roman"/>
          <w:sz w:val="20"/>
          <w:szCs w:val="20"/>
        </w:rPr>
        <w:t xml:space="preserve">invasion </w:t>
      </w:r>
      <w:proofErr w:type="spellStart"/>
      <w:r w:rsidR="007D29AE" w:rsidRPr="001C1ABA">
        <w:rPr>
          <w:rFonts w:ascii="Times New Roman" w:eastAsia="E-B3" w:hAnsi="Times New Roman" w:cs="Times New Roman"/>
          <w:sz w:val="20"/>
          <w:szCs w:val="20"/>
        </w:rPr>
        <w:t>andmetastasis</w:t>
      </w:r>
      <w:proofErr w:type="spellEnd"/>
      <w:r w:rsidR="007D29AE" w:rsidRPr="001C1ABA">
        <w:rPr>
          <w:rFonts w:ascii="Times New Roman" w:eastAsia="E-B3" w:hAnsi="Times New Roman" w:cs="Times New Roman"/>
          <w:sz w:val="20"/>
          <w:szCs w:val="20"/>
        </w:rPr>
        <w:t xml:space="preserve"> in human </w:t>
      </w:r>
      <w:proofErr w:type="spellStart"/>
      <w:r w:rsidR="007D29AE" w:rsidRPr="001C1ABA">
        <w:rPr>
          <w:rFonts w:ascii="Times New Roman" w:eastAsia="E-B3" w:hAnsi="Times New Roman" w:cs="Times New Roman"/>
          <w:sz w:val="20"/>
          <w:szCs w:val="20"/>
        </w:rPr>
        <w:t>glioma</w:t>
      </w:r>
      <w:proofErr w:type="spellEnd"/>
      <w:r w:rsidR="007D29AE" w:rsidRPr="001C1ABA">
        <w:rPr>
          <w:rFonts w:ascii="Times New Roman" w:eastAsia="E-B3" w:hAnsi="Times New Roman" w:cs="Times New Roman"/>
          <w:sz w:val="20"/>
          <w:szCs w:val="20"/>
        </w:rPr>
        <w:t xml:space="preserve">. </w:t>
      </w:r>
      <w:r w:rsidR="007D29AE" w:rsidRPr="001C1ABA">
        <w:rPr>
          <w:rFonts w:ascii="Times New Roman" w:eastAsia="E-B3" w:hAnsi="Times New Roman" w:cs="Times New Roman"/>
          <w:i/>
          <w:iCs/>
          <w:sz w:val="20"/>
          <w:szCs w:val="20"/>
        </w:rPr>
        <w:t>Asian Pacific Journal of Tropical Medicine</w:t>
      </w:r>
      <w:r w:rsidR="007D29AE" w:rsidRPr="001C1ABA">
        <w:rPr>
          <w:rFonts w:ascii="Times New Roman" w:eastAsia="E-B3" w:hAnsi="Times New Roman" w:cs="Times New Roman"/>
          <w:sz w:val="20"/>
          <w:szCs w:val="20"/>
        </w:rPr>
        <w:t xml:space="preserve">, </w:t>
      </w:r>
      <w:r w:rsidR="007D29AE" w:rsidRPr="001C1ABA">
        <w:rPr>
          <w:rFonts w:ascii="Times New Roman" w:eastAsia="E-B3" w:hAnsi="Times New Roman" w:cs="Times New Roman"/>
          <w:bCs/>
          <w:sz w:val="20"/>
          <w:szCs w:val="20"/>
        </w:rPr>
        <w:t>7</w:t>
      </w:r>
      <w:r w:rsidR="007D29AE" w:rsidRPr="001C1ABA">
        <w:rPr>
          <w:rFonts w:ascii="Times New Roman" w:eastAsia="E-B3" w:hAnsi="Times New Roman" w:cs="Times New Roman"/>
          <w:sz w:val="20"/>
          <w:szCs w:val="20"/>
        </w:rPr>
        <w:t>, 757-60.</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Style w:val="A8"/>
          <w:rFonts w:ascii="Times New Roman" w:hAnsi="Times New Roman" w:cs="Times New Roman"/>
          <w:color w:val="auto"/>
          <w:sz w:val="20"/>
          <w:szCs w:val="20"/>
        </w:rPr>
      </w:pPr>
      <w:r w:rsidRPr="001C1ABA">
        <w:rPr>
          <w:rFonts w:ascii="Times New Roman" w:hAnsi="Times New Roman" w:cs="Times New Roman"/>
          <w:sz w:val="20"/>
          <w:szCs w:val="20"/>
        </w:rPr>
        <w:t xml:space="preserve">Lim JY, Yoon SO, </w:t>
      </w:r>
      <w:proofErr w:type="spellStart"/>
      <w:r w:rsidRPr="001C1ABA">
        <w:rPr>
          <w:rFonts w:ascii="Times New Roman" w:hAnsi="Times New Roman" w:cs="Times New Roman"/>
          <w:sz w:val="20"/>
          <w:szCs w:val="20"/>
        </w:rPr>
        <w:t>Seol</w:t>
      </w:r>
      <w:proofErr w:type="spellEnd"/>
      <w:r w:rsidRPr="001C1ABA">
        <w:rPr>
          <w:rFonts w:ascii="Times New Roman" w:hAnsi="Times New Roman" w:cs="Times New Roman"/>
          <w:sz w:val="20"/>
          <w:szCs w:val="20"/>
        </w:rPr>
        <w:t xml:space="preserve"> SY et al. (</w:t>
      </w:r>
      <w:r w:rsidRPr="001C1ABA">
        <w:rPr>
          <w:rStyle w:val="A8"/>
          <w:rFonts w:ascii="Times New Roman" w:hAnsi="Times New Roman" w:cs="Times New Roman"/>
          <w:color w:val="auto"/>
          <w:sz w:val="20"/>
          <w:szCs w:val="20"/>
        </w:rPr>
        <w:t>2012)</w:t>
      </w:r>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Overexpression</w:t>
      </w:r>
      <w:proofErr w:type="spellEnd"/>
      <w:r w:rsidRPr="001C1ABA">
        <w:rPr>
          <w:rFonts w:ascii="Times New Roman" w:hAnsi="Times New Roman" w:cs="Times New Roman"/>
          <w:sz w:val="20"/>
          <w:szCs w:val="20"/>
        </w:rPr>
        <w:t xml:space="preserve"> of the M2 </w:t>
      </w:r>
      <w:proofErr w:type="spellStart"/>
      <w:r w:rsidRPr="001C1ABA">
        <w:rPr>
          <w:rFonts w:ascii="Times New Roman" w:hAnsi="Times New Roman" w:cs="Times New Roman"/>
          <w:sz w:val="20"/>
          <w:szCs w:val="20"/>
        </w:rPr>
        <w:t>isoform</w:t>
      </w:r>
      <w:proofErr w:type="spellEnd"/>
      <w:r w:rsidRPr="001C1ABA">
        <w:rPr>
          <w:rFonts w:ascii="Times New Roman" w:hAnsi="Times New Roman" w:cs="Times New Roman"/>
          <w:sz w:val="20"/>
          <w:szCs w:val="20"/>
        </w:rPr>
        <w:t xml:space="preserve"> of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is an adverse prognostic factor for signet ring cell gastric cancer. </w:t>
      </w:r>
      <w:r w:rsidRPr="001C1ABA">
        <w:rPr>
          <w:rStyle w:val="A8"/>
          <w:rFonts w:ascii="Times New Roman" w:hAnsi="Times New Roman" w:cs="Times New Roman"/>
          <w:i/>
          <w:iCs/>
          <w:color w:val="auto"/>
          <w:sz w:val="20"/>
          <w:szCs w:val="20"/>
        </w:rPr>
        <w:t xml:space="preserve">World J </w:t>
      </w:r>
      <w:proofErr w:type="spellStart"/>
      <w:r w:rsidRPr="001C1ABA">
        <w:rPr>
          <w:rStyle w:val="A8"/>
          <w:rFonts w:ascii="Times New Roman" w:hAnsi="Times New Roman" w:cs="Times New Roman"/>
          <w:i/>
          <w:iCs/>
          <w:color w:val="auto"/>
          <w:sz w:val="20"/>
          <w:szCs w:val="20"/>
        </w:rPr>
        <w:t>Gastroenterol</w:t>
      </w:r>
      <w:proofErr w:type="spellEnd"/>
      <w:r w:rsidRPr="001C1ABA">
        <w:rPr>
          <w:rStyle w:val="A8"/>
          <w:rFonts w:ascii="Times New Roman" w:hAnsi="Times New Roman" w:cs="Times New Roman"/>
          <w:color w:val="auto"/>
          <w:sz w:val="20"/>
          <w:szCs w:val="20"/>
        </w:rPr>
        <w:t xml:space="preserve">. </w:t>
      </w:r>
      <w:r w:rsidRPr="001C1ABA">
        <w:rPr>
          <w:rStyle w:val="A8"/>
          <w:rFonts w:ascii="Times New Roman" w:hAnsi="Times New Roman" w:cs="Times New Roman"/>
          <w:bCs/>
          <w:color w:val="auto"/>
          <w:sz w:val="20"/>
          <w:szCs w:val="20"/>
        </w:rPr>
        <w:t>18</w:t>
      </w:r>
      <w:r w:rsidRPr="001C1ABA">
        <w:rPr>
          <w:rStyle w:val="A8"/>
          <w:rFonts w:ascii="Times New Roman" w:hAnsi="Times New Roman" w:cs="Times New Roman"/>
          <w:color w:val="auto"/>
          <w:sz w:val="20"/>
          <w:szCs w:val="20"/>
        </w:rPr>
        <w:t>, 4037-43.</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proofErr w:type="spellStart"/>
      <w:r w:rsidRPr="001C1ABA">
        <w:rPr>
          <w:rFonts w:ascii="Times New Roman" w:hAnsi="Times New Roman" w:cs="Times New Roman"/>
          <w:sz w:val="20"/>
          <w:szCs w:val="20"/>
        </w:rPr>
        <w:t>Lüftner</w:t>
      </w:r>
      <w:proofErr w:type="spellEnd"/>
      <w:r w:rsidRPr="001C1ABA">
        <w:rPr>
          <w:rFonts w:ascii="Times New Roman" w:hAnsi="Times New Roman" w:cs="Times New Roman"/>
          <w:sz w:val="20"/>
          <w:szCs w:val="20"/>
        </w:rPr>
        <w:t xml:space="preserve"> D, </w:t>
      </w:r>
      <w:proofErr w:type="spellStart"/>
      <w:r w:rsidRPr="001C1ABA">
        <w:rPr>
          <w:rFonts w:ascii="Times New Roman" w:hAnsi="Times New Roman" w:cs="Times New Roman"/>
          <w:sz w:val="20"/>
          <w:szCs w:val="20"/>
        </w:rPr>
        <w:t>Mesterharm</w:t>
      </w:r>
      <w:proofErr w:type="spellEnd"/>
      <w:r w:rsidRPr="001C1ABA">
        <w:rPr>
          <w:rFonts w:ascii="Times New Roman" w:hAnsi="Times New Roman" w:cs="Times New Roman"/>
          <w:sz w:val="20"/>
          <w:szCs w:val="20"/>
        </w:rPr>
        <w:t xml:space="preserve"> J, </w:t>
      </w:r>
      <w:proofErr w:type="spellStart"/>
      <w:r w:rsidRPr="001C1ABA">
        <w:rPr>
          <w:rFonts w:ascii="Times New Roman" w:hAnsi="Times New Roman" w:cs="Times New Roman"/>
          <w:sz w:val="20"/>
          <w:szCs w:val="20"/>
        </w:rPr>
        <w:t>Akrivakis</w:t>
      </w:r>
      <w:proofErr w:type="spellEnd"/>
      <w:r w:rsidRPr="001C1ABA">
        <w:rPr>
          <w:rFonts w:ascii="Times New Roman" w:hAnsi="Times New Roman" w:cs="Times New Roman"/>
          <w:sz w:val="20"/>
          <w:szCs w:val="20"/>
        </w:rPr>
        <w:t xml:space="preserve"> C et al. (2000):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type M2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expression in advanced breast cancer. </w:t>
      </w:r>
      <w:r w:rsidRPr="001C1ABA">
        <w:rPr>
          <w:rFonts w:ascii="Times New Roman" w:hAnsi="Times New Roman" w:cs="Times New Roman"/>
          <w:i/>
          <w:iCs/>
          <w:sz w:val="20"/>
          <w:szCs w:val="20"/>
        </w:rPr>
        <w:t>Anticancer Res</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20</w:t>
      </w:r>
      <w:r w:rsidRPr="001C1ABA">
        <w:rPr>
          <w:rFonts w:ascii="Times New Roman" w:hAnsi="Times New Roman" w:cs="Times New Roman"/>
          <w:sz w:val="20"/>
          <w:szCs w:val="20"/>
        </w:rPr>
        <w:t>, 5077-82.</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proofErr w:type="spellStart"/>
      <w:r w:rsidRPr="001C1ABA">
        <w:rPr>
          <w:rFonts w:ascii="Times New Roman" w:hAnsi="Times New Roman" w:cs="Times New Roman"/>
          <w:sz w:val="20"/>
          <w:szCs w:val="20"/>
        </w:rPr>
        <w:t>Luo</w:t>
      </w:r>
      <w:proofErr w:type="spellEnd"/>
      <w:r w:rsidRPr="001C1ABA">
        <w:rPr>
          <w:rFonts w:ascii="Times New Roman" w:hAnsi="Times New Roman" w:cs="Times New Roman"/>
          <w:sz w:val="20"/>
          <w:szCs w:val="20"/>
        </w:rPr>
        <w:t xml:space="preserve"> W, </w:t>
      </w:r>
      <w:proofErr w:type="spellStart"/>
      <w:r w:rsidRPr="001C1ABA">
        <w:rPr>
          <w:rFonts w:ascii="Times New Roman" w:hAnsi="Times New Roman" w:cs="Times New Roman"/>
          <w:sz w:val="20"/>
          <w:szCs w:val="20"/>
        </w:rPr>
        <w:t>Hu</w:t>
      </w:r>
      <w:proofErr w:type="spellEnd"/>
      <w:r w:rsidRPr="001C1ABA">
        <w:rPr>
          <w:rFonts w:ascii="Times New Roman" w:hAnsi="Times New Roman" w:cs="Times New Roman"/>
          <w:sz w:val="20"/>
          <w:szCs w:val="20"/>
        </w:rPr>
        <w:t xml:space="preserve"> H, Chang R et al. (2011):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M2 is a PHD3-stimulated </w:t>
      </w:r>
      <w:proofErr w:type="spellStart"/>
      <w:r w:rsidRPr="001C1ABA">
        <w:rPr>
          <w:rFonts w:ascii="Times New Roman" w:hAnsi="Times New Roman" w:cs="Times New Roman"/>
          <w:sz w:val="20"/>
          <w:szCs w:val="20"/>
        </w:rPr>
        <w:t>coactivator</w:t>
      </w:r>
      <w:proofErr w:type="spellEnd"/>
      <w:r w:rsidRPr="001C1ABA">
        <w:rPr>
          <w:rFonts w:ascii="Times New Roman" w:hAnsi="Times New Roman" w:cs="Times New Roman"/>
          <w:sz w:val="20"/>
          <w:szCs w:val="20"/>
        </w:rPr>
        <w:t xml:space="preserve"> for hypoxia-inducible factor 1. </w:t>
      </w:r>
      <w:r w:rsidRPr="001C1ABA">
        <w:rPr>
          <w:rFonts w:ascii="Times New Roman" w:hAnsi="Times New Roman" w:cs="Times New Roman"/>
          <w:i/>
          <w:iCs/>
          <w:sz w:val="20"/>
          <w:szCs w:val="20"/>
        </w:rPr>
        <w:t>Cell,</w:t>
      </w:r>
      <w:r w:rsidR="00DB096E">
        <w:rPr>
          <w:rFonts w:ascii="Times New Roman" w:hAnsi="Times New Roman" w:cs="Times New Roman" w:hint="eastAsia"/>
          <w:i/>
          <w:iCs/>
          <w:sz w:val="20"/>
          <w:szCs w:val="20"/>
          <w:lang w:eastAsia="zh-CN"/>
        </w:rPr>
        <w:t xml:space="preserve"> </w:t>
      </w:r>
      <w:r w:rsidRPr="001C1ABA">
        <w:rPr>
          <w:rFonts w:ascii="Times New Roman" w:hAnsi="Times New Roman" w:cs="Times New Roman"/>
          <w:bCs/>
          <w:sz w:val="20"/>
          <w:szCs w:val="20"/>
        </w:rPr>
        <w:t>145</w:t>
      </w:r>
      <w:r w:rsidRPr="001C1ABA">
        <w:rPr>
          <w:rFonts w:ascii="Times New Roman" w:hAnsi="Times New Roman" w:cs="Times New Roman"/>
          <w:sz w:val="20"/>
          <w:szCs w:val="20"/>
        </w:rPr>
        <w:t>, 732–44.</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proofErr w:type="spellStart"/>
      <w:r w:rsidRPr="001C1ABA">
        <w:rPr>
          <w:rFonts w:ascii="Times New Roman" w:hAnsi="Times New Roman" w:cs="Times New Roman"/>
          <w:sz w:val="20"/>
          <w:szCs w:val="20"/>
        </w:rPr>
        <w:t>Mazurek</w:t>
      </w:r>
      <w:proofErr w:type="spellEnd"/>
      <w:r w:rsidRPr="001C1ABA">
        <w:rPr>
          <w:rFonts w:ascii="Times New Roman" w:hAnsi="Times New Roman" w:cs="Times New Roman"/>
          <w:sz w:val="20"/>
          <w:szCs w:val="20"/>
        </w:rPr>
        <w:t xml:space="preserve"> S (2011):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type M2: a key regulator of the metabolic budget system in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cells. </w:t>
      </w:r>
      <w:proofErr w:type="spellStart"/>
      <w:r w:rsidRPr="001C1ABA">
        <w:rPr>
          <w:rFonts w:ascii="Times New Roman" w:hAnsi="Times New Roman" w:cs="Times New Roman"/>
          <w:i/>
          <w:iCs/>
          <w:sz w:val="20"/>
          <w:szCs w:val="20"/>
        </w:rPr>
        <w:t>Int</w:t>
      </w:r>
      <w:proofErr w:type="spellEnd"/>
      <w:r w:rsidRPr="001C1ABA">
        <w:rPr>
          <w:rFonts w:ascii="Times New Roman" w:hAnsi="Times New Roman" w:cs="Times New Roman"/>
          <w:i/>
          <w:iCs/>
          <w:sz w:val="20"/>
          <w:szCs w:val="20"/>
        </w:rPr>
        <w:t xml:space="preserve"> J </w:t>
      </w:r>
      <w:proofErr w:type="spellStart"/>
      <w:r w:rsidRPr="001C1ABA">
        <w:rPr>
          <w:rFonts w:ascii="Times New Roman" w:hAnsi="Times New Roman" w:cs="Times New Roman"/>
          <w:i/>
          <w:iCs/>
          <w:sz w:val="20"/>
          <w:szCs w:val="20"/>
        </w:rPr>
        <w:t>Biochem</w:t>
      </w:r>
      <w:proofErr w:type="spellEnd"/>
      <w:r w:rsidRPr="001C1ABA">
        <w:rPr>
          <w:rFonts w:ascii="Times New Roman" w:hAnsi="Times New Roman" w:cs="Times New Roman"/>
          <w:i/>
          <w:iCs/>
          <w:sz w:val="20"/>
          <w:szCs w:val="20"/>
        </w:rPr>
        <w:t xml:space="preserve"> Cell Biol</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43</w:t>
      </w:r>
      <w:r w:rsidRPr="001C1ABA">
        <w:rPr>
          <w:rFonts w:ascii="Times New Roman" w:hAnsi="Times New Roman" w:cs="Times New Roman"/>
          <w:sz w:val="20"/>
          <w:szCs w:val="20"/>
        </w:rPr>
        <w:t>, 969-80.</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rPr>
        <w:t xml:space="preserve">Meijer TW, </w:t>
      </w:r>
      <w:proofErr w:type="spellStart"/>
      <w:r w:rsidRPr="001C1ABA">
        <w:rPr>
          <w:rFonts w:ascii="Times New Roman" w:hAnsi="Times New Roman" w:cs="Times New Roman"/>
          <w:sz w:val="20"/>
          <w:szCs w:val="20"/>
        </w:rPr>
        <w:t>Kaanders</w:t>
      </w:r>
      <w:proofErr w:type="spellEnd"/>
      <w:r w:rsidRPr="001C1ABA">
        <w:rPr>
          <w:rFonts w:ascii="Times New Roman" w:hAnsi="Times New Roman" w:cs="Times New Roman"/>
          <w:sz w:val="20"/>
          <w:szCs w:val="20"/>
        </w:rPr>
        <w:t xml:space="preserve"> JH, Span PN and </w:t>
      </w:r>
      <w:proofErr w:type="spellStart"/>
      <w:r w:rsidRPr="001C1ABA">
        <w:rPr>
          <w:rFonts w:ascii="Times New Roman" w:hAnsi="Times New Roman" w:cs="Times New Roman"/>
          <w:sz w:val="20"/>
          <w:szCs w:val="20"/>
        </w:rPr>
        <w:t>Bussink</w:t>
      </w:r>
      <w:proofErr w:type="spellEnd"/>
      <w:r w:rsidRPr="001C1ABA">
        <w:rPr>
          <w:rFonts w:ascii="Times New Roman" w:hAnsi="Times New Roman" w:cs="Times New Roman"/>
          <w:sz w:val="20"/>
          <w:szCs w:val="20"/>
        </w:rPr>
        <w:t xml:space="preserve"> J. (2012): Targeting hypoxia, HIF-1, and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glucose metabolism to improve radiotherapy efficacy. </w:t>
      </w:r>
      <w:r w:rsidRPr="001C1ABA">
        <w:rPr>
          <w:rFonts w:ascii="Times New Roman" w:hAnsi="Times New Roman" w:cs="Times New Roman"/>
          <w:i/>
          <w:iCs/>
          <w:sz w:val="20"/>
          <w:szCs w:val="20"/>
        </w:rPr>
        <w:t>Clinical Cancer Research</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18</w:t>
      </w:r>
      <w:r w:rsidRPr="001C1ABA">
        <w:rPr>
          <w:rFonts w:ascii="Times New Roman" w:hAnsi="Times New Roman" w:cs="Times New Roman"/>
          <w:sz w:val="20"/>
          <w:szCs w:val="20"/>
        </w:rPr>
        <w:t>, 5585–94.</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rPr>
        <w:lastRenderedPageBreak/>
        <w:t>Miller DM, Thomas SD, Islam A et al. (2012): c-</w:t>
      </w:r>
      <w:proofErr w:type="spellStart"/>
      <w:r w:rsidRPr="001C1ABA">
        <w:rPr>
          <w:rFonts w:ascii="Times New Roman" w:hAnsi="Times New Roman" w:cs="Times New Roman"/>
          <w:sz w:val="20"/>
          <w:szCs w:val="20"/>
        </w:rPr>
        <w:t>Myc</w:t>
      </w:r>
      <w:proofErr w:type="spellEnd"/>
      <w:r w:rsidRPr="001C1ABA">
        <w:rPr>
          <w:rFonts w:ascii="Times New Roman" w:hAnsi="Times New Roman" w:cs="Times New Roman"/>
          <w:sz w:val="20"/>
          <w:szCs w:val="20"/>
        </w:rPr>
        <w:t xml:space="preserve"> and cancer metabolism. </w:t>
      </w:r>
      <w:r w:rsidRPr="001C1ABA">
        <w:rPr>
          <w:rFonts w:ascii="Times New Roman" w:hAnsi="Times New Roman" w:cs="Times New Roman"/>
          <w:i/>
          <w:iCs/>
          <w:sz w:val="20"/>
          <w:szCs w:val="20"/>
        </w:rPr>
        <w:t xml:space="preserve">Clinical Cancer Research, </w:t>
      </w:r>
      <w:r w:rsidRPr="001C1ABA">
        <w:rPr>
          <w:rFonts w:ascii="Times New Roman" w:hAnsi="Times New Roman" w:cs="Times New Roman"/>
          <w:bCs/>
          <w:sz w:val="20"/>
          <w:szCs w:val="20"/>
        </w:rPr>
        <w:t>18</w:t>
      </w:r>
      <w:r w:rsidRPr="001C1ABA">
        <w:rPr>
          <w:rFonts w:ascii="Times New Roman" w:hAnsi="Times New Roman" w:cs="Times New Roman"/>
          <w:sz w:val="20"/>
          <w:szCs w:val="20"/>
        </w:rPr>
        <w:t>, 5546–53.</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eastAsia="Times New Roman" w:hAnsi="Times New Roman" w:cs="Times New Roman"/>
          <w:sz w:val="20"/>
          <w:szCs w:val="20"/>
        </w:rPr>
      </w:pPr>
      <w:proofErr w:type="spellStart"/>
      <w:r w:rsidRPr="001C1ABA">
        <w:rPr>
          <w:rFonts w:ascii="Times New Roman" w:eastAsia="Times New Roman" w:hAnsi="Times New Roman" w:cs="Times New Roman"/>
          <w:sz w:val="20"/>
          <w:szCs w:val="20"/>
        </w:rPr>
        <w:t>Sawayama</w:t>
      </w:r>
      <w:proofErr w:type="spellEnd"/>
      <w:r w:rsidRPr="001C1ABA">
        <w:rPr>
          <w:rFonts w:ascii="Times New Roman" w:eastAsia="Times New Roman" w:hAnsi="Times New Roman" w:cs="Times New Roman"/>
          <w:sz w:val="20"/>
          <w:szCs w:val="20"/>
        </w:rPr>
        <w:t xml:space="preserve"> H, Ishimoto T, Sugihara H et al. (2014):</w:t>
      </w:r>
      <w:r w:rsidRPr="001C1ABA">
        <w:rPr>
          <w:rFonts w:ascii="Times New Roman" w:hAnsi="Times New Roman" w:cs="Times New Roman"/>
          <w:sz w:val="20"/>
          <w:szCs w:val="20"/>
        </w:rPr>
        <w:t xml:space="preserve"> Clinical impact of the Warburg effect in gastrointestinal cancer. </w:t>
      </w:r>
      <w:r w:rsidRPr="001C1ABA">
        <w:rPr>
          <w:rFonts w:ascii="Times New Roman" w:eastAsia="Times New Roman" w:hAnsi="Times New Roman" w:cs="Times New Roman"/>
          <w:i/>
          <w:iCs/>
          <w:sz w:val="20"/>
          <w:szCs w:val="20"/>
        </w:rPr>
        <w:t>International journal of oncology</w:t>
      </w:r>
      <w:r w:rsidRPr="001C1ABA">
        <w:rPr>
          <w:rFonts w:ascii="Times New Roman" w:eastAsia="Times New Roman" w:hAnsi="Times New Roman" w:cs="Times New Roman"/>
          <w:sz w:val="20"/>
          <w:szCs w:val="20"/>
        </w:rPr>
        <w:t xml:space="preserve">, </w:t>
      </w:r>
      <w:r w:rsidRPr="001C1ABA">
        <w:rPr>
          <w:rFonts w:ascii="Times New Roman" w:eastAsia="Times New Roman" w:hAnsi="Times New Roman" w:cs="Times New Roman"/>
          <w:bCs/>
          <w:sz w:val="20"/>
          <w:szCs w:val="20"/>
        </w:rPr>
        <w:t>45</w:t>
      </w:r>
      <w:r w:rsidRPr="001C1ABA">
        <w:rPr>
          <w:rFonts w:ascii="Times New Roman" w:eastAsia="Times New Roman" w:hAnsi="Times New Roman" w:cs="Times New Roman"/>
          <w:sz w:val="20"/>
          <w:szCs w:val="20"/>
        </w:rPr>
        <w:t>, 1345-54.</w:t>
      </w:r>
    </w:p>
    <w:p w:rsidR="007D29AE" w:rsidRPr="001C1ABA" w:rsidRDefault="007D29AE" w:rsidP="008272B1">
      <w:pPr>
        <w:pStyle w:val="Pa21"/>
        <w:numPr>
          <w:ilvl w:val="0"/>
          <w:numId w:val="2"/>
        </w:numPr>
        <w:tabs>
          <w:tab w:val="left" w:pos="142"/>
        </w:tabs>
        <w:snapToGrid w:val="0"/>
        <w:spacing w:line="240" w:lineRule="auto"/>
        <w:jc w:val="both"/>
        <w:rPr>
          <w:rFonts w:ascii="Times New Roman" w:hAnsi="Times New Roman" w:cs="Times New Roman"/>
          <w:sz w:val="20"/>
          <w:szCs w:val="20"/>
        </w:rPr>
      </w:pPr>
      <w:r w:rsidRPr="001C1ABA">
        <w:rPr>
          <w:rFonts w:ascii="Times New Roman" w:hAnsi="Times New Roman" w:cs="Times New Roman"/>
          <w:sz w:val="20"/>
          <w:szCs w:val="20"/>
        </w:rPr>
        <w:t xml:space="preserve">Schneider J, </w:t>
      </w:r>
      <w:proofErr w:type="spellStart"/>
      <w:r w:rsidRPr="001C1ABA">
        <w:rPr>
          <w:rFonts w:ascii="Times New Roman" w:hAnsi="Times New Roman" w:cs="Times New Roman"/>
          <w:sz w:val="20"/>
          <w:szCs w:val="20"/>
        </w:rPr>
        <w:t>Neu</w:t>
      </w:r>
      <w:proofErr w:type="spellEnd"/>
      <w:r w:rsidRPr="001C1ABA">
        <w:rPr>
          <w:rFonts w:ascii="Times New Roman" w:hAnsi="Times New Roman" w:cs="Times New Roman"/>
          <w:sz w:val="20"/>
          <w:szCs w:val="20"/>
        </w:rPr>
        <w:t xml:space="preserve"> K, Grimm H et al. (2002): </w:t>
      </w:r>
      <w:proofErr w:type="spellStart"/>
      <w:r w:rsidRPr="001C1ABA">
        <w:rPr>
          <w:rFonts w:ascii="Times New Roman" w:hAnsi="Times New Roman" w:cs="Times New Roman"/>
          <w:sz w:val="20"/>
          <w:szCs w:val="20"/>
        </w:rPr>
        <w:t>Tumor</w:t>
      </w:r>
      <w:proofErr w:type="spellEnd"/>
      <w:r w:rsidRPr="001C1ABA">
        <w:rPr>
          <w:rFonts w:ascii="Times New Roman" w:hAnsi="Times New Roman" w:cs="Times New Roman"/>
          <w:sz w:val="20"/>
          <w:szCs w:val="20"/>
        </w:rPr>
        <w:t xml:space="preserve"> M2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in lung cancer pa</w:t>
      </w:r>
      <w:r w:rsidRPr="001C1ABA">
        <w:rPr>
          <w:rFonts w:ascii="Times New Roman" w:hAnsi="Times New Roman" w:cs="Times New Roman"/>
          <w:sz w:val="20"/>
          <w:szCs w:val="20"/>
        </w:rPr>
        <w:softHyphen/>
        <w:t xml:space="preserve">tients: </w:t>
      </w:r>
      <w:proofErr w:type="spellStart"/>
      <w:r w:rsidRPr="001C1ABA">
        <w:rPr>
          <w:rFonts w:ascii="Times New Roman" w:hAnsi="Times New Roman" w:cs="Times New Roman"/>
          <w:sz w:val="20"/>
          <w:szCs w:val="20"/>
        </w:rPr>
        <w:t>immunohistochemical</w:t>
      </w:r>
      <w:proofErr w:type="spellEnd"/>
      <w:r w:rsidRPr="001C1ABA">
        <w:rPr>
          <w:rFonts w:ascii="Times New Roman" w:hAnsi="Times New Roman" w:cs="Times New Roman"/>
          <w:sz w:val="20"/>
          <w:szCs w:val="20"/>
        </w:rPr>
        <w:t xml:space="preserve"> detection and disease monitor</w:t>
      </w:r>
      <w:r w:rsidRPr="001C1ABA">
        <w:rPr>
          <w:rFonts w:ascii="Times New Roman" w:hAnsi="Times New Roman" w:cs="Times New Roman"/>
          <w:sz w:val="20"/>
          <w:szCs w:val="20"/>
        </w:rPr>
        <w:softHyphen/>
        <w:t xml:space="preserve">ing. </w:t>
      </w:r>
      <w:r w:rsidRPr="001C1ABA">
        <w:rPr>
          <w:rFonts w:ascii="Times New Roman" w:hAnsi="Times New Roman" w:cs="Times New Roman"/>
          <w:i/>
          <w:iCs/>
          <w:sz w:val="20"/>
          <w:szCs w:val="20"/>
        </w:rPr>
        <w:t>Anticancer Res</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22</w:t>
      </w:r>
      <w:r w:rsidRPr="001C1ABA">
        <w:rPr>
          <w:rFonts w:ascii="Times New Roman" w:hAnsi="Times New Roman" w:cs="Times New Roman"/>
          <w:sz w:val="20"/>
          <w:szCs w:val="20"/>
        </w:rPr>
        <w:t>, 311-18.</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proofErr w:type="spellStart"/>
      <w:r w:rsidRPr="001C1ABA">
        <w:rPr>
          <w:rFonts w:ascii="Times New Roman" w:hAnsi="Times New Roman" w:cs="Times New Roman"/>
          <w:sz w:val="20"/>
          <w:szCs w:val="20"/>
        </w:rPr>
        <w:t>Semenza</w:t>
      </w:r>
      <w:proofErr w:type="spellEnd"/>
      <w:r w:rsidRPr="001C1ABA">
        <w:rPr>
          <w:rFonts w:ascii="Times New Roman" w:hAnsi="Times New Roman" w:cs="Times New Roman"/>
          <w:sz w:val="20"/>
          <w:szCs w:val="20"/>
        </w:rPr>
        <w:t xml:space="preserve"> GL (1998): Hypoxia-inducible factor 1: master regulator of O</w:t>
      </w:r>
      <w:r w:rsidRPr="001C1ABA">
        <w:rPr>
          <w:rFonts w:ascii="Times New Roman" w:hAnsi="Times New Roman" w:cs="Times New Roman"/>
          <w:sz w:val="20"/>
          <w:szCs w:val="20"/>
          <w:vertAlign w:val="subscript"/>
        </w:rPr>
        <w:t>2</w:t>
      </w:r>
      <w:r w:rsidRPr="001C1ABA">
        <w:rPr>
          <w:rFonts w:ascii="Times New Roman" w:hAnsi="Times New Roman" w:cs="Times New Roman"/>
          <w:sz w:val="20"/>
          <w:szCs w:val="20"/>
        </w:rPr>
        <w:t xml:space="preserve"> homeostasis. </w:t>
      </w:r>
      <w:r w:rsidRPr="001C1ABA">
        <w:rPr>
          <w:rFonts w:ascii="Times New Roman" w:hAnsi="Times New Roman" w:cs="Times New Roman"/>
          <w:i/>
          <w:iCs/>
          <w:sz w:val="20"/>
          <w:szCs w:val="20"/>
        </w:rPr>
        <w:t>Current Opinion in Genetics and Development</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8</w:t>
      </w:r>
      <w:r w:rsidRPr="001C1ABA">
        <w:rPr>
          <w:rFonts w:ascii="Times New Roman" w:hAnsi="Times New Roman" w:cs="Times New Roman"/>
          <w:sz w:val="20"/>
          <w:szCs w:val="20"/>
        </w:rPr>
        <w:t>, 588–94.</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proofErr w:type="spellStart"/>
      <w:r w:rsidRPr="001C1ABA">
        <w:rPr>
          <w:rFonts w:ascii="Times New Roman" w:hAnsi="Times New Roman" w:cs="Times New Roman"/>
          <w:sz w:val="20"/>
          <w:szCs w:val="20"/>
        </w:rPr>
        <w:t>Semenza</w:t>
      </w:r>
      <w:proofErr w:type="spellEnd"/>
      <w:r w:rsidRPr="001C1ABA">
        <w:rPr>
          <w:rFonts w:ascii="Times New Roman" w:hAnsi="Times New Roman" w:cs="Times New Roman"/>
          <w:sz w:val="20"/>
          <w:szCs w:val="20"/>
        </w:rPr>
        <w:t xml:space="preserve"> GL (2010): HIF-1: upstream and downstream of cancer metabolism. </w:t>
      </w:r>
      <w:r w:rsidRPr="001C1ABA">
        <w:rPr>
          <w:rFonts w:ascii="Times New Roman" w:hAnsi="Times New Roman" w:cs="Times New Roman"/>
          <w:i/>
          <w:iCs/>
          <w:sz w:val="20"/>
          <w:szCs w:val="20"/>
        </w:rPr>
        <w:t>Current Opinion in Genetics and Development</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20</w:t>
      </w:r>
      <w:r w:rsidRPr="001C1ABA">
        <w:rPr>
          <w:rFonts w:ascii="Times New Roman" w:hAnsi="Times New Roman" w:cs="Times New Roman"/>
          <w:sz w:val="20"/>
          <w:szCs w:val="20"/>
        </w:rPr>
        <w:t>, 51–6.</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rPr>
        <w:t xml:space="preserve">Song LP, Zhang J, Wu SF et al. (2008): Hypoxia-inducible factor-1α-induced differentiation of myeloid leukemic cells is its transcriptional activity independent. </w:t>
      </w:r>
      <w:proofErr w:type="spellStart"/>
      <w:r w:rsidRPr="001C1ABA">
        <w:rPr>
          <w:rFonts w:ascii="Times New Roman" w:hAnsi="Times New Roman" w:cs="Times New Roman"/>
          <w:i/>
          <w:iCs/>
          <w:sz w:val="20"/>
          <w:szCs w:val="20"/>
        </w:rPr>
        <w:t>Oncogene</w:t>
      </w:r>
      <w:proofErr w:type="spellEnd"/>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27</w:t>
      </w:r>
      <w:r w:rsidRPr="001C1ABA">
        <w:rPr>
          <w:rFonts w:ascii="Times New Roman" w:hAnsi="Times New Roman" w:cs="Times New Roman"/>
          <w:sz w:val="20"/>
          <w:szCs w:val="20"/>
        </w:rPr>
        <w:t>, 519–27.</w:t>
      </w:r>
    </w:p>
    <w:p w:rsidR="007D29AE" w:rsidRPr="001C1ABA" w:rsidRDefault="007D29AE" w:rsidP="008272B1">
      <w:pPr>
        <w:pStyle w:val="ListParagraph"/>
        <w:numPr>
          <w:ilvl w:val="0"/>
          <w:numId w:val="2"/>
        </w:numPr>
        <w:tabs>
          <w:tab w:val="left" w:pos="142"/>
        </w:tabs>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rPr>
        <w:t>Sun L, Chen F, Shi W et al. (2014): Prognostic impact of TAZ and β-</w:t>
      </w:r>
      <w:proofErr w:type="spellStart"/>
      <w:r w:rsidRPr="001C1ABA">
        <w:rPr>
          <w:rFonts w:ascii="Times New Roman" w:hAnsi="Times New Roman" w:cs="Times New Roman"/>
          <w:sz w:val="20"/>
          <w:szCs w:val="20"/>
        </w:rPr>
        <w:t>catenin</w:t>
      </w:r>
      <w:proofErr w:type="spellEnd"/>
      <w:r w:rsidRPr="001C1ABA">
        <w:rPr>
          <w:rFonts w:ascii="Times New Roman" w:hAnsi="Times New Roman" w:cs="Times New Roman"/>
          <w:sz w:val="20"/>
          <w:szCs w:val="20"/>
        </w:rPr>
        <w:t xml:space="preserve"> expression in </w:t>
      </w:r>
      <w:proofErr w:type="spellStart"/>
      <w:r w:rsidRPr="001C1ABA">
        <w:rPr>
          <w:rFonts w:ascii="Times New Roman" w:hAnsi="Times New Roman" w:cs="Times New Roman"/>
          <w:sz w:val="20"/>
          <w:szCs w:val="20"/>
        </w:rPr>
        <w:t>adenocarcinoma</w:t>
      </w:r>
      <w:proofErr w:type="spellEnd"/>
      <w:r w:rsidRPr="001C1ABA">
        <w:rPr>
          <w:rFonts w:ascii="Times New Roman" w:hAnsi="Times New Roman" w:cs="Times New Roman"/>
          <w:sz w:val="20"/>
          <w:szCs w:val="20"/>
        </w:rPr>
        <w:t xml:space="preserve"> of the </w:t>
      </w:r>
      <w:proofErr w:type="spellStart"/>
      <w:r w:rsidRPr="001C1ABA">
        <w:rPr>
          <w:rFonts w:ascii="Times New Roman" w:hAnsi="Times New Roman" w:cs="Times New Roman"/>
          <w:sz w:val="20"/>
          <w:szCs w:val="20"/>
        </w:rPr>
        <w:t>esophagogastric</w:t>
      </w:r>
      <w:proofErr w:type="spellEnd"/>
      <w:r w:rsidRPr="001C1ABA">
        <w:rPr>
          <w:rFonts w:ascii="Times New Roman" w:hAnsi="Times New Roman" w:cs="Times New Roman"/>
          <w:sz w:val="20"/>
          <w:szCs w:val="20"/>
        </w:rPr>
        <w:t xml:space="preserve"> junction. </w:t>
      </w:r>
      <w:r w:rsidRPr="001C1ABA">
        <w:rPr>
          <w:rFonts w:ascii="Times New Roman" w:hAnsi="Times New Roman" w:cs="Times New Roman"/>
          <w:i/>
          <w:iCs/>
          <w:sz w:val="20"/>
          <w:szCs w:val="20"/>
        </w:rPr>
        <w:t>Diagnostic Pathology</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9</w:t>
      </w:r>
      <w:r w:rsidRPr="001C1ABA">
        <w:rPr>
          <w:rFonts w:ascii="Times New Roman" w:hAnsi="Times New Roman" w:cs="Times New Roman"/>
          <w:sz w:val="20"/>
          <w:szCs w:val="20"/>
        </w:rPr>
        <w:t>, 125.</w:t>
      </w:r>
    </w:p>
    <w:p w:rsidR="007D29AE" w:rsidRPr="001C1ABA" w:rsidRDefault="00050A94" w:rsidP="008272B1">
      <w:pPr>
        <w:pStyle w:val="ListParagraph"/>
        <w:numPr>
          <w:ilvl w:val="0"/>
          <w:numId w:val="2"/>
        </w:numPr>
        <w:tabs>
          <w:tab w:val="left" w:pos="142"/>
        </w:tabs>
        <w:adjustRightInd w:val="0"/>
        <w:snapToGrid w:val="0"/>
        <w:spacing w:after="0" w:line="240" w:lineRule="auto"/>
        <w:contextualSpacing w:val="0"/>
        <w:jc w:val="both"/>
        <w:outlineLvl w:val="1"/>
        <w:rPr>
          <w:rFonts w:ascii="Times New Roman" w:hAnsi="Times New Roman" w:cs="Times New Roman"/>
          <w:sz w:val="20"/>
          <w:szCs w:val="20"/>
        </w:rPr>
      </w:pPr>
      <w:hyperlink r:id="rId27" w:history="1">
        <w:proofErr w:type="spellStart"/>
        <w:r w:rsidR="007D29AE" w:rsidRPr="001C1ABA">
          <w:rPr>
            <w:rFonts w:ascii="Times New Roman" w:eastAsia="Times New Roman" w:hAnsi="Times New Roman" w:cs="Times New Roman"/>
            <w:sz w:val="20"/>
            <w:szCs w:val="20"/>
          </w:rPr>
          <w:t>Taghavi</w:t>
        </w:r>
        <w:proofErr w:type="spellEnd"/>
      </w:hyperlink>
      <w:r w:rsidR="007D29AE" w:rsidRPr="001C1ABA">
        <w:rPr>
          <w:rFonts w:ascii="Times New Roman" w:hAnsi="Times New Roman" w:cs="Times New Roman"/>
          <w:sz w:val="20"/>
          <w:szCs w:val="20"/>
        </w:rPr>
        <w:t xml:space="preserve"> S</w:t>
      </w:r>
      <w:r w:rsidR="007D29AE" w:rsidRPr="001C1ABA">
        <w:rPr>
          <w:rFonts w:ascii="Times New Roman" w:eastAsia="Times New Roman" w:hAnsi="Times New Roman" w:cs="Times New Roman"/>
          <w:sz w:val="20"/>
          <w:szCs w:val="20"/>
        </w:rPr>
        <w:t xml:space="preserve">, </w:t>
      </w:r>
      <w:hyperlink r:id="rId28" w:history="1">
        <w:proofErr w:type="spellStart"/>
        <w:r w:rsidR="007D29AE" w:rsidRPr="001C1ABA">
          <w:rPr>
            <w:rFonts w:ascii="Times New Roman" w:eastAsia="Times New Roman" w:hAnsi="Times New Roman" w:cs="Times New Roman"/>
            <w:sz w:val="20"/>
            <w:szCs w:val="20"/>
          </w:rPr>
          <w:t>Jayarajan</w:t>
        </w:r>
        <w:proofErr w:type="spellEnd"/>
      </w:hyperlink>
      <w:r w:rsidR="007D29AE" w:rsidRPr="001C1ABA">
        <w:rPr>
          <w:rFonts w:ascii="Times New Roman" w:hAnsi="Times New Roman" w:cs="Times New Roman"/>
          <w:sz w:val="20"/>
          <w:szCs w:val="20"/>
        </w:rPr>
        <w:t xml:space="preserve"> SN</w:t>
      </w:r>
      <w:r w:rsidR="007D29AE" w:rsidRPr="001C1ABA">
        <w:rPr>
          <w:rFonts w:ascii="Times New Roman" w:eastAsia="Times New Roman" w:hAnsi="Times New Roman" w:cs="Times New Roman"/>
          <w:sz w:val="20"/>
          <w:szCs w:val="20"/>
        </w:rPr>
        <w:t xml:space="preserve">, </w:t>
      </w:r>
      <w:hyperlink r:id="rId29" w:history="1">
        <w:r w:rsidR="007D29AE" w:rsidRPr="001C1ABA">
          <w:rPr>
            <w:rFonts w:ascii="Times New Roman" w:eastAsia="Times New Roman" w:hAnsi="Times New Roman" w:cs="Times New Roman"/>
            <w:sz w:val="20"/>
            <w:szCs w:val="20"/>
          </w:rPr>
          <w:t>Davey</w:t>
        </w:r>
      </w:hyperlink>
      <w:r w:rsidR="007D29AE" w:rsidRPr="001C1ABA">
        <w:rPr>
          <w:rFonts w:ascii="Times New Roman" w:hAnsi="Times New Roman" w:cs="Times New Roman"/>
          <w:sz w:val="20"/>
          <w:szCs w:val="20"/>
        </w:rPr>
        <w:t xml:space="preserve"> A</w:t>
      </w:r>
      <w:r w:rsidR="007D29AE" w:rsidRPr="001C1ABA">
        <w:rPr>
          <w:rFonts w:ascii="Times New Roman" w:eastAsia="Times New Roman" w:hAnsi="Times New Roman" w:cs="Times New Roman"/>
          <w:sz w:val="20"/>
          <w:szCs w:val="20"/>
        </w:rPr>
        <w:t xml:space="preserve"> and </w:t>
      </w:r>
      <w:hyperlink r:id="rId30" w:history="1">
        <w:r w:rsidR="007D29AE" w:rsidRPr="001C1ABA">
          <w:rPr>
            <w:rFonts w:ascii="Times New Roman" w:eastAsia="Times New Roman" w:hAnsi="Times New Roman" w:cs="Times New Roman"/>
            <w:sz w:val="20"/>
            <w:szCs w:val="20"/>
          </w:rPr>
          <w:t>Willis</w:t>
        </w:r>
      </w:hyperlink>
      <w:r w:rsidR="007D29AE" w:rsidRPr="001C1ABA">
        <w:rPr>
          <w:rFonts w:ascii="Times New Roman" w:hAnsi="Times New Roman" w:cs="Times New Roman"/>
          <w:sz w:val="20"/>
          <w:szCs w:val="20"/>
        </w:rPr>
        <w:t xml:space="preserve"> AI (</w:t>
      </w:r>
      <w:r w:rsidR="007D29AE" w:rsidRPr="001C1ABA">
        <w:rPr>
          <w:rFonts w:ascii="Times New Roman" w:eastAsia="Times New Roman" w:hAnsi="Times New Roman" w:cs="Times New Roman"/>
          <w:sz w:val="20"/>
          <w:szCs w:val="20"/>
        </w:rPr>
        <w:t>2012)</w:t>
      </w:r>
      <w:r w:rsidR="007D29AE" w:rsidRPr="001C1ABA">
        <w:rPr>
          <w:rFonts w:ascii="Times New Roman" w:hAnsi="Times New Roman" w:cs="Times New Roman"/>
          <w:sz w:val="20"/>
          <w:szCs w:val="20"/>
        </w:rPr>
        <w:t>:</w:t>
      </w:r>
      <w:r w:rsidR="007D29AE" w:rsidRPr="001C1ABA">
        <w:rPr>
          <w:rFonts w:ascii="Times New Roman" w:eastAsia="Times New Roman" w:hAnsi="Times New Roman" w:cs="Times New Roman"/>
          <w:sz w:val="20"/>
          <w:szCs w:val="20"/>
        </w:rPr>
        <w:t xml:space="preserve"> Prognostic Significance of Signet Ring Gastric Cancer.</w:t>
      </w:r>
      <w:r w:rsidR="00DB096E">
        <w:rPr>
          <w:rFonts w:ascii="Times New Roman" w:hAnsi="Times New Roman" w:cs="Times New Roman" w:hint="eastAsia"/>
          <w:sz w:val="20"/>
          <w:szCs w:val="20"/>
          <w:lang w:eastAsia="zh-CN"/>
        </w:rPr>
        <w:t xml:space="preserve"> </w:t>
      </w:r>
      <w:r w:rsidR="007D29AE" w:rsidRPr="001C1ABA">
        <w:rPr>
          <w:rFonts w:ascii="Times New Roman" w:hAnsi="Times New Roman" w:cs="Times New Roman"/>
          <w:i/>
          <w:iCs/>
          <w:sz w:val="20"/>
          <w:szCs w:val="20"/>
        </w:rPr>
        <w:t xml:space="preserve">J </w:t>
      </w:r>
      <w:proofErr w:type="spellStart"/>
      <w:r w:rsidR="007D29AE" w:rsidRPr="001C1ABA">
        <w:rPr>
          <w:rFonts w:ascii="Times New Roman" w:hAnsi="Times New Roman" w:cs="Times New Roman"/>
          <w:i/>
          <w:iCs/>
          <w:sz w:val="20"/>
          <w:szCs w:val="20"/>
        </w:rPr>
        <w:t>Clin</w:t>
      </w:r>
      <w:proofErr w:type="spellEnd"/>
      <w:r w:rsidR="007D29AE" w:rsidRPr="001C1ABA">
        <w:rPr>
          <w:rFonts w:ascii="Times New Roman" w:hAnsi="Times New Roman" w:cs="Times New Roman"/>
          <w:i/>
          <w:iCs/>
          <w:sz w:val="20"/>
          <w:szCs w:val="20"/>
        </w:rPr>
        <w:t xml:space="preserve"> </w:t>
      </w:r>
      <w:proofErr w:type="spellStart"/>
      <w:r w:rsidR="007D29AE" w:rsidRPr="001C1ABA">
        <w:rPr>
          <w:rFonts w:ascii="Times New Roman" w:hAnsi="Times New Roman" w:cs="Times New Roman"/>
          <w:i/>
          <w:iCs/>
          <w:sz w:val="20"/>
          <w:szCs w:val="20"/>
        </w:rPr>
        <w:t>Oncol</w:t>
      </w:r>
      <w:proofErr w:type="spellEnd"/>
      <w:r w:rsidR="007D29AE" w:rsidRPr="001C1ABA">
        <w:rPr>
          <w:rFonts w:ascii="Times New Roman" w:hAnsi="Times New Roman" w:cs="Times New Roman"/>
          <w:sz w:val="20"/>
          <w:szCs w:val="20"/>
        </w:rPr>
        <w:t xml:space="preserve">, </w:t>
      </w:r>
      <w:r w:rsidR="007D29AE" w:rsidRPr="001C1ABA">
        <w:rPr>
          <w:rFonts w:ascii="Times New Roman" w:hAnsi="Times New Roman" w:cs="Times New Roman"/>
          <w:bCs/>
          <w:sz w:val="20"/>
          <w:szCs w:val="20"/>
        </w:rPr>
        <w:t>30</w:t>
      </w:r>
      <w:r w:rsidR="007D29AE" w:rsidRPr="001C1ABA">
        <w:rPr>
          <w:rFonts w:ascii="Times New Roman" w:hAnsi="Times New Roman" w:cs="Times New Roman"/>
          <w:sz w:val="20"/>
          <w:szCs w:val="20"/>
        </w:rPr>
        <w:t>, 3493-8.</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lang w:val="fr-FR"/>
        </w:rPr>
      </w:pPr>
      <w:r w:rsidRPr="001C1ABA">
        <w:rPr>
          <w:rFonts w:ascii="Times New Roman" w:hAnsi="Times New Roman" w:cs="Times New Roman"/>
          <w:sz w:val="20"/>
          <w:szCs w:val="20"/>
        </w:rPr>
        <w:t xml:space="preserve">Vander </w:t>
      </w:r>
      <w:proofErr w:type="spellStart"/>
      <w:r w:rsidRPr="001C1ABA">
        <w:rPr>
          <w:rFonts w:ascii="Times New Roman" w:hAnsi="Times New Roman" w:cs="Times New Roman"/>
          <w:sz w:val="20"/>
          <w:szCs w:val="20"/>
        </w:rPr>
        <w:t>Heiden</w:t>
      </w:r>
      <w:proofErr w:type="spellEnd"/>
      <w:r w:rsidRPr="001C1ABA">
        <w:rPr>
          <w:rFonts w:ascii="Times New Roman" w:hAnsi="Times New Roman" w:cs="Times New Roman"/>
          <w:sz w:val="20"/>
          <w:szCs w:val="20"/>
        </w:rPr>
        <w:t xml:space="preserve"> MG, </w:t>
      </w:r>
      <w:proofErr w:type="spellStart"/>
      <w:r w:rsidRPr="001C1ABA">
        <w:rPr>
          <w:rFonts w:ascii="Times New Roman" w:hAnsi="Times New Roman" w:cs="Times New Roman"/>
          <w:sz w:val="20"/>
          <w:szCs w:val="20"/>
        </w:rPr>
        <w:t>Christofk</w:t>
      </w:r>
      <w:proofErr w:type="spellEnd"/>
      <w:r w:rsidRPr="001C1ABA">
        <w:rPr>
          <w:rFonts w:ascii="Times New Roman" w:hAnsi="Times New Roman" w:cs="Times New Roman"/>
          <w:sz w:val="20"/>
          <w:szCs w:val="20"/>
        </w:rPr>
        <w:t xml:space="preserve"> HR, Schuman E et al. (2010): Identification of small molecule inhibitors of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M2. </w:t>
      </w:r>
      <w:proofErr w:type="spellStart"/>
      <w:r w:rsidRPr="001C1ABA">
        <w:rPr>
          <w:rFonts w:ascii="Times New Roman" w:hAnsi="Times New Roman" w:cs="Times New Roman"/>
          <w:i/>
          <w:iCs/>
          <w:sz w:val="20"/>
          <w:szCs w:val="20"/>
          <w:lang w:val="fr-FR"/>
        </w:rPr>
        <w:t>Biochem</w:t>
      </w:r>
      <w:proofErr w:type="spellEnd"/>
      <w:r w:rsidRPr="001C1ABA">
        <w:rPr>
          <w:rFonts w:ascii="Times New Roman" w:hAnsi="Times New Roman" w:cs="Times New Roman"/>
          <w:i/>
          <w:iCs/>
          <w:sz w:val="20"/>
          <w:szCs w:val="20"/>
          <w:lang w:val="fr-FR"/>
        </w:rPr>
        <w:t xml:space="preserve"> </w:t>
      </w:r>
      <w:proofErr w:type="spellStart"/>
      <w:r w:rsidRPr="001C1ABA">
        <w:rPr>
          <w:rFonts w:ascii="Times New Roman" w:hAnsi="Times New Roman" w:cs="Times New Roman"/>
          <w:i/>
          <w:iCs/>
          <w:sz w:val="20"/>
          <w:szCs w:val="20"/>
          <w:lang w:val="fr-FR"/>
        </w:rPr>
        <w:t>Pharmacol</w:t>
      </w:r>
      <w:proofErr w:type="spellEnd"/>
      <w:r w:rsidRPr="001C1ABA">
        <w:rPr>
          <w:rFonts w:ascii="Times New Roman" w:hAnsi="Times New Roman" w:cs="Times New Roman"/>
          <w:sz w:val="20"/>
          <w:szCs w:val="20"/>
          <w:lang w:val="fr-FR"/>
        </w:rPr>
        <w:t xml:space="preserve">. </w:t>
      </w:r>
      <w:r w:rsidRPr="001C1ABA">
        <w:rPr>
          <w:rFonts w:ascii="Times New Roman" w:hAnsi="Times New Roman" w:cs="Times New Roman"/>
          <w:bCs/>
          <w:sz w:val="20"/>
          <w:szCs w:val="20"/>
          <w:lang w:val="fr-FR"/>
        </w:rPr>
        <w:t>79</w:t>
      </w:r>
      <w:r w:rsidRPr="001C1ABA">
        <w:rPr>
          <w:rFonts w:ascii="Times New Roman" w:hAnsi="Times New Roman" w:cs="Times New Roman"/>
          <w:sz w:val="20"/>
          <w:szCs w:val="20"/>
          <w:lang w:val="fr-FR"/>
        </w:rPr>
        <w:t>, 1118-24.</w:t>
      </w:r>
    </w:p>
    <w:p w:rsidR="007D29AE" w:rsidRPr="001C1ABA" w:rsidRDefault="007D29AE" w:rsidP="008272B1">
      <w:pPr>
        <w:pStyle w:val="ListParagraph"/>
        <w:numPr>
          <w:ilvl w:val="0"/>
          <w:numId w:val="2"/>
        </w:numPr>
        <w:tabs>
          <w:tab w:val="left" w:pos="142"/>
        </w:tabs>
        <w:autoSpaceDE w:val="0"/>
        <w:autoSpaceDN w:val="0"/>
        <w:adjustRightInd w:val="0"/>
        <w:snapToGrid w:val="0"/>
        <w:spacing w:after="0" w:line="240" w:lineRule="auto"/>
        <w:contextualSpacing w:val="0"/>
        <w:jc w:val="both"/>
        <w:rPr>
          <w:rFonts w:ascii="Times New Roman" w:hAnsi="Times New Roman" w:cs="Times New Roman"/>
          <w:sz w:val="20"/>
          <w:szCs w:val="20"/>
        </w:rPr>
      </w:pPr>
      <w:proofErr w:type="spellStart"/>
      <w:r w:rsidRPr="001C1ABA">
        <w:rPr>
          <w:rFonts w:ascii="Times New Roman" w:hAnsi="Times New Roman" w:cs="Times New Roman"/>
          <w:sz w:val="20"/>
          <w:szCs w:val="20"/>
          <w:lang w:val="fr-FR"/>
        </w:rPr>
        <w:t>Varelas</w:t>
      </w:r>
      <w:proofErr w:type="spellEnd"/>
      <w:r w:rsidRPr="001C1ABA">
        <w:rPr>
          <w:rFonts w:ascii="Times New Roman" w:hAnsi="Times New Roman" w:cs="Times New Roman"/>
          <w:sz w:val="20"/>
          <w:szCs w:val="20"/>
          <w:lang w:val="fr-FR"/>
        </w:rPr>
        <w:t xml:space="preserve"> X, </w:t>
      </w:r>
      <w:proofErr w:type="spellStart"/>
      <w:r w:rsidRPr="001C1ABA">
        <w:rPr>
          <w:rFonts w:ascii="Times New Roman" w:hAnsi="Times New Roman" w:cs="Times New Roman"/>
          <w:sz w:val="20"/>
          <w:szCs w:val="20"/>
          <w:lang w:val="fr-FR"/>
        </w:rPr>
        <w:t>Sakuma</w:t>
      </w:r>
      <w:proofErr w:type="spellEnd"/>
      <w:r w:rsidRPr="001C1ABA">
        <w:rPr>
          <w:rFonts w:ascii="Times New Roman" w:hAnsi="Times New Roman" w:cs="Times New Roman"/>
          <w:sz w:val="20"/>
          <w:szCs w:val="20"/>
          <w:lang w:val="fr-FR"/>
        </w:rPr>
        <w:t xml:space="preserve"> R, </w:t>
      </w:r>
      <w:proofErr w:type="spellStart"/>
      <w:r w:rsidRPr="001C1ABA">
        <w:rPr>
          <w:rFonts w:ascii="Times New Roman" w:hAnsi="Times New Roman" w:cs="Times New Roman"/>
          <w:sz w:val="20"/>
          <w:szCs w:val="20"/>
          <w:lang w:val="fr-FR"/>
        </w:rPr>
        <w:t>Samavarchi</w:t>
      </w:r>
      <w:proofErr w:type="spellEnd"/>
      <w:r w:rsidRPr="001C1ABA">
        <w:rPr>
          <w:rFonts w:ascii="Times New Roman" w:hAnsi="Times New Roman" w:cs="Times New Roman"/>
          <w:sz w:val="20"/>
          <w:szCs w:val="20"/>
          <w:lang w:val="fr-FR"/>
        </w:rPr>
        <w:t xml:space="preserve">-Tehrani P et al. </w:t>
      </w:r>
      <w:r w:rsidRPr="001C1ABA">
        <w:rPr>
          <w:rFonts w:ascii="Times New Roman" w:hAnsi="Times New Roman" w:cs="Times New Roman"/>
          <w:sz w:val="20"/>
          <w:szCs w:val="20"/>
        </w:rPr>
        <w:t xml:space="preserve">(2008): TAZ controls </w:t>
      </w:r>
      <w:proofErr w:type="spellStart"/>
      <w:r w:rsidRPr="001C1ABA">
        <w:rPr>
          <w:rFonts w:ascii="Times New Roman" w:hAnsi="Times New Roman" w:cs="Times New Roman"/>
          <w:sz w:val="20"/>
          <w:szCs w:val="20"/>
        </w:rPr>
        <w:t>Smad</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nucleocytoplasmic</w:t>
      </w:r>
      <w:proofErr w:type="spellEnd"/>
      <w:r w:rsidRPr="001C1ABA">
        <w:rPr>
          <w:rFonts w:ascii="Times New Roman" w:hAnsi="Times New Roman" w:cs="Times New Roman"/>
          <w:sz w:val="20"/>
          <w:szCs w:val="20"/>
        </w:rPr>
        <w:t xml:space="preserve"> shuttling and regulates human embryonic stem-cell self-renewal. </w:t>
      </w:r>
      <w:r w:rsidRPr="001C1ABA">
        <w:rPr>
          <w:rFonts w:ascii="Times New Roman" w:hAnsi="Times New Roman" w:cs="Times New Roman"/>
          <w:i/>
          <w:iCs/>
          <w:sz w:val="20"/>
          <w:szCs w:val="20"/>
        </w:rPr>
        <w:t>Nature Cell Biology</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10</w:t>
      </w:r>
      <w:r w:rsidRPr="001C1ABA">
        <w:rPr>
          <w:rFonts w:ascii="Times New Roman" w:hAnsi="Times New Roman" w:cs="Times New Roman"/>
          <w:sz w:val="20"/>
          <w:szCs w:val="20"/>
        </w:rPr>
        <w:t>, 837–48.</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rPr>
        <w:t xml:space="preserve">Wang C, </w:t>
      </w:r>
      <w:proofErr w:type="spellStart"/>
      <w:r w:rsidRPr="001C1ABA">
        <w:rPr>
          <w:rFonts w:ascii="Times New Roman" w:hAnsi="Times New Roman" w:cs="Times New Roman"/>
          <w:sz w:val="20"/>
          <w:szCs w:val="20"/>
        </w:rPr>
        <w:t>Delogu</w:t>
      </w:r>
      <w:proofErr w:type="spellEnd"/>
      <w:r w:rsidRPr="001C1ABA">
        <w:rPr>
          <w:rFonts w:ascii="Times New Roman" w:hAnsi="Times New Roman" w:cs="Times New Roman"/>
          <w:sz w:val="20"/>
          <w:szCs w:val="20"/>
        </w:rPr>
        <w:t xml:space="preserve"> S, Ho C et al. (2012): Inactivation of Spry2 accelerates AKT-driven </w:t>
      </w:r>
      <w:proofErr w:type="spellStart"/>
      <w:r w:rsidRPr="001C1ABA">
        <w:rPr>
          <w:rFonts w:ascii="Times New Roman" w:hAnsi="Times New Roman" w:cs="Times New Roman"/>
          <w:sz w:val="20"/>
          <w:szCs w:val="20"/>
        </w:rPr>
        <w:t>hepatocarcinogenesis</w:t>
      </w:r>
      <w:proofErr w:type="spellEnd"/>
      <w:r w:rsidRPr="001C1ABA">
        <w:rPr>
          <w:rFonts w:ascii="Times New Roman" w:hAnsi="Times New Roman" w:cs="Times New Roman"/>
          <w:sz w:val="20"/>
          <w:szCs w:val="20"/>
        </w:rPr>
        <w:t xml:space="preserve"> via activation of MAPK and PKM2 pathways. </w:t>
      </w:r>
      <w:r w:rsidRPr="001C1ABA">
        <w:rPr>
          <w:rFonts w:ascii="Times New Roman" w:hAnsi="Times New Roman" w:cs="Times New Roman"/>
          <w:i/>
          <w:iCs/>
          <w:sz w:val="20"/>
          <w:szCs w:val="20"/>
        </w:rPr>
        <w:t xml:space="preserve">Journal of </w:t>
      </w:r>
      <w:proofErr w:type="spellStart"/>
      <w:r w:rsidRPr="001C1ABA">
        <w:rPr>
          <w:rFonts w:ascii="Times New Roman" w:hAnsi="Times New Roman" w:cs="Times New Roman"/>
          <w:i/>
          <w:iCs/>
          <w:sz w:val="20"/>
          <w:szCs w:val="20"/>
        </w:rPr>
        <w:t>Hepatology</w:t>
      </w:r>
      <w:proofErr w:type="spellEnd"/>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57</w:t>
      </w:r>
      <w:r w:rsidRPr="001C1ABA">
        <w:rPr>
          <w:rFonts w:ascii="Times New Roman" w:hAnsi="Times New Roman" w:cs="Times New Roman"/>
          <w:sz w:val="20"/>
          <w:szCs w:val="20"/>
        </w:rPr>
        <w:t>, 577–83.</w:t>
      </w:r>
    </w:p>
    <w:p w:rsidR="007D29AE" w:rsidRPr="001C1ABA" w:rsidRDefault="007D29AE" w:rsidP="008272B1">
      <w:pPr>
        <w:pStyle w:val="ListParagraph"/>
        <w:numPr>
          <w:ilvl w:val="0"/>
          <w:numId w:val="2"/>
        </w:numPr>
        <w:tabs>
          <w:tab w:val="left" w:pos="142"/>
        </w:tabs>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rPr>
        <w:t xml:space="preserve">Wang L, Shi S, </w:t>
      </w:r>
      <w:proofErr w:type="spellStart"/>
      <w:r w:rsidRPr="001C1ABA">
        <w:rPr>
          <w:rFonts w:ascii="Times New Roman" w:hAnsi="Times New Roman" w:cs="Times New Roman"/>
          <w:sz w:val="20"/>
          <w:szCs w:val="20"/>
        </w:rPr>
        <w:t>Guo</w:t>
      </w:r>
      <w:proofErr w:type="spellEnd"/>
      <w:r w:rsidRPr="001C1ABA">
        <w:rPr>
          <w:rFonts w:ascii="Times New Roman" w:hAnsi="Times New Roman" w:cs="Times New Roman"/>
          <w:sz w:val="20"/>
          <w:szCs w:val="20"/>
        </w:rPr>
        <w:t xml:space="preserve"> Z et al. (2013): </w:t>
      </w:r>
      <w:proofErr w:type="spellStart"/>
      <w:r w:rsidRPr="001C1ABA">
        <w:rPr>
          <w:rFonts w:ascii="Times New Roman" w:hAnsi="Times New Roman" w:cs="Times New Roman"/>
          <w:sz w:val="20"/>
          <w:szCs w:val="20"/>
        </w:rPr>
        <w:t>Overexpression</w:t>
      </w:r>
      <w:proofErr w:type="spellEnd"/>
      <w:r w:rsidRPr="001C1ABA">
        <w:rPr>
          <w:rFonts w:ascii="Times New Roman" w:hAnsi="Times New Roman" w:cs="Times New Roman"/>
          <w:sz w:val="20"/>
          <w:szCs w:val="20"/>
        </w:rPr>
        <w:t xml:space="preserve"> of YAP and TAZ Is an Independent Predictor of Prognosis in Colorectal Cancer and Related to the Proliferation and Metastasis of Colon Cancer Cells. </w:t>
      </w:r>
      <w:proofErr w:type="spellStart"/>
      <w:r w:rsidRPr="001C1ABA">
        <w:rPr>
          <w:rFonts w:ascii="Times New Roman" w:hAnsi="Times New Roman" w:cs="Times New Roman"/>
          <w:i/>
          <w:iCs/>
          <w:sz w:val="20"/>
          <w:szCs w:val="20"/>
        </w:rPr>
        <w:t>PLoS</w:t>
      </w:r>
      <w:proofErr w:type="spellEnd"/>
      <w:r w:rsidRPr="001C1ABA">
        <w:rPr>
          <w:rFonts w:ascii="Times New Roman" w:hAnsi="Times New Roman" w:cs="Times New Roman"/>
          <w:i/>
          <w:iCs/>
          <w:sz w:val="20"/>
          <w:szCs w:val="20"/>
        </w:rPr>
        <w:t xml:space="preserve"> ONE,</w:t>
      </w:r>
      <w:r w:rsidRPr="001C1ABA">
        <w:rPr>
          <w:rFonts w:ascii="Times New Roman" w:hAnsi="Times New Roman" w:cs="Times New Roman"/>
          <w:sz w:val="20"/>
          <w:szCs w:val="20"/>
        </w:rPr>
        <w:t xml:space="preserve"> 8.</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proofErr w:type="spellStart"/>
      <w:r w:rsidRPr="001C1ABA">
        <w:rPr>
          <w:rFonts w:ascii="Times New Roman" w:hAnsi="Times New Roman" w:cs="Times New Roman"/>
          <w:sz w:val="20"/>
          <w:szCs w:val="20"/>
        </w:rPr>
        <w:t>Wechsel</w:t>
      </w:r>
      <w:proofErr w:type="spellEnd"/>
      <w:r w:rsidRPr="001C1ABA">
        <w:rPr>
          <w:rFonts w:ascii="Times New Roman" w:hAnsi="Times New Roman" w:cs="Times New Roman"/>
          <w:sz w:val="20"/>
          <w:szCs w:val="20"/>
        </w:rPr>
        <w:t xml:space="preserve"> HW, Petri E, </w:t>
      </w:r>
      <w:proofErr w:type="spellStart"/>
      <w:r w:rsidRPr="001C1ABA">
        <w:rPr>
          <w:rFonts w:ascii="Times New Roman" w:hAnsi="Times New Roman" w:cs="Times New Roman"/>
          <w:sz w:val="20"/>
          <w:szCs w:val="20"/>
        </w:rPr>
        <w:t>Bichler</w:t>
      </w:r>
      <w:proofErr w:type="spellEnd"/>
      <w:r w:rsidRPr="001C1ABA">
        <w:rPr>
          <w:rFonts w:ascii="Times New Roman" w:hAnsi="Times New Roman" w:cs="Times New Roman"/>
          <w:sz w:val="20"/>
          <w:szCs w:val="20"/>
        </w:rPr>
        <w:t xml:space="preserve"> KH, </w:t>
      </w:r>
      <w:proofErr w:type="spellStart"/>
      <w:r w:rsidRPr="001C1ABA">
        <w:rPr>
          <w:rFonts w:ascii="Times New Roman" w:hAnsi="Times New Roman" w:cs="Times New Roman"/>
          <w:sz w:val="20"/>
          <w:szCs w:val="20"/>
        </w:rPr>
        <w:t>Feil</w:t>
      </w:r>
      <w:proofErr w:type="spellEnd"/>
      <w:r w:rsidRPr="001C1ABA">
        <w:rPr>
          <w:rFonts w:ascii="Times New Roman" w:hAnsi="Times New Roman" w:cs="Times New Roman"/>
          <w:sz w:val="20"/>
          <w:szCs w:val="20"/>
        </w:rPr>
        <w:t xml:space="preserve"> G (1999): Marker for renal cell carcinoma (RCC): the </w:t>
      </w:r>
      <w:proofErr w:type="spellStart"/>
      <w:r w:rsidRPr="001C1ABA">
        <w:rPr>
          <w:rFonts w:ascii="Times New Roman" w:hAnsi="Times New Roman" w:cs="Times New Roman"/>
          <w:sz w:val="20"/>
          <w:szCs w:val="20"/>
        </w:rPr>
        <w:t>dimeric</w:t>
      </w:r>
      <w:proofErr w:type="spellEnd"/>
      <w:r w:rsidRPr="001C1ABA">
        <w:rPr>
          <w:rFonts w:ascii="Times New Roman" w:hAnsi="Times New Roman" w:cs="Times New Roman"/>
          <w:sz w:val="20"/>
          <w:szCs w:val="20"/>
        </w:rPr>
        <w:t xml:space="preserve"> form of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type M2 (</w:t>
      </w:r>
      <w:proofErr w:type="spellStart"/>
      <w:r w:rsidRPr="001C1ABA">
        <w:rPr>
          <w:rFonts w:ascii="Times New Roman" w:hAnsi="Times New Roman" w:cs="Times New Roman"/>
          <w:sz w:val="20"/>
          <w:szCs w:val="20"/>
        </w:rPr>
        <w:t>Tu</w:t>
      </w:r>
      <w:proofErr w:type="spellEnd"/>
      <w:r w:rsidRPr="001C1ABA">
        <w:rPr>
          <w:rFonts w:ascii="Times New Roman" w:hAnsi="Times New Roman" w:cs="Times New Roman"/>
          <w:sz w:val="20"/>
          <w:szCs w:val="20"/>
        </w:rPr>
        <w:t xml:space="preserve"> M2-PK). </w:t>
      </w:r>
      <w:r w:rsidRPr="001C1ABA">
        <w:rPr>
          <w:rFonts w:ascii="Times New Roman" w:hAnsi="Times New Roman" w:cs="Times New Roman"/>
          <w:i/>
          <w:iCs/>
          <w:sz w:val="20"/>
          <w:szCs w:val="20"/>
        </w:rPr>
        <w:t>Anticancer Res</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19</w:t>
      </w:r>
      <w:r w:rsidRPr="001C1ABA">
        <w:rPr>
          <w:rFonts w:ascii="Times New Roman" w:hAnsi="Times New Roman" w:cs="Times New Roman"/>
          <w:sz w:val="20"/>
          <w:szCs w:val="20"/>
        </w:rPr>
        <w:t>, 2583-90.</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rPr>
        <w:t xml:space="preserve">Wong N, De </w:t>
      </w:r>
      <w:proofErr w:type="spellStart"/>
      <w:r w:rsidRPr="001C1ABA">
        <w:rPr>
          <w:rFonts w:ascii="Times New Roman" w:hAnsi="Times New Roman" w:cs="Times New Roman"/>
          <w:sz w:val="20"/>
          <w:szCs w:val="20"/>
        </w:rPr>
        <w:t>Melo</w:t>
      </w:r>
      <w:proofErr w:type="spellEnd"/>
      <w:r w:rsidRPr="001C1ABA">
        <w:rPr>
          <w:rFonts w:ascii="Times New Roman" w:hAnsi="Times New Roman" w:cs="Times New Roman"/>
          <w:sz w:val="20"/>
          <w:szCs w:val="20"/>
        </w:rPr>
        <w:t xml:space="preserve"> J and Tang D (2013): PKM2, a Central Point of Regulation in Cancer Metabolism. </w:t>
      </w:r>
      <w:proofErr w:type="spellStart"/>
      <w:r w:rsidRPr="001C1ABA">
        <w:rPr>
          <w:rFonts w:ascii="Times New Roman" w:hAnsi="Times New Roman" w:cs="Times New Roman"/>
          <w:i/>
          <w:iCs/>
          <w:sz w:val="20"/>
          <w:szCs w:val="20"/>
        </w:rPr>
        <w:t>Int</w:t>
      </w:r>
      <w:proofErr w:type="spellEnd"/>
      <w:r w:rsidRPr="001C1ABA">
        <w:rPr>
          <w:rFonts w:ascii="Times New Roman" w:hAnsi="Times New Roman" w:cs="Times New Roman"/>
          <w:i/>
          <w:iCs/>
          <w:sz w:val="20"/>
          <w:szCs w:val="20"/>
        </w:rPr>
        <w:t xml:space="preserve"> J Cell </w:t>
      </w:r>
      <w:proofErr w:type="spellStart"/>
      <w:r w:rsidRPr="001C1ABA">
        <w:rPr>
          <w:rFonts w:ascii="Times New Roman" w:hAnsi="Times New Roman" w:cs="Times New Roman"/>
          <w:i/>
          <w:iCs/>
          <w:sz w:val="20"/>
          <w:szCs w:val="20"/>
        </w:rPr>
        <w:t>Biol</w:t>
      </w:r>
      <w:proofErr w:type="spellEnd"/>
      <w:r w:rsidRPr="001C1ABA">
        <w:rPr>
          <w:rFonts w:ascii="Times New Roman" w:hAnsi="Times New Roman" w:cs="Times New Roman"/>
          <w:i/>
          <w:iCs/>
          <w:sz w:val="20"/>
          <w:szCs w:val="20"/>
        </w:rPr>
        <w:t xml:space="preserve">, </w:t>
      </w:r>
      <w:r w:rsidRPr="001C1ABA">
        <w:rPr>
          <w:rFonts w:ascii="Times New Roman" w:hAnsi="Times New Roman" w:cs="Times New Roman"/>
          <w:sz w:val="20"/>
          <w:szCs w:val="20"/>
        </w:rPr>
        <w:t>Article ID </w:t>
      </w:r>
      <w:r w:rsidRPr="001C1ABA">
        <w:rPr>
          <w:rFonts w:ascii="Times New Roman" w:hAnsi="Times New Roman" w:cs="Times New Roman"/>
          <w:bCs/>
          <w:sz w:val="20"/>
          <w:szCs w:val="20"/>
        </w:rPr>
        <w:t>242513</w:t>
      </w:r>
      <w:r w:rsidRPr="001C1ABA">
        <w:rPr>
          <w:rFonts w:ascii="Times New Roman" w:hAnsi="Times New Roman" w:cs="Times New Roman"/>
          <w:sz w:val="20"/>
          <w:szCs w:val="20"/>
        </w:rPr>
        <w:t>, 11 pages.</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rPr>
        <w:lastRenderedPageBreak/>
        <w:t>Wong TS, Liu XB, Chung-</w:t>
      </w:r>
      <w:proofErr w:type="spellStart"/>
      <w:r w:rsidRPr="001C1ABA">
        <w:rPr>
          <w:rFonts w:ascii="Times New Roman" w:hAnsi="Times New Roman" w:cs="Times New Roman"/>
          <w:sz w:val="20"/>
          <w:szCs w:val="20"/>
        </w:rPr>
        <w:t>Wai</w:t>
      </w:r>
      <w:proofErr w:type="spellEnd"/>
      <w:r w:rsidRPr="001C1ABA">
        <w:rPr>
          <w:rFonts w:ascii="Times New Roman" w:hAnsi="Times New Roman" w:cs="Times New Roman"/>
          <w:sz w:val="20"/>
          <w:szCs w:val="20"/>
        </w:rPr>
        <w:t xml:space="preserve"> Ho A et al. (2008): Identification of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type M2 as potential </w:t>
      </w:r>
      <w:proofErr w:type="spellStart"/>
      <w:r w:rsidRPr="001C1ABA">
        <w:rPr>
          <w:rFonts w:ascii="Times New Roman" w:hAnsi="Times New Roman" w:cs="Times New Roman"/>
          <w:sz w:val="20"/>
          <w:szCs w:val="20"/>
        </w:rPr>
        <w:t>oncoprotein</w:t>
      </w:r>
      <w:proofErr w:type="spellEnd"/>
      <w:r w:rsidRPr="001C1ABA">
        <w:rPr>
          <w:rFonts w:ascii="Times New Roman" w:hAnsi="Times New Roman" w:cs="Times New Roman"/>
          <w:sz w:val="20"/>
          <w:szCs w:val="20"/>
        </w:rPr>
        <w:t xml:space="preserve"> in </w:t>
      </w:r>
      <w:proofErr w:type="spellStart"/>
      <w:r w:rsidRPr="001C1ABA">
        <w:rPr>
          <w:rFonts w:ascii="Times New Roman" w:hAnsi="Times New Roman" w:cs="Times New Roman"/>
          <w:sz w:val="20"/>
          <w:szCs w:val="20"/>
        </w:rPr>
        <w:t>squamous</w:t>
      </w:r>
      <w:proofErr w:type="spellEnd"/>
      <w:r w:rsidRPr="001C1ABA">
        <w:rPr>
          <w:rFonts w:ascii="Times New Roman" w:hAnsi="Times New Roman" w:cs="Times New Roman"/>
          <w:sz w:val="20"/>
          <w:szCs w:val="20"/>
        </w:rPr>
        <w:t xml:space="preserve"> cell carcino</w:t>
      </w:r>
      <w:r w:rsidRPr="001C1ABA">
        <w:rPr>
          <w:rFonts w:ascii="Times New Roman" w:hAnsi="Times New Roman" w:cs="Times New Roman"/>
          <w:sz w:val="20"/>
          <w:szCs w:val="20"/>
        </w:rPr>
        <w:softHyphen/>
        <w:t xml:space="preserve">ma of tongue through </w:t>
      </w:r>
      <w:proofErr w:type="spellStart"/>
      <w:r w:rsidRPr="001C1ABA">
        <w:rPr>
          <w:rFonts w:ascii="Times New Roman" w:hAnsi="Times New Roman" w:cs="Times New Roman"/>
          <w:sz w:val="20"/>
          <w:szCs w:val="20"/>
        </w:rPr>
        <w:t>microRNA</w:t>
      </w:r>
      <w:proofErr w:type="spellEnd"/>
      <w:r w:rsidRPr="001C1ABA">
        <w:rPr>
          <w:rFonts w:ascii="Times New Roman" w:hAnsi="Times New Roman" w:cs="Times New Roman"/>
          <w:sz w:val="20"/>
          <w:szCs w:val="20"/>
        </w:rPr>
        <w:t xml:space="preserve"> profiling. </w:t>
      </w:r>
      <w:proofErr w:type="spellStart"/>
      <w:r w:rsidRPr="001C1ABA">
        <w:rPr>
          <w:rFonts w:ascii="Times New Roman" w:hAnsi="Times New Roman" w:cs="Times New Roman"/>
          <w:i/>
          <w:iCs/>
          <w:sz w:val="20"/>
          <w:szCs w:val="20"/>
        </w:rPr>
        <w:t>Int</w:t>
      </w:r>
      <w:proofErr w:type="spellEnd"/>
      <w:r w:rsidRPr="001C1ABA">
        <w:rPr>
          <w:rFonts w:ascii="Times New Roman" w:hAnsi="Times New Roman" w:cs="Times New Roman"/>
          <w:i/>
          <w:iCs/>
          <w:sz w:val="20"/>
          <w:szCs w:val="20"/>
        </w:rPr>
        <w:t xml:space="preserve"> J Cancer</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123</w:t>
      </w:r>
      <w:r w:rsidRPr="001C1ABA">
        <w:rPr>
          <w:rFonts w:ascii="Times New Roman" w:hAnsi="Times New Roman" w:cs="Times New Roman"/>
          <w:sz w:val="20"/>
          <w:szCs w:val="20"/>
        </w:rPr>
        <w:t>, 251-7.</w:t>
      </w:r>
    </w:p>
    <w:p w:rsidR="007D29AE" w:rsidRPr="001C1ABA" w:rsidRDefault="007D29AE" w:rsidP="008272B1">
      <w:pPr>
        <w:pStyle w:val="ListParagraph"/>
        <w:numPr>
          <w:ilvl w:val="0"/>
          <w:numId w:val="2"/>
        </w:numPr>
        <w:tabs>
          <w:tab w:val="left" w:pos="142"/>
        </w:tabs>
        <w:autoSpaceDE w:val="0"/>
        <w:autoSpaceDN w:val="0"/>
        <w:adjustRightInd w:val="0"/>
        <w:snapToGrid w:val="0"/>
        <w:spacing w:after="0" w:line="240" w:lineRule="auto"/>
        <w:contextualSpacing w:val="0"/>
        <w:jc w:val="both"/>
        <w:rPr>
          <w:rFonts w:ascii="Times New Roman" w:hAnsi="Times New Roman" w:cs="Times New Roman"/>
          <w:sz w:val="20"/>
          <w:szCs w:val="20"/>
        </w:rPr>
      </w:pPr>
      <w:proofErr w:type="spellStart"/>
      <w:r w:rsidRPr="001C1ABA">
        <w:rPr>
          <w:rFonts w:ascii="Times New Roman" w:hAnsi="Times New Roman" w:cs="Times New Roman"/>
          <w:sz w:val="20"/>
          <w:szCs w:val="20"/>
        </w:rPr>
        <w:t>Xie</w:t>
      </w:r>
      <w:proofErr w:type="spellEnd"/>
      <w:r w:rsidRPr="001C1ABA">
        <w:rPr>
          <w:rFonts w:ascii="Times New Roman" w:hAnsi="Times New Roman" w:cs="Times New Roman"/>
          <w:sz w:val="20"/>
          <w:szCs w:val="20"/>
        </w:rPr>
        <w:t xml:space="preserve"> M, Zhang L, He CS et al. (2012): Prognostic significance of TAZ expression in </w:t>
      </w:r>
      <w:proofErr w:type="spellStart"/>
      <w:r w:rsidRPr="001C1ABA">
        <w:rPr>
          <w:rFonts w:ascii="Times New Roman" w:hAnsi="Times New Roman" w:cs="Times New Roman"/>
          <w:sz w:val="20"/>
          <w:szCs w:val="20"/>
        </w:rPr>
        <w:t>resected</w:t>
      </w:r>
      <w:proofErr w:type="spellEnd"/>
      <w:r w:rsidRPr="001C1ABA">
        <w:rPr>
          <w:rFonts w:ascii="Times New Roman" w:hAnsi="Times New Roman" w:cs="Times New Roman"/>
          <w:sz w:val="20"/>
          <w:szCs w:val="20"/>
        </w:rPr>
        <w:t xml:space="preserve"> non-small cell lung cancer. </w:t>
      </w:r>
      <w:r w:rsidRPr="001C1ABA">
        <w:rPr>
          <w:rFonts w:ascii="Times New Roman" w:hAnsi="Times New Roman" w:cs="Times New Roman"/>
          <w:i/>
          <w:iCs/>
          <w:sz w:val="20"/>
          <w:szCs w:val="20"/>
        </w:rPr>
        <w:t>Journal of Thoracic Oncology</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7</w:t>
      </w:r>
      <w:r w:rsidRPr="001C1ABA">
        <w:rPr>
          <w:rFonts w:ascii="Times New Roman" w:hAnsi="Times New Roman" w:cs="Times New Roman"/>
          <w:sz w:val="20"/>
          <w:szCs w:val="20"/>
        </w:rPr>
        <w:t>, 799–807.</w:t>
      </w:r>
    </w:p>
    <w:p w:rsidR="007D29AE" w:rsidRPr="001C1ABA" w:rsidRDefault="007D29AE" w:rsidP="008272B1">
      <w:pPr>
        <w:pStyle w:val="ListParagraph"/>
        <w:numPr>
          <w:ilvl w:val="0"/>
          <w:numId w:val="2"/>
        </w:numPr>
        <w:tabs>
          <w:tab w:val="left" w:pos="142"/>
        </w:tabs>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rPr>
        <w:t xml:space="preserve">Yang N, Morrison CD, Liu P et al. (2012): TAZ induces growth factor-independent proliferation through activation of EGFR </w:t>
      </w:r>
      <w:proofErr w:type="spellStart"/>
      <w:r w:rsidRPr="001C1ABA">
        <w:rPr>
          <w:rFonts w:ascii="Times New Roman" w:hAnsi="Times New Roman" w:cs="Times New Roman"/>
          <w:sz w:val="20"/>
          <w:szCs w:val="20"/>
        </w:rPr>
        <w:t>ligand</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amphiregulin</w:t>
      </w:r>
      <w:proofErr w:type="spellEnd"/>
      <w:r w:rsidRPr="001C1ABA">
        <w:rPr>
          <w:rFonts w:ascii="Times New Roman" w:hAnsi="Times New Roman" w:cs="Times New Roman"/>
          <w:sz w:val="20"/>
          <w:szCs w:val="20"/>
        </w:rPr>
        <w:t xml:space="preserve">. </w:t>
      </w:r>
      <w:r w:rsidRPr="001C1ABA">
        <w:rPr>
          <w:rFonts w:ascii="Times New Roman" w:hAnsi="Times New Roman" w:cs="Times New Roman"/>
          <w:i/>
          <w:iCs/>
          <w:sz w:val="20"/>
          <w:szCs w:val="20"/>
        </w:rPr>
        <w:t>Cell Cycle</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11</w:t>
      </w:r>
      <w:r w:rsidRPr="001C1ABA">
        <w:rPr>
          <w:rFonts w:ascii="Times New Roman" w:hAnsi="Times New Roman" w:cs="Times New Roman"/>
          <w:sz w:val="20"/>
          <w:szCs w:val="20"/>
        </w:rPr>
        <w:t>, 2922-30.</w:t>
      </w:r>
    </w:p>
    <w:p w:rsidR="007D29AE" w:rsidRPr="001C1ABA" w:rsidRDefault="007D29AE" w:rsidP="008272B1">
      <w:pPr>
        <w:pStyle w:val="ListParagraph"/>
        <w:numPr>
          <w:ilvl w:val="0"/>
          <w:numId w:val="2"/>
        </w:numPr>
        <w:tabs>
          <w:tab w:val="left" w:pos="142"/>
        </w:tabs>
        <w:adjustRightInd w:val="0"/>
        <w:snapToGrid w:val="0"/>
        <w:spacing w:after="0" w:line="240" w:lineRule="auto"/>
        <w:contextualSpacing w:val="0"/>
        <w:jc w:val="both"/>
        <w:rPr>
          <w:rFonts w:ascii="Times New Roman" w:hAnsi="Times New Roman" w:cs="Times New Roman"/>
          <w:sz w:val="20"/>
          <w:szCs w:val="20"/>
          <w:lang w:val="fr-FR"/>
        </w:rPr>
      </w:pPr>
      <w:proofErr w:type="spellStart"/>
      <w:r w:rsidRPr="001C1ABA">
        <w:rPr>
          <w:rFonts w:ascii="Times New Roman" w:hAnsi="Times New Roman" w:cs="Times New Roman"/>
          <w:sz w:val="20"/>
          <w:szCs w:val="20"/>
        </w:rPr>
        <w:t>Yoo</w:t>
      </w:r>
      <w:proofErr w:type="spellEnd"/>
      <w:r w:rsidRPr="001C1ABA">
        <w:rPr>
          <w:rFonts w:ascii="Times New Roman" w:hAnsi="Times New Roman" w:cs="Times New Roman"/>
          <w:sz w:val="20"/>
          <w:szCs w:val="20"/>
        </w:rPr>
        <w:t xml:space="preserve"> BC, Ku JL, Hong SH et al. (2004): Decreased </w:t>
      </w:r>
      <w:proofErr w:type="spellStart"/>
      <w:r w:rsidRPr="001C1ABA">
        <w:rPr>
          <w:rFonts w:ascii="Times New Roman" w:hAnsi="Times New Roman" w:cs="Times New Roman"/>
          <w:sz w:val="20"/>
          <w:szCs w:val="20"/>
        </w:rPr>
        <w:t>pyruvate</w:t>
      </w:r>
      <w:proofErr w:type="spellEnd"/>
      <w:r w:rsidRPr="001C1ABA">
        <w:rPr>
          <w:rFonts w:ascii="Times New Roman" w:hAnsi="Times New Roman" w:cs="Times New Roman"/>
          <w:sz w:val="20"/>
          <w:szCs w:val="20"/>
        </w:rPr>
        <w:t xml:space="preserve"> </w:t>
      </w:r>
      <w:proofErr w:type="spellStart"/>
      <w:r w:rsidRPr="001C1ABA">
        <w:rPr>
          <w:rFonts w:ascii="Times New Roman" w:hAnsi="Times New Roman" w:cs="Times New Roman"/>
          <w:sz w:val="20"/>
          <w:szCs w:val="20"/>
        </w:rPr>
        <w:t>kinase</w:t>
      </w:r>
      <w:proofErr w:type="spellEnd"/>
      <w:r w:rsidRPr="001C1ABA">
        <w:rPr>
          <w:rFonts w:ascii="Times New Roman" w:hAnsi="Times New Roman" w:cs="Times New Roman"/>
          <w:sz w:val="20"/>
          <w:szCs w:val="20"/>
        </w:rPr>
        <w:t xml:space="preserve"> M2 activity linked to </w:t>
      </w:r>
      <w:proofErr w:type="spellStart"/>
      <w:r w:rsidRPr="001C1ABA">
        <w:rPr>
          <w:rFonts w:ascii="Times New Roman" w:hAnsi="Times New Roman" w:cs="Times New Roman"/>
          <w:sz w:val="20"/>
          <w:szCs w:val="20"/>
        </w:rPr>
        <w:t>cisplatin</w:t>
      </w:r>
      <w:proofErr w:type="spellEnd"/>
      <w:r w:rsidRPr="001C1ABA">
        <w:rPr>
          <w:rFonts w:ascii="Times New Roman" w:hAnsi="Times New Roman" w:cs="Times New Roman"/>
          <w:sz w:val="20"/>
          <w:szCs w:val="20"/>
        </w:rPr>
        <w:t xml:space="preserve"> resistance in human gastric carcinoma cell lines. </w:t>
      </w:r>
      <w:r w:rsidRPr="001C1ABA">
        <w:rPr>
          <w:rFonts w:ascii="Times New Roman" w:hAnsi="Times New Roman" w:cs="Times New Roman"/>
          <w:i/>
          <w:iCs/>
          <w:sz w:val="20"/>
          <w:szCs w:val="20"/>
          <w:lang w:val="fr-FR"/>
        </w:rPr>
        <w:t>Int J Cancer</w:t>
      </w:r>
      <w:r w:rsidRPr="001C1ABA">
        <w:rPr>
          <w:rFonts w:ascii="Times New Roman" w:hAnsi="Times New Roman" w:cs="Times New Roman"/>
          <w:sz w:val="20"/>
          <w:szCs w:val="20"/>
          <w:lang w:val="fr-FR"/>
        </w:rPr>
        <w:t xml:space="preserve">, </w:t>
      </w:r>
      <w:r w:rsidRPr="001C1ABA">
        <w:rPr>
          <w:rFonts w:ascii="Times New Roman" w:hAnsi="Times New Roman" w:cs="Times New Roman"/>
          <w:bCs/>
          <w:sz w:val="20"/>
          <w:szCs w:val="20"/>
          <w:lang w:val="fr-FR"/>
        </w:rPr>
        <w:t>108</w:t>
      </w:r>
      <w:r w:rsidRPr="001C1ABA">
        <w:rPr>
          <w:rFonts w:ascii="Times New Roman" w:hAnsi="Times New Roman" w:cs="Times New Roman"/>
          <w:sz w:val="20"/>
          <w:szCs w:val="20"/>
          <w:lang w:val="fr-FR"/>
        </w:rPr>
        <w:t>, 532-9.</w:t>
      </w:r>
    </w:p>
    <w:p w:rsidR="007D29AE" w:rsidRPr="001C1ABA" w:rsidRDefault="007D29AE" w:rsidP="008272B1">
      <w:pPr>
        <w:pStyle w:val="ListParagraph"/>
        <w:numPr>
          <w:ilvl w:val="0"/>
          <w:numId w:val="2"/>
        </w:numPr>
        <w:tabs>
          <w:tab w:val="left" w:pos="142"/>
        </w:tabs>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lang w:val="fr-FR"/>
        </w:rPr>
        <w:t xml:space="preserve">Yue G, Sun X, </w:t>
      </w:r>
      <w:proofErr w:type="spellStart"/>
      <w:r w:rsidRPr="001C1ABA">
        <w:rPr>
          <w:rFonts w:ascii="Times New Roman" w:hAnsi="Times New Roman" w:cs="Times New Roman"/>
          <w:sz w:val="20"/>
          <w:szCs w:val="20"/>
          <w:lang w:val="fr-FR"/>
        </w:rPr>
        <w:t>Gimenez</w:t>
      </w:r>
      <w:proofErr w:type="spellEnd"/>
      <w:r w:rsidRPr="001C1ABA">
        <w:rPr>
          <w:rFonts w:ascii="Times New Roman" w:hAnsi="Times New Roman" w:cs="Times New Roman"/>
          <w:sz w:val="20"/>
          <w:szCs w:val="20"/>
          <w:lang w:val="fr-FR"/>
        </w:rPr>
        <w:t xml:space="preserve">-Capitan A et al. </w:t>
      </w:r>
      <w:r w:rsidRPr="001C1ABA">
        <w:rPr>
          <w:rFonts w:ascii="Times New Roman" w:hAnsi="Times New Roman" w:cs="Times New Roman"/>
          <w:sz w:val="20"/>
          <w:szCs w:val="20"/>
        </w:rPr>
        <w:t xml:space="preserve">(2014): TAZ Is Highly Expressed in Gastric Signet Ring Cell Carcinoma. </w:t>
      </w:r>
      <w:r w:rsidRPr="001C1ABA">
        <w:rPr>
          <w:rFonts w:ascii="Times New Roman" w:hAnsi="Times New Roman" w:cs="Times New Roman"/>
          <w:i/>
          <w:iCs/>
          <w:sz w:val="20"/>
          <w:szCs w:val="20"/>
        </w:rPr>
        <w:t>Bio</w:t>
      </w:r>
      <w:r w:rsidR="00DB096E">
        <w:rPr>
          <w:rFonts w:ascii="Times New Roman" w:hAnsi="Times New Roman" w:cs="Times New Roman" w:hint="eastAsia"/>
          <w:i/>
          <w:iCs/>
          <w:sz w:val="20"/>
          <w:szCs w:val="20"/>
          <w:lang w:eastAsia="zh-CN"/>
        </w:rPr>
        <w:t xml:space="preserve"> </w:t>
      </w:r>
      <w:r w:rsidRPr="001C1ABA">
        <w:rPr>
          <w:rFonts w:ascii="Times New Roman" w:hAnsi="Times New Roman" w:cs="Times New Roman"/>
          <w:i/>
          <w:iCs/>
          <w:sz w:val="20"/>
          <w:szCs w:val="20"/>
        </w:rPr>
        <w:t>Med Research International</w:t>
      </w:r>
      <w:r w:rsidRPr="001C1ABA">
        <w:rPr>
          <w:rFonts w:ascii="Times New Roman" w:hAnsi="Times New Roman" w:cs="Times New Roman"/>
          <w:sz w:val="20"/>
          <w:szCs w:val="20"/>
        </w:rPr>
        <w:t xml:space="preserve">, Article ID </w:t>
      </w:r>
      <w:r w:rsidRPr="001C1ABA">
        <w:rPr>
          <w:rFonts w:ascii="Times New Roman" w:hAnsi="Times New Roman" w:cs="Times New Roman"/>
          <w:bCs/>
          <w:sz w:val="20"/>
          <w:szCs w:val="20"/>
        </w:rPr>
        <w:t>393064</w:t>
      </w:r>
      <w:r w:rsidRPr="001C1ABA">
        <w:rPr>
          <w:rFonts w:ascii="Times New Roman" w:hAnsi="Times New Roman" w:cs="Times New Roman"/>
          <w:sz w:val="20"/>
          <w:szCs w:val="20"/>
        </w:rPr>
        <w:t>, 6 pages.</w:t>
      </w:r>
    </w:p>
    <w:p w:rsidR="007D29AE" w:rsidRPr="001C1ABA" w:rsidRDefault="007D29AE" w:rsidP="008272B1">
      <w:pPr>
        <w:pStyle w:val="ListParagraph"/>
        <w:numPr>
          <w:ilvl w:val="0"/>
          <w:numId w:val="2"/>
        </w:numPr>
        <w:tabs>
          <w:tab w:val="left" w:pos="142"/>
        </w:tabs>
        <w:autoSpaceDE w:val="0"/>
        <w:autoSpaceDN w:val="0"/>
        <w:adjustRightInd w:val="0"/>
        <w:snapToGrid w:val="0"/>
        <w:spacing w:after="0" w:line="240" w:lineRule="auto"/>
        <w:contextualSpacing w:val="0"/>
        <w:jc w:val="both"/>
        <w:rPr>
          <w:rFonts w:ascii="Times New Roman" w:hAnsi="Times New Roman" w:cs="Times New Roman"/>
          <w:bCs/>
          <w:sz w:val="20"/>
          <w:szCs w:val="20"/>
          <w:lang w:val="fr-FR"/>
        </w:rPr>
      </w:pPr>
      <w:r w:rsidRPr="001C1ABA">
        <w:rPr>
          <w:rFonts w:ascii="Times New Roman" w:hAnsi="Times New Roman" w:cs="Times New Roman"/>
          <w:sz w:val="20"/>
          <w:szCs w:val="20"/>
        </w:rPr>
        <w:lastRenderedPageBreak/>
        <w:t xml:space="preserve">Yuen HF, </w:t>
      </w:r>
      <w:proofErr w:type="spellStart"/>
      <w:r w:rsidRPr="001C1ABA">
        <w:rPr>
          <w:rFonts w:ascii="Times New Roman" w:hAnsi="Times New Roman" w:cs="Times New Roman"/>
          <w:sz w:val="20"/>
          <w:szCs w:val="20"/>
        </w:rPr>
        <w:t>McCrudd</w:t>
      </w:r>
      <w:proofErr w:type="spellEnd"/>
      <w:r w:rsidRPr="001C1ABA">
        <w:rPr>
          <w:rFonts w:ascii="Times New Roman" w:hAnsi="Times New Roman" w:cs="Times New Roman"/>
          <w:sz w:val="20"/>
          <w:szCs w:val="20"/>
        </w:rPr>
        <w:t xml:space="preserve"> CM, Huang YH et al. (2013): TAZ Expression as prognostic indicator in colorectal cancer. </w:t>
      </w:r>
      <w:proofErr w:type="spellStart"/>
      <w:r w:rsidRPr="001C1ABA">
        <w:rPr>
          <w:rFonts w:ascii="Times New Roman" w:hAnsi="Times New Roman" w:cs="Times New Roman"/>
          <w:i/>
          <w:iCs/>
          <w:sz w:val="20"/>
          <w:szCs w:val="20"/>
          <w:lang w:val="fr-FR"/>
        </w:rPr>
        <w:t>PLoS</w:t>
      </w:r>
      <w:proofErr w:type="spellEnd"/>
      <w:r w:rsidRPr="001C1ABA">
        <w:rPr>
          <w:rFonts w:ascii="Times New Roman" w:hAnsi="Times New Roman" w:cs="Times New Roman"/>
          <w:i/>
          <w:iCs/>
          <w:sz w:val="20"/>
          <w:szCs w:val="20"/>
          <w:lang w:val="fr-FR"/>
        </w:rPr>
        <w:t xml:space="preserve"> ONE</w:t>
      </w:r>
      <w:r w:rsidRPr="001C1ABA">
        <w:rPr>
          <w:rFonts w:ascii="Times New Roman" w:hAnsi="Times New Roman" w:cs="Times New Roman"/>
          <w:sz w:val="20"/>
          <w:szCs w:val="20"/>
          <w:lang w:val="fr-FR"/>
        </w:rPr>
        <w:t xml:space="preserve">, </w:t>
      </w:r>
      <w:r w:rsidRPr="001C1ABA">
        <w:rPr>
          <w:rFonts w:ascii="Times New Roman" w:hAnsi="Times New Roman" w:cs="Times New Roman"/>
          <w:bCs/>
          <w:sz w:val="20"/>
          <w:szCs w:val="20"/>
          <w:lang w:val="fr-FR"/>
        </w:rPr>
        <w:t>8.</w:t>
      </w:r>
    </w:p>
    <w:p w:rsidR="007D29AE" w:rsidRPr="001C1ABA" w:rsidRDefault="007D29AE" w:rsidP="008272B1">
      <w:pPr>
        <w:pStyle w:val="ListParagraph"/>
        <w:numPr>
          <w:ilvl w:val="0"/>
          <w:numId w:val="2"/>
        </w:numPr>
        <w:tabs>
          <w:tab w:val="left" w:pos="142"/>
        </w:tabs>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lang w:val="fr-FR"/>
        </w:rPr>
        <w:t xml:space="preserve">Zhang H, Liu C-Y, </w:t>
      </w:r>
      <w:proofErr w:type="spellStart"/>
      <w:r w:rsidRPr="001C1ABA">
        <w:rPr>
          <w:rFonts w:ascii="Times New Roman" w:hAnsi="Times New Roman" w:cs="Times New Roman"/>
          <w:sz w:val="20"/>
          <w:szCs w:val="20"/>
          <w:lang w:val="fr-FR"/>
        </w:rPr>
        <w:t>Zha</w:t>
      </w:r>
      <w:proofErr w:type="spellEnd"/>
      <w:r w:rsidRPr="001C1ABA">
        <w:rPr>
          <w:rFonts w:ascii="Times New Roman" w:hAnsi="Times New Roman" w:cs="Times New Roman"/>
          <w:sz w:val="20"/>
          <w:szCs w:val="20"/>
          <w:lang w:val="fr-FR"/>
        </w:rPr>
        <w:t xml:space="preserve"> Z-Y et al. </w:t>
      </w:r>
      <w:r w:rsidRPr="001C1ABA">
        <w:rPr>
          <w:rFonts w:ascii="Times New Roman" w:hAnsi="Times New Roman" w:cs="Times New Roman"/>
          <w:sz w:val="20"/>
          <w:szCs w:val="20"/>
        </w:rPr>
        <w:t>(2009): TEAD transcription factors mediate the function of TAZ in cell growth and epithelial-</w:t>
      </w:r>
      <w:proofErr w:type="spellStart"/>
      <w:r w:rsidRPr="001C1ABA">
        <w:rPr>
          <w:rFonts w:ascii="Times New Roman" w:hAnsi="Times New Roman" w:cs="Times New Roman"/>
          <w:sz w:val="20"/>
          <w:szCs w:val="20"/>
        </w:rPr>
        <w:t>mesenchymal</w:t>
      </w:r>
      <w:proofErr w:type="spellEnd"/>
      <w:r w:rsidRPr="001C1ABA">
        <w:rPr>
          <w:rFonts w:ascii="Times New Roman" w:hAnsi="Times New Roman" w:cs="Times New Roman"/>
          <w:sz w:val="20"/>
          <w:szCs w:val="20"/>
        </w:rPr>
        <w:t xml:space="preserve"> transition. </w:t>
      </w:r>
      <w:r w:rsidRPr="001C1ABA">
        <w:rPr>
          <w:rFonts w:ascii="Times New Roman" w:hAnsi="Times New Roman" w:cs="Times New Roman"/>
          <w:i/>
          <w:iCs/>
          <w:sz w:val="20"/>
          <w:szCs w:val="20"/>
        </w:rPr>
        <w:t>Journal of Biological Chemistry</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284</w:t>
      </w:r>
      <w:r w:rsidRPr="001C1ABA">
        <w:rPr>
          <w:rFonts w:ascii="Times New Roman" w:hAnsi="Times New Roman" w:cs="Times New Roman"/>
          <w:sz w:val="20"/>
          <w:szCs w:val="20"/>
        </w:rPr>
        <w:t>, 13355–62.</w:t>
      </w:r>
    </w:p>
    <w:p w:rsidR="007D29AE" w:rsidRPr="001C1ABA" w:rsidRDefault="007D29AE" w:rsidP="008272B1">
      <w:pPr>
        <w:pStyle w:val="ListParagraph"/>
        <w:numPr>
          <w:ilvl w:val="0"/>
          <w:numId w:val="2"/>
        </w:numPr>
        <w:tabs>
          <w:tab w:val="left" w:pos="142"/>
        </w:tabs>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1C1ABA">
        <w:rPr>
          <w:rFonts w:ascii="Times New Roman" w:hAnsi="Times New Roman" w:cs="Times New Roman"/>
          <w:sz w:val="20"/>
          <w:szCs w:val="20"/>
        </w:rPr>
        <w:t xml:space="preserve">Zhao D, </w:t>
      </w:r>
      <w:proofErr w:type="spellStart"/>
      <w:r w:rsidRPr="001C1ABA">
        <w:rPr>
          <w:rFonts w:ascii="Times New Roman" w:hAnsi="Times New Roman" w:cs="Times New Roman"/>
          <w:sz w:val="20"/>
          <w:szCs w:val="20"/>
        </w:rPr>
        <w:t>Zhi</w:t>
      </w:r>
      <w:proofErr w:type="spellEnd"/>
      <w:r w:rsidRPr="001C1ABA">
        <w:rPr>
          <w:rFonts w:ascii="Times New Roman" w:hAnsi="Times New Roman" w:cs="Times New Roman"/>
          <w:sz w:val="20"/>
          <w:szCs w:val="20"/>
        </w:rPr>
        <w:t xml:space="preserve"> X, Zhou Z and Chen C (2012): TAZ antagonizes the WWP1-mediated KLF5 degradation and promotes breast cell proliferation and </w:t>
      </w:r>
      <w:proofErr w:type="spellStart"/>
      <w:r w:rsidRPr="001C1ABA">
        <w:rPr>
          <w:rFonts w:ascii="Times New Roman" w:hAnsi="Times New Roman" w:cs="Times New Roman"/>
          <w:sz w:val="20"/>
          <w:szCs w:val="20"/>
        </w:rPr>
        <w:t>tumorigenesis</w:t>
      </w:r>
      <w:proofErr w:type="spellEnd"/>
      <w:r w:rsidRPr="001C1ABA">
        <w:rPr>
          <w:rFonts w:ascii="Times New Roman" w:hAnsi="Times New Roman" w:cs="Times New Roman"/>
          <w:sz w:val="20"/>
          <w:szCs w:val="20"/>
        </w:rPr>
        <w:t xml:space="preserve">. </w:t>
      </w:r>
      <w:r w:rsidRPr="001C1ABA">
        <w:rPr>
          <w:rFonts w:ascii="Times New Roman" w:hAnsi="Times New Roman" w:cs="Times New Roman"/>
          <w:i/>
          <w:iCs/>
          <w:sz w:val="20"/>
          <w:szCs w:val="20"/>
        </w:rPr>
        <w:t>Carcinogenesis</w:t>
      </w:r>
      <w:r w:rsidRPr="001C1ABA">
        <w:rPr>
          <w:rFonts w:ascii="Times New Roman" w:hAnsi="Times New Roman" w:cs="Times New Roman"/>
          <w:sz w:val="20"/>
          <w:szCs w:val="20"/>
        </w:rPr>
        <w:t xml:space="preserve">, </w:t>
      </w:r>
      <w:r w:rsidRPr="001C1ABA">
        <w:rPr>
          <w:rFonts w:ascii="Times New Roman" w:hAnsi="Times New Roman" w:cs="Times New Roman"/>
          <w:bCs/>
          <w:sz w:val="20"/>
          <w:szCs w:val="20"/>
        </w:rPr>
        <w:t>33</w:t>
      </w:r>
      <w:r w:rsidRPr="001C1ABA">
        <w:rPr>
          <w:rFonts w:ascii="Times New Roman" w:hAnsi="Times New Roman" w:cs="Times New Roman"/>
          <w:sz w:val="20"/>
          <w:szCs w:val="20"/>
        </w:rPr>
        <w:t>, 59–67.</w:t>
      </w:r>
    </w:p>
    <w:p w:rsidR="001C1ABA" w:rsidRPr="00DB096E" w:rsidRDefault="007D29AE" w:rsidP="008272B1">
      <w:pPr>
        <w:pStyle w:val="ListParagraph"/>
        <w:numPr>
          <w:ilvl w:val="0"/>
          <w:numId w:val="2"/>
        </w:numPr>
        <w:tabs>
          <w:tab w:val="left" w:pos="142"/>
        </w:tabs>
        <w:adjustRightInd w:val="0"/>
        <w:snapToGrid w:val="0"/>
        <w:spacing w:after="0" w:line="240" w:lineRule="auto"/>
        <w:ind w:left="425" w:hanging="425"/>
        <w:contextualSpacing w:val="0"/>
        <w:jc w:val="both"/>
        <w:rPr>
          <w:rFonts w:ascii="Times New Roman" w:hAnsi="Times New Roman" w:cs="Times New Roman"/>
          <w:sz w:val="20"/>
          <w:szCs w:val="20"/>
        </w:rPr>
      </w:pPr>
      <w:r w:rsidRPr="00DB096E">
        <w:rPr>
          <w:rFonts w:ascii="Times New Roman" w:hAnsi="Times New Roman" w:cs="Times New Roman"/>
          <w:sz w:val="20"/>
          <w:szCs w:val="20"/>
        </w:rPr>
        <w:t xml:space="preserve">Zhou CF, Li XB, Sun H et al. (2012): </w:t>
      </w:r>
      <w:proofErr w:type="spellStart"/>
      <w:r w:rsidRPr="00DB096E">
        <w:rPr>
          <w:rFonts w:ascii="Times New Roman" w:hAnsi="Times New Roman" w:cs="Times New Roman"/>
          <w:sz w:val="20"/>
          <w:szCs w:val="20"/>
        </w:rPr>
        <w:t>Pyruvate</w:t>
      </w:r>
      <w:proofErr w:type="spellEnd"/>
      <w:r w:rsidRPr="00DB096E">
        <w:rPr>
          <w:rFonts w:ascii="Times New Roman" w:hAnsi="Times New Roman" w:cs="Times New Roman"/>
          <w:sz w:val="20"/>
          <w:szCs w:val="20"/>
        </w:rPr>
        <w:t xml:space="preserve"> </w:t>
      </w:r>
      <w:proofErr w:type="spellStart"/>
      <w:r w:rsidRPr="00DB096E">
        <w:rPr>
          <w:rFonts w:ascii="Times New Roman" w:hAnsi="Times New Roman" w:cs="Times New Roman"/>
          <w:sz w:val="20"/>
          <w:szCs w:val="20"/>
        </w:rPr>
        <w:t>kinase</w:t>
      </w:r>
      <w:proofErr w:type="spellEnd"/>
      <w:r w:rsidRPr="00DB096E">
        <w:rPr>
          <w:rFonts w:ascii="Times New Roman" w:hAnsi="Times New Roman" w:cs="Times New Roman"/>
          <w:sz w:val="20"/>
          <w:szCs w:val="20"/>
        </w:rPr>
        <w:t xml:space="preserve"> type M2 is </w:t>
      </w:r>
      <w:proofErr w:type="spellStart"/>
      <w:r w:rsidRPr="00DB096E">
        <w:rPr>
          <w:rFonts w:ascii="Times New Roman" w:hAnsi="Times New Roman" w:cs="Times New Roman"/>
          <w:sz w:val="20"/>
          <w:szCs w:val="20"/>
        </w:rPr>
        <w:t>upregulated</w:t>
      </w:r>
      <w:proofErr w:type="spellEnd"/>
      <w:r w:rsidRPr="00DB096E">
        <w:rPr>
          <w:rFonts w:ascii="Times New Roman" w:hAnsi="Times New Roman" w:cs="Times New Roman"/>
          <w:sz w:val="20"/>
          <w:szCs w:val="20"/>
        </w:rPr>
        <w:t xml:space="preserve"> in colorectal cancer and promotes proliferation and migration of colon cancer cells. </w:t>
      </w:r>
      <w:r w:rsidRPr="00DB096E">
        <w:rPr>
          <w:rFonts w:ascii="Times New Roman" w:hAnsi="Times New Roman" w:cs="Times New Roman"/>
          <w:i/>
          <w:iCs/>
          <w:sz w:val="20"/>
          <w:szCs w:val="20"/>
        </w:rPr>
        <w:t xml:space="preserve">International Union of Biochemistry </w:t>
      </w:r>
      <w:proofErr w:type="spellStart"/>
      <w:r w:rsidRPr="00DB096E">
        <w:rPr>
          <w:rFonts w:ascii="Times New Roman" w:hAnsi="Times New Roman" w:cs="Times New Roman"/>
          <w:i/>
          <w:iCs/>
          <w:sz w:val="20"/>
          <w:szCs w:val="20"/>
        </w:rPr>
        <w:t>andMolecular</w:t>
      </w:r>
      <w:proofErr w:type="spellEnd"/>
      <w:r w:rsidRPr="00DB096E">
        <w:rPr>
          <w:rFonts w:ascii="Times New Roman" w:hAnsi="Times New Roman" w:cs="Times New Roman"/>
          <w:i/>
          <w:iCs/>
          <w:sz w:val="20"/>
          <w:szCs w:val="20"/>
        </w:rPr>
        <w:t xml:space="preserve"> Biology Life</w:t>
      </w:r>
      <w:r w:rsidRPr="00DB096E">
        <w:rPr>
          <w:rFonts w:ascii="Times New Roman" w:hAnsi="Times New Roman" w:cs="Times New Roman"/>
          <w:sz w:val="20"/>
          <w:szCs w:val="20"/>
        </w:rPr>
        <w:t xml:space="preserve">, </w:t>
      </w:r>
      <w:r w:rsidRPr="00DB096E">
        <w:rPr>
          <w:rFonts w:ascii="Times New Roman" w:hAnsi="Times New Roman" w:cs="Times New Roman"/>
          <w:bCs/>
          <w:sz w:val="20"/>
          <w:szCs w:val="20"/>
        </w:rPr>
        <w:t>64</w:t>
      </w:r>
      <w:r w:rsidR="009F7C91" w:rsidRPr="00DB096E">
        <w:rPr>
          <w:rFonts w:ascii="Times New Roman" w:hAnsi="Times New Roman" w:cs="Times New Roman"/>
          <w:sz w:val="20"/>
          <w:szCs w:val="20"/>
        </w:rPr>
        <w:t>, 775–82.</w:t>
      </w:r>
      <w:r w:rsidR="00DB096E" w:rsidRPr="00DB096E">
        <w:rPr>
          <w:rFonts w:ascii="Times New Roman" w:hAnsi="Times New Roman" w:cs="Times New Roman" w:hint="eastAsia"/>
          <w:sz w:val="20"/>
          <w:szCs w:val="20"/>
          <w:lang w:eastAsia="zh-CN"/>
        </w:rPr>
        <w:t xml:space="preserve"> </w:t>
      </w:r>
    </w:p>
    <w:p w:rsidR="001C1ABA" w:rsidRPr="001C1ABA" w:rsidRDefault="001C1ABA" w:rsidP="008272B1">
      <w:pPr>
        <w:pStyle w:val="ListParagraph"/>
        <w:tabs>
          <w:tab w:val="left" w:pos="142"/>
        </w:tabs>
        <w:adjustRightInd w:val="0"/>
        <w:snapToGrid w:val="0"/>
        <w:spacing w:after="0" w:line="240" w:lineRule="auto"/>
        <w:ind w:left="425" w:hanging="425"/>
        <w:contextualSpacing w:val="0"/>
        <w:jc w:val="both"/>
        <w:rPr>
          <w:rFonts w:ascii="Times New Roman" w:hAnsi="Times New Roman" w:cs="Times New Roman"/>
          <w:sz w:val="20"/>
          <w:szCs w:val="20"/>
        </w:rPr>
        <w:sectPr w:rsidR="001C1ABA" w:rsidRPr="001C1ABA" w:rsidSect="001C1ABA">
          <w:headerReference w:type="default" r:id="rId31"/>
          <w:footerReference w:type="default" r:id="rId32"/>
          <w:type w:val="continuous"/>
          <w:pgSz w:w="12242" w:h="15842" w:code="1"/>
          <w:pgMar w:top="1440" w:right="1440" w:bottom="1440" w:left="1440" w:header="720" w:footer="720" w:gutter="0"/>
          <w:cols w:num="2" w:space="550"/>
          <w:docGrid w:linePitch="360"/>
        </w:sectPr>
      </w:pPr>
    </w:p>
    <w:p w:rsidR="001C1ABA" w:rsidRDefault="001C1ABA" w:rsidP="008272B1">
      <w:pPr>
        <w:tabs>
          <w:tab w:val="left" w:pos="142"/>
        </w:tabs>
        <w:adjustRightInd w:val="0"/>
        <w:snapToGrid w:val="0"/>
        <w:spacing w:after="0" w:line="240" w:lineRule="auto"/>
        <w:ind w:left="425" w:hanging="425"/>
        <w:jc w:val="both"/>
        <w:rPr>
          <w:rFonts w:ascii="Times New Roman" w:hAnsi="Times New Roman" w:cs="Times New Roman"/>
          <w:sz w:val="20"/>
          <w:szCs w:val="20"/>
          <w:lang w:eastAsia="zh-CN"/>
        </w:rPr>
      </w:pPr>
    </w:p>
    <w:p w:rsidR="001C1ABA" w:rsidRDefault="001C1ABA" w:rsidP="008272B1">
      <w:pPr>
        <w:tabs>
          <w:tab w:val="left" w:pos="142"/>
        </w:tabs>
        <w:adjustRightInd w:val="0"/>
        <w:snapToGrid w:val="0"/>
        <w:spacing w:after="0" w:line="240" w:lineRule="auto"/>
        <w:ind w:left="425" w:hanging="425"/>
        <w:jc w:val="both"/>
        <w:rPr>
          <w:rFonts w:ascii="Times New Roman" w:hAnsi="Times New Roman" w:cs="Times New Roman"/>
          <w:sz w:val="20"/>
          <w:szCs w:val="20"/>
          <w:lang w:eastAsia="zh-CN"/>
        </w:rPr>
      </w:pPr>
    </w:p>
    <w:p w:rsidR="001C1ABA" w:rsidRDefault="001C1ABA" w:rsidP="008272B1">
      <w:pPr>
        <w:tabs>
          <w:tab w:val="left" w:pos="142"/>
        </w:tabs>
        <w:adjustRightInd w:val="0"/>
        <w:snapToGrid w:val="0"/>
        <w:spacing w:after="0" w:line="240" w:lineRule="auto"/>
        <w:ind w:left="425" w:hanging="425"/>
        <w:jc w:val="both"/>
        <w:rPr>
          <w:rFonts w:ascii="Times New Roman" w:hAnsi="Times New Roman" w:cs="Times New Roman"/>
          <w:sz w:val="20"/>
          <w:szCs w:val="20"/>
          <w:lang w:eastAsia="zh-CN"/>
        </w:rPr>
      </w:pPr>
    </w:p>
    <w:p w:rsidR="00A85D5F" w:rsidRPr="001C1ABA" w:rsidRDefault="001C1ABA" w:rsidP="008272B1">
      <w:pPr>
        <w:tabs>
          <w:tab w:val="left" w:pos="142"/>
        </w:tabs>
        <w:adjustRightInd w:val="0"/>
        <w:snapToGrid w:val="0"/>
        <w:spacing w:after="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7/30/2016</w:t>
      </w:r>
    </w:p>
    <w:sectPr w:rsidR="00A85D5F" w:rsidRPr="001C1ABA" w:rsidSect="00DF06F1">
      <w:headerReference w:type="default" r:id="rId33"/>
      <w:footerReference w:type="default" r:id="rId34"/>
      <w:type w:val="continuous"/>
      <w:pgSz w:w="12242" w:h="15842" w:code="1"/>
      <w:pgMar w:top="1440" w:right="1440" w:bottom="1440" w:left="1440"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7F0E3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C9" w:rsidRDefault="005D17C9" w:rsidP="00045323">
      <w:pPr>
        <w:spacing w:after="0" w:line="240" w:lineRule="auto"/>
      </w:pPr>
      <w:r>
        <w:separator/>
      </w:r>
    </w:p>
  </w:endnote>
  <w:endnote w:type="continuationSeparator" w:id="0">
    <w:p w:rsidR="005D17C9" w:rsidRDefault="005D17C9" w:rsidP="00045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
    <w:altName w:val="MS Mincho"/>
    <w:panose1 w:val="00000000000000000000"/>
    <w:charset w:val="80"/>
    <w:family w:val="roman"/>
    <w:notTrueType/>
    <w:pitch w:val="default"/>
    <w:sig w:usb0="00000000" w:usb1="00000000" w:usb2="00000000" w:usb3="00000000" w:csb0="00000000" w:csb1="00000000"/>
  </w:font>
  <w:font w:name="JCbgK-Identity-H">
    <w:altName w:val="Arial Unicode MS"/>
    <w:panose1 w:val="00000000000000000000"/>
    <w:charset w:val="86"/>
    <w:family w:val="auto"/>
    <w:notTrueType/>
    <w:pitch w:val="default"/>
    <w:sig w:usb0="00000001" w:usb1="080E0000" w:usb2="00000010" w:usb3="00000000" w:csb0="00040000" w:csb1="00000000"/>
  </w:font>
  <w:font w:name="MinionMath-Regular">
    <w:altName w:val="Arial Unicode MS"/>
    <w:panose1 w:val="00000000000000000000"/>
    <w:charset w:val="86"/>
    <w:family w:val="auto"/>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36">
    <w:altName w:val="Courier New"/>
    <w:charset w:val="00"/>
    <w:family w:val="swiss"/>
    <w:pitch w:val="variable"/>
    <w:sig w:usb0="00000003" w:usb1="00000000" w:usb2="00000000" w:usb3="00000000" w:csb0="00000001" w:csb1="00000000"/>
  </w:font>
  <w:font w:name="E-BZ">
    <w:altName w:val="Arial Unicode MS"/>
    <w:panose1 w:val="00000000000000000000"/>
    <w:charset w:val="86"/>
    <w:family w:val="auto"/>
    <w:notTrueType/>
    <w:pitch w:val="default"/>
    <w:sig w:usb0="00000001" w:usb1="080E0000" w:usb2="00000010" w:usb3="00000000" w:csb0="00040000" w:csb1="00000000"/>
  </w:font>
  <w:font w:name="E-B3">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BA" w:rsidRPr="001C1ABA" w:rsidRDefault="00050A94" w:rsidP="001C1ABA">
    <w:pPr>
      <w:spacing w:after="0" w:line="240" w:lineRule="auto"/>
      <w:jc w:val="center"/>
      <w:rPr>
        <w:rFonts w:ascii="Times New Roman" w:hAnsi="Times New Roman" w:cs="Times New Roman"/>
        <w:sz w:val="20"/>
      </w:rPr>
    </w:pPr>
    <w:r w:rsidRPr="001C1ABA">
      <w:rPr>
        <w:rFonts w:ascii="Times New Roman" w:hAnsi="Times New Roman" w:cs="Times New Roman"/>
        <w:sz w:val="20"/>
      </w:rPr>
      <w:fldChar w:fldCharType="begin"/>
    </w:r>
    <w:r w:rsidR="001C1ABA" w:rsidRPr="001C1ABA">
      <w:rPr>
        <w:rFonts w:ascii="Times New Roman" w:hAnsi="Times New Roman" w:cs="Times New Roman"/>
        <w:sz w:val="20"/>
      </w:rPr>
      <w:instrText xml:space="preserve"> page </w:instrText>
    </w:r>
    <w:r w:rsidRPr="001C1ABA">
      <w:rPr>
        <w:rFonts w:ascii="Times New Roman" w:hAnsi="Times New Roman" w:cs="Times New Roman"/>
        <w:sz w:val="20"/>
      </w:rPr>
      <w:fldChar w:fldCharType="separate"/>
    </w:r>
    <w:r w:rsidR="008272B1">
      <w:rPr>
        <w:rFonts w:ascii="Times New Roman" w:hAnsi="Times New Roman" w:cs="Times New Roman"/>
        <w:noProof/>
        <w:sz w:val="20"/>
      </w:rPr>
      <w:t>42</w:t>
    </w:r>
    <w:r w:rsidRPr="001C1AB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BA" w:rsidRPr="009226BE" w:rsidRDefault="00050A94" w:rsidP="009226BE">
    <w:pPr>
      <w:pStyle w:val="Header"/>
      <w:tabs>
        <w:tab w:val="left" w:pos="2595"/>
        <w:tab w:val="center" w:pos="3719"/>
      </w:tabs>
      <w:snapToGrid w:val="0"/>
      <w:jc w:val="center"/>
      <w:rPr>
        <w:rFonts w:ascii="Times New Roman" w:hAnsi="Times New Roman" w:cs="Times New Roman"/>
        <w:sz w:val="20"/>
      </w:rPr>
    </w:pPr>
    <w:r w:rsidRPr="009226BE">
      <w:rPr>
        <w:rFonts w:ascii="Times New Roman" w:hAnsi="Times New Roman" w:cs="Times New Roman"/>
        <w:sz w:val="20"/>
      </w:rPr>
      <w:fldChar w:fldCharType="begin"/>
    </w:r>
    <w:r w:rsidR="00704331" w:rsidRPr="009226BE">
      <w:rPr>
        <w:rFonts w:ascii="Times New Roman" w:hAnsi="Times New Roman" w:cs="Times New Roman"/>
        <w:sz w:val="20"/>
      </w:rPr>
      <w:instrText xml:space="preserve"> PAGE   \* MERGEFORMAT </w:instrText>
    </w:r>
    <w:r w:rsidRPr="009226BE">
      <w:rPr>
        <w:rFonts w:ascii="Times New Roman" w:hAnsi="Times New Roman" w:cs="Times New Roman"/>
        <w:sz w:val="20"/>
      </w:rPr>
      <w:fldChar w:fldCharType="separate"/>
    </w:r>
    <w:r w:rsidR="008272B1">
      <w:rPr>
        <w:rFonts w:ascii="Times New Roman" w:hAnsi="Times New Roman" w:cs="Times New Roman"/>
        <w:noProof/>
        <w:sz w:val="20"/>
      </w:rPr>
      <w:t>44</w:t>
    </w:r>
    <w:r w:rsidRPr="009226BE">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BA" w:rsidRPr="00AA30C1" w:rsidRDefault="00050A94" w:rsidP="00DC6747">
    <w:pPr>
      <w:pStyle w:val="Header"/>
      <w:tabs>
        <w:tab w:val="left" w:pos="2595"/>
        <w:tab w:val="center" w:pos="3719"/>
      </w:tabs>
      <w:rPr>
        <w:rFonts w:ascii="36" w:hAnsi="36"/>
        <w:i/>
        <w:iCs/>
      </w:rPr>
    </w:pPr>
    <w:fldSimple w:instr=" PAGE   \* MERGEFORMAT ">
      <w:r w:rsidR="001C1ABA">
        <w:rPr>
          <w:noProof/>
        </w:rPr>
        <w:t>1</w:t>
      </w:r>
    </w:fldSimple>
  </w:p>
  <w:p w:rsidR="001C1ABA" w:rsidRDefault="001C1AB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BA" w:rsidRDefault="00050A94" w:rsidP="009226BE">
    <w:pPr>
      <w:pStyle w:val="Header"/>
      <w:tabs>
        <w:tab w:val="left" w:pos="2595"/>
        <w:tab w:val="center" w:pos="3719"/>
      </w:tabs>
      <w:snapToGrid w:val="0"/>
      <w:jc w:val="center"/>
    </w:pPr>
    <w:r w:rsidRPr="009226BE">
      <w:rPr>
        <w:rFonts w:ascii="Times New Roman" w:hAnsi="Times New Roman" w:cs="Times New Roman"/>
        <w:sz w:val="20"/>
      </w:rPr>
      <w:fldChar w:fldCharType="begin"/>
    </w:r>
    <w:r w:rsidR="00704331" w:rsidRPr="009226BE">
      <w:rPr>
        <w:rFonts w:ascii="Times New Roman" w:hAnsi="Times New Roman" w:cs="Times New Roman"/>
        <w:sz w:val="20"/>
      </w:rPr>
      <w:instrText xml:space="preserve"> PAGE   \* MERGEFORMAT </w:instrText>
    </w:r>
    <w:r w:rsidRPr="009226BE">
      <w:rPr>
        <w:rFonts w:ascii="Times New Roman" w:hAnsi="Times New Roman" w:cs="Times New Roman"/>
        <w:sz w:val="20"/>
      </w:rPr>
      <w:fldChar w:fldCharType="separate"/>
    </w:r>
    <w:r w:rsidR="008272B1">
      <w:rPr>
        <w:rFonts w:ascii="Times New Roman" w:hAnsi="Times New Roman" w:cs="Times New Roman"/>
        <w:noProof/>
        <w:sz w:val="20"/>
      </w:rPr>
      <w:t>45</w:t>
    </w:r>
    <w:r w:rsidRPr="009226BE">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BA" w:rsidRPr="00AA30C1" w:rsidRDefault="00050A94" w:rsidP="00DC6747">
    <w:pPr>
      <w:pStyle w:val="Header"/>
      <w:tabs>
        <w:tab w:val="left" w:pos="2595"/>
        <w:tab w:val="center" w:pos="3719"/>
      </w:tabs>
      <w:rPr>
        <w:rFonts w:ascii="36" w:hAnsi="36"/>
        <w:i/>
        <w:iCs/>
      </w:rPr>
    </w:pPr>
    <w:fldSimple w:instr=" PAGE   \* MERGEFORMAT ">
      <w:r w:rsidR="008272B1">
        <w:rPr>
          <w:noProof/>
        </w:rPr>
        <w:t>46</w:t>
      </w:r>
    </w:fldSimple>
  </w:p>
  <w:p w:rsidR="001C1ABA" w:rsidRDefault="001C1AB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BA" w:rsidRDefault="00050A94" w:rsidP="009226BE">
    <w:pPr>
      <w:pStyle w:val="Header"/>
      <w:tabs>
        <w:tab w:val="left" w:pos="2595"/>
        <w:tab w:val="center" w:pos="3719"/>
      </w:tabs>
      <w:snapToGrid w:val="0"/>
      <w:jc w:val="center"/>
    </w:pPr>
    <w:r w:rsidRPr="009226BE">
      <w:rPr>
        <w:rFonts w:ascii="Times New Roman" w:hAnsi="Times New Roman" w:cs="Times New Roman"/>
        <w:sz w:val="20"/>
      </w:rPr>
      <w:fldChar w:fldCharType="begin"/>
    </w:r>
    <w:r w:rsidR="00704331" w:rsidRPr="009226BE">
      <w:rPr>
        <w:rFonts w:ascii="Times New Roman" w:hAnsi="Times New Roman" w:cs="Times New Roman"/>
        <w:sz w:val="20"/>
      </w:rPr>
      <w:instrText xml:space="preserve"> PAGE   \* MERGEFORMAT </w:instrText>
    </w:r>
    <w:r w:rsidRPr="009226BE">
      <w:rPr>
        <w:rFonts w:ascii="Times New Roman" w:hAnsi="Times New Roman" w:cs="Times New Roman"/>
        <w:sz w:val="20"/>
      </w:rPr>
      <w:fldChar w:fldCharType="separate"/>
    </w:r>
    <w:r w:rsidR="008272B1">
      <w:rPr>
        <w:rFonts w:ascii="Times New Roman" w:hAnsi="Times New Roman" w:cs="Times New Roman"/>
        <w:noProof/>
        <w:sz w:val="20"/>
      </w:rPr>
      <w:t>46</w:t>
    </w:r>
    <w:r w:rsidRPr="009226BE">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BA" w:rsidRPr="009226BE" w:rsidRDefault="00050A94" w:rsidP="009226BE">
    <w:pPr>
      <w:pStyle w:val="Header"/>
      <w:tabs>
        <w:tab w:val="left" w:pos="2595"/>
        <w:tab w:val="center" w:pos="3719"/>
      </w:tabs>
      <w:snapToGrid w:val="0"/>
      <w:jc w:val="center"/>
      <w:rPr>
        <w:rFonts w:ascii="Times New Roman" w:hAnsi="Times New Roman" w:cs="Times New Roman"/>
        <w:sz w:val="20"/>
      </w:rPr>
    </w:pPr>
    <w:r w:rsidRPr="009226BE">
      <w:rPr>
        <w:rFonts w:ascii="Times New Roman" w:hAnsi="Times New Roman" w:cs="Times New Roman"/>
        <w:sz w:val="20"/>
      </w:rPr>
      <w:fldChar w:fldCharType="begin"/>
    </w:r>
    <w:r w:rsidR="00704331" w:rsidRPr="009226BE">
      <w:rPr>
        <w:rFonts w:ascii="Times New Roman" w:hAnsi="Times New Roman" w:cs="Times New Roman"/>
        <w:sz w:val="20"/>
      </w:rPr>
      <w:instrText xml:space="preserve"> PAGE   \* MERGEFORMAT </w:instrText>
    </w:r>
    <w:r w:rsidRPr="009226BE">
      <w:rPr>
        <w:rFonts w:ascii="Times New Roman" w:hAnsi="Times New Roman" w:cs="Times New Roman"/>
        <w:sz w:val="20"/>
      </w:rPr>
      <w:fldChar w:fldCharType="separate"/>
    </w:r>
    <w:r w:rsidR="008272B1">
      <w:rPr>
        <w:rFonts w:ascii="Times New Roman" w:hAnsi="Times New Roman" w:cs="Times New Roman"/>
        <w:noProof/>
        <w:sz w:val="20"/>
      </w:rPr>
      <w:t>49</w:t>
    </w:r>
    <w:r w:rsidRPr="009226BE">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43" w:rsidRPr="00AA30C1" w:rsidRDefault="00050A94" w:rsidP="00DC6747">
    <w:pPr>
      <w:pStyle w:val="Header"/>
      <w:tabs>
        <w:tab w:val="left" w:pos="2595"/>
        <w:tab w:val="center" w:pos="3719"/>
      </w:tabs>
      <w:rPr>
        <w:rFonts w:ascii="36" w:hAnsi="36"/>
        <w:i/>
        <w:iCs/>
      </w:rPr>
    </w:pPr>
    <w:r>
      <w:fldChar w:fldCharType="begin"/>
    </w:r>
    <w:r w:rsidR="00E63EA0">
      <w:instrText xml:space="preserve"> PAGE   \* MERGEFORMAT </w:instrText>
    </w:r>
    <w:r>
      <w:fldChar w:fldCharType="separate"/>
    </w:r>
    <w:r w:rsidR="001C1ABA">
      <w:rPr>
        <w:noProof/>
      </w:rPr>
      <w:t>1</w:t>
    </w:r>
    <w:r>
      <w:rPr>
        <w:noProof/>
      </w:rPr>
      <w:fldChar w:fldCharType="end"/>
    </w:r>
  </w:p>
  <w:p w:rsidR="00702943" w:rsidRDefault="00702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C9" w:rsidRDefault="005D17C9" w:rsidP="00045323">
      <w:pPr>
        <w:spacing w:after="0" w:line="240" w:lineRule="auto"/>
      </w:pPr>
      <w:r>
        <w:separator/>
      </w:r>
    </w:p>
  </w:footnote>
  <w:footnote w:type="continuationSeparator" w:id="0">
    <w:p w:rsidR="005D17C9" w:rsidRDefault="005D17C9" w:rsidP="00045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BA" w:rsidRPr="001C1ABA" w:rsidRDefault="001C1ABA" w:rsidP="001C1AB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1C1ABA">
      <w:rPr>
        <w:rFonts w:ascii="Times New Roman" w:hAnsi="Times New Roman" w:cs="Times New Roman" w:hint="eastAsia"/>
        <w:iCs/>
        <w:color w:val="000000"/>
        <w:sz w:val="20"/>
      </w:rPr>
      <w:tab/>
    </w:r>
    <w:r w:rsidRPr="001C1ABA">
      <w:rPr>
        <w:rFonts w:ascii="Times New Roman" w:hAnsi="Times New Roman" w:cs="Times New Roman"/>
        <w:iCs/>
        <w:color w:val="000000"/>
        <w:sz w:val="20"/>
      </w:rPr>
      <w:t xml:space="preserve">Cancer Biology </w:t>
    </w:r>
    <w:r w:rsidRPr="001C1ABA">
      <w:rPr>
        <w:rFonts w:ascii="Times New Roman" w:hAnsi="Times New Roman" w:cs="Times New Roman"/>
        <w:iCs/>
        <w:sz w:val="20"/>
      </w:rPr>
      <w:t>201</w:t>
    </w:r>
    <w:r w:rsidRPr="001C1ABA">
      <w:rPr>
        <w:rFonts w:ascii="Times New Roman" w:hAnsi="Times New Roman" w:cs="Times New Roman" w:hint="eastAsia"/>
        <w:iCs/>
        <w:sz w:val="20"/>
      </w:rPr>
      <w:t>6</w:t>
    </w:r>
    <w:proofErr w:type="gramStart"/>
    <w:r w:rsidRPr="001C1ABA">
      <w:rPr>
        <w:rFonts w:ascii="Times New Roman" w:hAnsi="Times New Roman" w:cs="Times New Roman"/>
        <w:iCs/>
        <w:sz w:val="20"/>
      </w:rPr>
      <w:t>;</w:t>
    </w:r>
    <w:r w:rsidRPr="001C1ABA">
      <w:rPr>
        <w:rFonts w:ascii="Times New Roman" w:hAnsi="Times New Roman" w:cs="Times New Roman" w:hint="eastAsia"/>
        <w:iCs/>
        <w:sz w:val="20"/>
      </w:rPr>
      <w:t>6</w:t>
    </w:r>
    <w:proofErr w:type="gramEnd"/>
    <w:r w:rsidRPr="001C1ABA">
      <w:rPr>
        <w:rFonts w:ascii="Times New Roman" w:hAnsi="Times New Roman" w:cs="Times New Roman"/>
        <w:iCs/>
        <w:sz w:val="20"/>
      </w:rPr>
      <w:t>(</w:t>
    </w:r>
    <w:r w:rsidRPr="001C1ABA">
      <w:rPr>
        <w:rFonts w:ascii="Times New Roman" w:hAnsi="Times New Roman" w:cs="Times New Roman" w:hint="eastAsia"/>
        <w:iCs/>
        <w:sz w:val="20"/>
      </w:rPr>
      <w:t>3</w:t>
    </w:r>
    <w:r w:rsidRPr="001C1ABA">
      <w:rPr>
        <w:rFonts w:ascii="Times New Roman" w:hAnsi="Times New Roman" w:cs="Times New Roman"/>
        <w:iCs/>
        <w:sz w:val="20"/>
      </w:rPr>
      <w:t xml:space="preserve">)  </w:t>
    </w:r>
    <w:r w:rsidRPr="001C1ABA">
      <w:rPr>
        <w:rFonts w:ascii="Times New Roman" w:hAnsi="Times New Roman" w:cs="Times New Roman" w:hint="eastAsia"/>
        <w:iCs/>
        <w:sz w:val="20"/>
      </w:rPr>
      <w:t xml:space="preserve">   </w:t>
    </w:r>
    <w:r w:rsidRPr="001C1ABA">
      <w:rPr>
        <w:rFonts w:ascii="Times New Roman" w:hAnsi="Times New Roman" w:cs="Times New Roman" w:hint="eastAsia"/>
        <w:iCs/>
        <w:sz w:val="20"/>
      </w:rPr>
      <w:tab/>
      <w:t xml:space="preserve">     </w:t>
    </w:r>
    <w:r w:rsidRPr="001C1ABA">
      <w:rPr>
        <w:rFonts w:ascii="Times New Roman" w:hAnsi="Times New Roman" w:cs="Times New Roman"/>
        <w:iCs/>
        <w:sz w:val="20"/>
      </w:rPr>
      <w:t xml:space="preserve"> </w:t>
    </w:r>
    <w:r w:rsidRPr="001C1ABA">
      <w:rPr>
        <w:rFonts w:ascii="Times New Roman" w:hAnsi="Times New Roman" w:cs="Times New Roman"/>
        <w:sz w:val="20"/>
      </w:rPr>
      <w:t xml:space="preserve">  </w:t>
    </w:r>
    <w:hyperlink r:id="rId1" w:history="1">
      <w:r w:rsidRPr="001C1ABA">
        <w:rPr>
          <w:rStyle w:val="Hyperlink"/>
          <w:rFonts w:ascii="Times New Roman" w:hAnsi="Times New Roman" w:cs="Times New Roman"/>
          <w:sz w:val="20"/>
        </w:rPr>
        <w:t>http://www.cancerbio.net</w:t>
      </w:r>
    </w:hyperlink>
  </w:p>
  <w:p w:rsidR="001C1ABA" w:rsidRPr="001C1ABA" w:rsidRDefault="001C1ABA" w:rsidP="001C1AB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BA" w:rsidRPr="00DA52F0" w:rsidRDefault="001C1ABA" w:rsidP="00DA52F0">
    <w:pPr>
      <w:pBdr>
        <w:bottom w:val="thinThickMediumGap" w:sz="12" w:space="1" w:color="auto"/>
      </w:pBdr>
      <w:tabs>
        <w:tab w:val="left" w:pos="851"/>
        <w:tab w:val="right" w:pos="8364"/>
      </w:tabs>
      <w:adjustRightInd w:val="0"/>
      <w:snapToGrid w:val="0"/>
      <w:spacing w:after="0" w:line="240" w:lineRule="auto"/>
      <w:jc w:val="center"/>
      <w:rPr>
        <w:rFonts w:asciiTheme="majorBidi" w:eastAsia="SimSun" w:hAnsiTheme="majorBidi" w:cstheme="majorBidi"/>
        <w:iCs/>
        <w:color w:val="0000FF"/>
        <w:sz w:val="20"/>
        <w:szCs w:val="20"/>
      </w:rPr>
    </w:pPr>
    <w:r>
      <w:rPr>
        <w:rFonts w:asciiTheme="majorBidi" w:eastAsia="SimSun" w:hAnsiTheme="majorBidi" w:cstheme="majorBidi"/>
        <w:iCs/>
        <w:color w:val="000000"/>
        <w:sz w:val="20"/>
        <w:szCs w:val="20"/>
      </w:rPr>
      <w:t xml:space="preserve">Cancer Biology </w:t>
    </w:r>
    <w:r>
      <w:rPr>
        <w:rFonts w:asciiTheme="majorBidi" w:eastAsia="SimSun" w:hAnsiTheme="majorBidi" w:cstheme="majorBidi"/>
        <w:iCs/>
        <w:sz w:val="20"/>
        <w:szCs w:val="20"/>
      </w:rPr>
      <w:t>2016</w:t>
    </w:r>
    <w:proofErr w:type="gramStart"/>
    <w:r>
      <w:rPr>
        <w:rFonts w:asciiTheme="majorBidi" w:eastAsia="SimSun" w:hAnsiTheme="majorBidi" w:cstheme="majorBidi"/>
        <w:iCs/>
        <w:sz w:val="20"/>
        <w:szCs w:val="20"/>
      </w:rPr>
      <w:t>;6</w:t>
    </w:r>
    <w:proofErr w:type="gramEnd"/>
    <w:r>
      <w:rPr>
        <w:rFonts w:asciiTheme="majorBidi" w:eastAsia="SimSun" w:hAnsiTheme="majorBidi" w:cstheme="majorBidi"/>
        <w:iCs/>
        <w:sz w:val="20"/>
        <w:szCs w:val="20"/>
      </w:rPr>
      <w:t xml:space="preserve">(X)     </w:t>
    </w:r>
    <w:r>
      <w:rPr>
        <w:rFonts w:asciiTheme="majorBidi" w:eastAsia="SimSun" w:hAnsiTheme="majorBidi" w:cstheme="majorBidi"/>
        <w:iCs/>
        <w:sz w:val="20"/>
        <w:szCs w:val="20"/>
      </w:rPr>
      <w:tab/>
    </w:r>
    <w:hyperlink r:id="rId1" w:history="1">
      <w:r>
        <w:rPr>
          <w:rStyle w:val="Hyperlink"/>
          <w:rFonts w:asciiTheme="majorBidi" w:eastAsia="SimSun" w:hAnsiTheme="majorBidi" w:cstheme="majorBidi"/>
          <w:sz w:val="20"/>
          <w:szCs w:val="20"/>
        </w:rPr>
        <w:t>http://www.cancerbio.net</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BA" w:rsidRPr="00DA52F0" w:rsidRDefault="001C1ABA" w:rsidP="00DA52F0">
    <w:pPr>
      <w:pBdr>
        <w:bottom w:val="thinThickMediumGap" w:sz="12" w:space="1" w:color="auto"/>
      </w:pBdr>
      <w:tabs>
        <w:tab w:val="left" w:pos="851"/>
        <w:tab w:val="right" w:pos="8364"/>
      </w:tabs>
      <w:adjustRightInd w:val="0"/>
      <w:snapToGrid w:val="0"/>
      <w:spacing w:after="0" w:line="240" w:lineRule="auto"/>
      <w:jc w:val="center"/>
      <w:rPr>
        <w:rFonts w:asciiTheme="majorBidi" w:eastAsia="SimSun" w:hAnsiTheme="majorBidi" w:cstheme="majorBidi"/>
        <w:iCs/>
        <w:color w:val="0000FF"/>
        <w:sz w:val="20"/>
        <w:szCs w:val="20"/>
      </w:rPr>
    </w:pPr>
    <w:r>
      <w:rPr>
        <w:rFonts w:asciiTheme="majorBidi" w:eastAsia="SimSun" w:hAnsiTheme="majorBidi" w:cstheme="majorBidi"/>
        <w:iCs/>
        <w:color w:val="000000"/>
        <w:sz w:val="20"/>
        <w:szCs w:val="20"/>
      </w:rPr>
      <w:t xml:space="preserve">Cancer Biology </w:t>
    </w:r>
    <w:r>
      <w:rPr>
        <w:rFonts w:asciiTheme="majorBidi" w:eastAsia="SimSun" w:hAnsiTheme="majorBidi" w:cstheme="majorBidi"/>
        <w:iCs/>
        <w:sz w:val="20"/>
        <w:szCs w:val="20"/>
      </w:rPr>
      <w:t>2016</w:t>
    </w:r>
    <w:proofErr w:type="gramStart"/>
    <w:r>
      <w:rPr>
        <w:rFonts w:asciiTheme="majorBidi" w:eastAsia="SimSun" w:hAnsiTheme="majorBidi" w:cstheme="majorBidi"/>
        <w:iCs/>
        <w:sz w:val="20"/>
        <w:szCs w:val="20"/>
      </w:rPr>
      <w:t>;6</w:t>
    </w:r>
    <w:proofErr w:type="gramEnd"/>
    <w:r>
      <w:rPr>
        <w:rFonts w:asciiTheme="majorBidi" w:eastAsia="SimSun" w:hAnsiTheme="majorBidi" w:cstheme="majorBidi"/>
        <w:iCs/>
        <w:sz w:val="20"/>
        <w:szCs w:val="20"/>
      </w:rPr>
      <w:t xml:space="preserve">(X)     </w:t>
    </w:r>
    <w:r>
      <w:rPr>
        <w:rFonts w:asciiTheme="majorBidi" w:eastAsia="SimSun" w:hAnsiTheme="majorBidi" w:cstheme="majorBidi"/>
        <w:iCs/>
        <w:sz w:val="20"/>
        <w:szCs w:val="20"/>
      </w:rPr>
      <w:tab/>
    </w:r>
    <w:hyperlink r:id="rId1" w:history="1">
      <w:r>
        <w:rPr>
          <w:rStyle w:val="Hyperlink"/>
          <w:rFonts w:asciiTheme="majorBidi" w:eastAsia="SimSun" w:hAnsiTheme="majorBidi" w:cstheme="majorBidi"/>
          <w:sz w:val="20"/>
          <w:szCs w:val="20"/>
        </w:rPr>
        <w:t>http://www.cancerbio.net</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BA" w:rsidRPr="00DA52F0" w:rsidRDefault="001C1ABA" w:rsidP="00DA52F0">
    <w:pPr>
      <w:pBdr>
        <w:bottom w:val="thinThickMediumGap" w:sz="12" w:space="1" w:color="auto"/>
      </w:pBdr>
      <w:tabs>
        <w:tab w:val="left" w:pos="851"/>
        <w:tab w:val="right" w:pos="8364"/>
      </w:tabs>
      <w:adjustRightInd w:val="0"/>
      <w:snapToGrid w:val="0"/>
      <w:spacing w:after="0" w:line="240" w:lineRule="auto"/>
      <w:jc w:val="center"/>
      <w:rPr>
        <w:rFonts w:asciiTheme="majorBidi" w:eastAsia="SimSun" w:hAnsiTheme="majorBidi" w:cstheme="majorBidi"/>
        <w:iCs/>
        <w:color w:val="0000FF"/>
        <w:sz w:val="20"/>
        <w:szCs w:val="20"/>
      </w:rPr>
    </w:pPr>
    <w:r>
      <w:rPr>
        <w:rFonts w:asciiTheme="majorBidi" w:eastAsia="SimSun" w:hAnsiTheme="majorBidi" w:cstheme="majorBidi"/>
        <w:iCs/>
        <w:color w:val="000000"/>
        <w:sz w:val="20"/>
        <w:szCs w:val="20"/>
      </w:rPr>
      <w:t xml:space="preserve">Cancer Biology </w:t>
    </w:r>
    <w:r>
      <w:rPr>
        <w:rFonts w:asciiTheme="majorBidi" w:eastAsia="SimSun" w:hAnsiTheme="majorBidi" w:cstheme="majorBidi"/>
        <w:iCs/>
        <w:sz w:val="20"/>
        <w:szCs w:val="20"/>
      </w:rPr>
      <w:t>2016</w:t>
    </w:r>
    <w:proofErr w:type="gramStart"/>
    <w:r>
      <w:rPr>
        <w:rFonts w:asciiTheme="majorBidi" w:eastAsia="SimSun" w:hAnsiTheme="majorBidi" w:cstheme="majorBidi"/>
        <w:iCs/>
        <w:sz w:val="20"/>
        <w:szCs w:val="20"/>
      </w:rPr>
      <w:t>;6</w:t>
    </w:r>
    <w:proofErr w:type="gramEnd"/>
    <w:r>
      <w:rPr>
        <w:rFonts w:asciiTheme="majorBidi" w:eastAsia="SimSun" w:hAnsiTheme="majorBidi" w:cstheme="majorBidi"/>
        <w:iCs/>
        <w:sz w:val="20"/>
        <w:szCs w:val="20"/>
      </w:rPr>
      <w:t xml:space="preserve">(X)     </w:t>
    </w:r>
    <w:r>
      <w:rPr>
        <w:rFonts w:asciiTheme="majorBidi" w:eastAsia="SimSun" w:hAnsiTheme="majorBidi" w:cstheme="majorBidi"/>
        <w:iCs/>
        <w:sz w:val="20"/>
        <w:szCs w:val="20"/>
      </w:rPr>
      <w:tab/>
    </w:r>
    <w:hyperlink r:id="rId1" w:history="1">
      <w:r>
        <w:rPr>
          <w:rStyle w:val="Hyperlink"/>
          <w:rFonts w:asciiTheme="majorBidi" w:eastAsia="SimSun" w:hAnsiTheme="majorBidi" w:cstheme="majorBidi"/>
          <w:sz w:val="20"/>
          <w:szCs w:val="20"/>
        </w:rPr>
        <w:t>http://www.cancerbio.net</w:t>
      </w:r>
    </w:hyperlink>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BA" w:rsidRPr="00DA52F0" w:rsidRDefault="001C1ABA" w:rsidP="00DA52F0">
    <w:pPr>
      <w:pBdr>
        <w:bottom w:val="thinThickMediumGap" w:sz="12" w:space="1" w:color="auto"/>
      </w:pBdr>
      <w:tabs>
        <w:tab w:val="left" w:pos="851"/>
        <w:tab w:val="right" w:pos="8364"/>
      </w:tabs>
      <w:adjustRightInd w:val="0"/>
      <w:snapToGrid w:val="0"/>
      <w:spacing w:after="0" w:line="240" w:lineRule="auto"/>
      <w:jc w:val="center"/>
      <w:rPr>
        <w:rFonts w:asciiTheme="majorBidi" w:eastAsia="SimSun" w:hAnsiTheme="majorBidi" w:cstheme="majorBidi"/>
        <w:iCs/>
        <w:color w:val="0000FF"/>
        <w:sz w:val="20"/>
        <w:szCs w:val="20"/>
      </w:rPr>
    </w:pPr>
    <w:r>
      <w:rPr>
        <w:rFonts w:asciiTheme="majorBidi" w:eastAsia="SimSun" w:hAnsiTheme="majorBidi" w:cstheme="majorBidi"/>
        <w:iCs/>
        <w:color w:val="000000"/>
        <w:sz w:val="20"/>
        <w:szCs w:val="20"/>
      </w:rPr>
      <w:t xml:space="preserve">Cancer Biology </w:t>
    </w:r>
    <w:r>
      <w:rPr>
        <w:rFonts w:asciiTheme="majorBidi" w:eastAsia="SimSun" w:hAnsiTheme="majorBidi" w:cstheme="majorBidi"/>
        <w:iCs/>
        <w:sz w:val="20"/>
        <w:szCs w:val="20"/>
      </w:rPr>
      <w:t>2016</w:t>
    </w:r>
    <w:proofErr w:type="gramStart"/>
    <w:r>
      <w:rPr>
        <w:rFonts w:asciiTheme="majorBidi" w:eastAsia="SimSun" w:hAnsiTheme="majorBidi" w:cstheme="majorBidi"/>
        <w:iCs/>
        <w:sz w:val="20"/>
        <w:szCs w:val="20"/>
      </w:rPr>
      <w:t>;6</w:t>
    </w:r>
    <w:proofErr w:type="gramEnd"/>
    <w:r>
      <w:rPr>
        <w:rFonts w:asciiTheme="majorBidi" w:eastAsia="SimSun" w:hAnsiTheme="majorBidi" w:cstheme="majorBidi"/>
        <w:iCs/>
        <w:sz w:val="20"/>
        <w:szCs w:val="20"/>
      </w:rPr>
      <w:t xml:space="preserve">(X)     </w:t>
    </w:r>
    <w:r>
      <w:rPr>
        <w:rFonts w:asciiTheme="majorBidi" w:eastAsia="SimSun" w:hAnsiTheme="majorBidi" w:cstheme="majorBidi"/>
        <w:iCs/>
        <w:sz w:val="20"/>
        <w:szCs w:val="20"/>
      </w:rPr>
      <w:tab/>
    </w:r>
    <w:hyperlink r:id="rId1" w:history="1">
      <w:r>
        <w:rPr>
          <w:rStyle w:val="Hyperlink"/>
          <w:rFonts w:asciiTheme="majorBidi" w:eastAsia="SimSun" w:hAnsiTheme="majorBidi" w:cstheme="majorBidi"/>
          <w:sz w:val="20"/>
          <w:szCs w:val="20"/>
        </w:rPr>
        <w:t>http://www.cancerbio.net</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BA" w:rsidRPr="00DA52F0" w:rsidRDefault="001C1ABA" w:rsidP="00DA52F0">
    <w:pPr>
      <w:pBdr>
        <w:bottom w:val="thinThickMediumGap" w:sz="12" w:space="1" w:color="auto"/>
      </w:pBdr>
      <w:tabs>
        <w:tab w:val="left" w:pos="851"/>
        <w:tab w:val="right" w:pos="8364"/>
      </w:tabs>
      <w:adjustRightInd w:val="0"/>
      <w:snapToGrid w:val="0"/>
      <w:spacing w:after="0" w:line="240" w:lineRule="auto"/>
      <w:jc w:val="center"/>
      <w:rPr>
        <w:rFonts w:asciiTheme="majorBidi" w:eastAsia="SimSun" w:hAnsiTheme="majorBidi" w:cstheme="majorBidi"/>
        <w:iCs/>
        <w:color w:val="0000FF"/>
        <w:sz w:val="20"/>
        <w:szCs w:val="20"/>
      </w:rPr>
    </w:pPr>
    <w:r>
      <w:rPr>
        <w:rFonts w:asciiTheme="majorBidi" w:eastAsia="SimSun" w:hAnsiTheme="majorBidi" w:cstheme="majorBidi"/>
        <w:iCs/>
        <w:color w:val="000000"/>
        <w:sz w:val="20"/>
        <w:szCs w:val="20"/>
      </w:rPr>
      <w:t xml:space="preserve">Cancer Biology </w:t>
    </w:r>
    <w:r>
      <w:rPr>
        <w:rFonts w:asciiTheme="majorBidi" w:eastAsia="SimSun" w:hAnsiTheme="majorBidi" w:cstheme="majorBidi"/>
        <w:iCs/>
        <w:sz w:val="20"/>
        <w:szCs w:val="20"/>
      </w:rPr>
      <w:t>2016</w:t>
    </w:r>
    <w:proofErr w:type="gramStart"/>
    <w:r>
      <w:rPr>
        <w:rFonts w:asciiTheme="majorBidi" w:eastAsia="SimSun" w:hAnsiTheme="majorBidi" w:cstheme="majorBidi"/>
        <w:iCs/>
        <w:sz w:val="20"/>
        <w:szCs w:val="20"/>
      </w:rPr>
      <w:t>;6</w:t>
    </w:r>
    <w:proofErr w:type="gramEnd"/>
    <w:r>
      <w:rPr>
        <w:rFonts w:asciiTheme="majorBidi" w:eastAsia="SimSun" w:hAnsiTheme="majorBidi" w:cstheme="majorBidi"/>
        <w:iCs/>
        <w:sz w:val="20"/>
        <w:szCs w:val="20"/>
      </w:rPr>
      <w:t xml:space="preserve">(X)     </w:t>
    </w:r>
    <w:r>
      <w:rPr>
        <w:rFonts w:asciiTheme="majorBidi" w:eastAsia="SimSun" w:hAnsiTheme="majorBidi" w:cstheme="majorBidi"/>
        <w:iCs/>
        <w:sz w:val="20"/>
        <w:szCs w:val="20"/>
      </w:rPr>
      <w:tab/>
    </w:r>
    <w:hyperlink r:id="rId1" w:history="1">
      <w:r>
        <w:rPr>
          <w:rStyle w:val="Hyperlink"/>
          <w:rFonts w:asciiTheme="majorBidi" w:eastAsia="SimSun" w:hAnsiTheme="majorBidi" w:cstheme="majorBidi"/>
          <w:sz w:val="20"/>
          <w:szCs w:val="20"/>
        </w:rPr>
        <w:t>http://www.cancerbio.net</w:t>
      </w:r>
    </w:hyperlink>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BA" w:rsidRPr="00DA52F0" w:rsidRDefault="001C1ABA" w:rsidP="00DA52F0">
    <w:pPr>
      <w:pBdr>
        <w:bottom w:val="thinThickMediumGap" w:sz="12" w:space="1" w:color="auto"/>
      </w:pBdr>
      <w:tabs>
        <w:tab w:val="left" w:pos="851"/>
        <w:tab w:val="right" w:pos="8364"/>
      </w:tabs>
      <w:adjustRightInd w:val="0"/>
      <w:snapToGrid w:val="0"/>
      <w:spacing w:after="0" w:line="240" w:lineRule="auto"/>
      <w:jc w:val="center"/>
      <w:rPr>
        <w:rFonts w:asciiTheme="majorBidi" w:eastAsia="SimSun" w:hAnsiTheme="majorBidi" w:cstheme="majorBidi"/>
        <w:iCs/>
        <w:color w:val="0000FF"/>
        <w:sz w:val="20"/>
        <w:szCs w:val="20"/>
      </w:rPr>
    </w:pPr>
    <w:r>
      <w:rPr>
        <w:rFonts w:asciiTheme="majorBidi" w:eastAsia="SimSun" w:hAnsiTheme="majorBidi" w:cstheme="majorBidi"/>
        <w:iCs/>
        <w:color w:val="000000"/>
        <w:sz w:val="20"/>
        <w:szCs w:val="20"/>
      </w:rPr>
      <w:t xml:space="preserve">Cancer Biology </w:t>
    </w:r>
    <w:r>
      <w:rPr>
        <w:rFonts w:asciiTheme="majorBidi" w:eastAsia="SimSun" w:hAnsiTheme="majorBidi" w:cstheme="majorBidi"/>
        <w:iCs/>
        <w:sz w:val="20"/>
        <w:szCs w:val="20"/>
      </w:rPr>
      <w:t>2016</w:t>
    </w:r>
    <w:proofErr w:type="gramStart"/>
    <w:r>
      <w:rPr>
        <w:rFonts w:asciiTheme="majorBidi" w:eastAsia="SimSun" w:hAnsiTheme="majorBidi" w:cstheme="majorBidi"/>
        <w:iCs/>
        <w:sz w:val="20"/>
        <w:szCs w:val="20"/>
      </w:rPr>
      <w:t>;6</w:t>
    </w:r>
    <w:proofErr w:type="gramEnd"/>
    <w:r>
      <w:rPr>
        <w:rFonts w:asciiTheme="majorBidi" w:eastAsia="SimSun" w:hAnsiTheme="majorBidi" w:cstheme="majorBidi"/>
        <w:iCs/>
        <w:sz w:val="20"/>
        <w:szCs w:val="20"/>
      </w:rPr>
      <w:t xml:space="preserve">(X)     </w:t>
    </w:r>
    <w:r>
      <w:rPr>
        <w:rFonts w:asciiTheme="majorBidi" w:eastAsia="SimSun" w:hAnsiTheme="majorBidi" w:cstheme="majorBidi"/>
        <w:iCs/>
        <w:sz w:val="20"/>
        <w:szCs w:val="20"/>
      </w:rPr>
      <w:tab/>
    </w:r>
    <w:hyperlink r:id="rId1" w:history="1">
      <w:r>
        <w:rPr>
          <w:rStyle w:val="Hyperlink"/>
          <w:rFonts w:asciiTheme="majorBidi" w:eastAsia="SimSun" w:hAnsiTheme="majorBidi" w:cstheme="majorBidi"/>
          <w:sz w:val="20"/>
          <w:szCs w:val="20"/>
        </w:rPr>
        <w:t>http://www.cancerbio.net</w:t>
      </w:r>
    </w:hyperlink>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F0" w:rsidRPr="00DA52F0" w:rsidRDefault="00DA52F0" w:rsidP="00DA52F0">
    <w:pPr>
      <w:pBdr>
        <w:bottom w:val="thinThickMediumGap" w:sz="12" w:space="1" w:color="auto"/>
      </w:pBdr>
      <w:tabs>
        <w:tab w:val="left" w:pos="851"/>
        <w:tab w:val="right" w:pos="8364"/>
      </w:tabs>
      <w:adjustRightInd w:val="0"/>
      <w:snapToGrid w:val="0"/>
      <w:spacing w:after="0" w:line="240" w:lineRule="auto"/>
      <w:jc w:val="center"/>
      <w:rPr>
        <w:rFonts w:asciiTheme="majorBidi" w:eastAsia="SimSun" w:hAnsiTheme="majorBidi" w:cstheme="majorBidi"/>
        <w:iCs/>
        <w:color w:val="0000FF"/>
        <w:sz w:val="20"/>
        <w:szCs w:val="20"/>
      </w:rPr>
    </w:pPr>
    <w:r>
      <w:rPr>
        <w:rFonts w:asciiTheme="majorBidi" w:eastAsia="SimSun" w:hAnsiTheme="majorBidi" w:cstheme="majorBidi"/>
        <w:iCs/>
        <w:color w:val="000000"/>
        <w:sz w:val="20"/>
        <w:szCs w:val="20"/>
      </w:rPr>
      <w:t xml:space="preserve">Cancer Biology </w:t>
    </w:r>
    <w:r>
      <w:rPr>
        <w:rFonts w:asciiTheme="majorBidi" w:eastAsia="SimSun" w:hAnsiTheme="majorBidi" w:cstheme="majorBidi"/>
        <w:iCs/>
        <w:sz w:val="20"/>
        <w:szCs w:val="20"/>
      </w:rPr>
      <w:t>2016</w:t>
    </w:r>
    <w:proofErr w:type="gramStart"/>
    <w:r>
      <w:rPr>
        <w:rFonts w:asciiTheme="majorBidi" w:eastAsia="SimSun" w:hAnsiTheme="majorBidi" w:cstheme="majorBidi"/>
        <w:iCs/>
        <w:sz w:val="20"/>
        <w:szCs w:val="20"/>
      </w:rPr>
      <w:t>;6</w:t>
    </w:r>
    <w:proofErr w:type="gramEnd"/>
    <w:r>
      <w:rPr>
        <w:rFonts w:asciiTheme="majorBidi" w:eastAsia="SimSun" w:hAnsiTheme="majorBidi" w:cstheme="majorBidi"/>
        <w:iCs/>
        <w:sz w:val="20"/>
        <w:szCs w:val="20"/>
      </w:rPr>
      <w:t xml:space="preserve">(X)     </w:t>
    </w:r>
    <w:r>
      <w:rPr>
        <w:rFonts w:asciiTheme="majorBidi" w:eastAsia="SimSun" w:hAnsiTheme="majorBidi" w:cstheme="majorBidi"/>
        <w:iCs/>
        <w:sz w:val="20"/>
        <w:szCs w:val="20"/>
      </w:rPr>
      <w:tab/>
    </w:r>
    <w:hyperlink r:id="rId1" w:history="1">
      <w:r>
        <w:rPr>
          <w:rStyle w:val="Hyperlink"/>
          <w:rFonts w:asciiTheme="majorBidi" w:eastAsia="SimSun" w:hAnsiTheme="majorBidi" w:cstheme="majorBidi"/>
          <w:sz w:val="20"/>
          <w:szCs w:val="20"/>
        </w:rPr>
        <w:t>http://www.cancerbio.net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6FD"/>
    <w:multiLevelType w:val="hybridMultilevel"/>
    <w:tmpl w:val="D4D235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526034"/>
    <w:multiLevelType w:val="hybridMultilevel"/>
    <w:tmpl w:val="1840B7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
  <w:rsids>
    <w:rsidRoot w:val="00EC0D92"/>
    <w:rsid w:val="00017240"/>
    <w:rsid w:val="0002385D"/>
    <w:rsid w:val="00045323"/>
    <w:rsid w:val="00050A94"/>
    <w:rsid w:val="000531F9"/>
    <w:rsid w:val="0006449C"/>
    <w:rsid w:val="00093235"/>
    <w:rsid w:val="000C096E"/>
    <w:rsid w:val="000E6AA4"/>
    <w:rsid w:val="00107C9B"/>
    <w:rsid w:val="00121B81"/>
    <w:rsid w:val="001807F2"/>
    <w:rsid w:val="00191EE7"/>
    <w:rsid w:val="0019366C"/>
    <w:rsid w:val="00193E78"/>
    <w:rsid w:val="001A125C"/>
    <w:rsid w:val="001A15D0"/>
    <w:rsid w:val="001A6F21"/>
    <w:rsid w:val="001C1ABA"/>
    <w:rsid w:val="001C3BE0"/>
    <w:rsid w:val="001E261C"/>
    <w:rsid w:val="001E3FC9"/>
    <w:rsid w:val="0020223B"/>
    <w:rsid w:val="00203807"/>
    <w:rsid w:val="00205DF3"/>
    <w:rsid w:val="00214D22"/>
    <w:rsid w:val="00236A73"/>
    <w:rsid w:val="00244FCF"/>
    <w:rsid w:val="002550BF"/>
    <w:rsid w:val="00261DF8"/>
    <w:rsid w:val="0026638A"/>
    <w:rsid w:val="002A4A1E"/>
    <w:rsid w:val="002A6F99"/>
    <w:rsid w:val="0031505F"/>
    <w:rsid w:val="00331F18"/>
    <w:rsid w:val="003344D0"/>
    <w:rsid w:val="00367BB0"/>
    <w:rsid w:val="00373E31"/>
    <w:rsid w:val="003A762D"/>
    <w:rsid w:val="003B4CD4"/>
    <w:rsid w:val="003C290C"/>
    <w:rsid w:val="00412D31"/>
    <w:rsid w:val="0044451A"/>
    <w:rsid w:val="00444D26"/>
    <w:rsid w:val="00454B5B"/>
    <w:rsid w:val="00462446"/>
    <w:rsid w:val="00462595"/>
    <w:rsid w:val="00463271"/>
    <w:rsid w:val="00470005"/>
    <w:rsid w:val="004D07F5"/>
    <w:rsid w:val="004F01BE"/>
    <w:rsid w:val="00501D25"/>
    <w:rsid w:val="00517A0A"/>
    <w:rsid w:val="0052507C"/>
    <w:rsid w:val="00570561"/>
    <w:rsid w:val="00593F0F"/>
    <w:rsid w:val="005A2156"/>
    <w:rsid w:val="005A3AD8"/>
    <w:rsid w:val="005C0BE2"/>
    <w:rsid w:val="005D17C9"/>
    <w:rsid w:val="005F3831"/>
    <w:rsid w:val="005F3DE4"/>
    <w:rsid w:val="00605A3F"/>
    <w:rsid w:val="006453EA"/>
    <w:rsid w:val="00646093"/>
    <w:rsid w:val="0068100F"/>
    <w:rsid w:val="00685492"/>
    <w:rsid w:val="006B6768"/>
    <w:rsid w:val="006B7378"/>
    <w:rsid w:val="006D6FDB"/>
    <w:rsid w:val="006E0436"/>
    <w:rsid w:val="006E0B13"/>
    <w:rsid w:val="006E418F"/>
    <w:rsid w:val="006E6C54"/>
    <w:rsid w:val="006F4F32"/>
    <w:rsid w:val="00702943"/>
    <w:rsid w:val="00704331"/>
    <w:rsid w:val="00734795"/>
    <w:rsid w:val="0075137D"/>
    <w:rsid w:val="00751C74"/>
    <w:rsid w:val="0075441A"/>
    <w:rsid w:val="0078485C"/>
    <w:rsid w:val="007A1139"/>
    <w:rsid w:val="007A5765"/>
    <w:rsid w:val="007B70E9"/>
    <w:rsid w:val="007D264F"/>
    <w:rsid w:val="007D285F"/>
    <w:rsid w:val="007D29AE"/>
    <w:rsid w:val="007E0F9F"/>
    <w:rsid w:val="007E2857"/>
    <w:rsid w:val="008272B1"/>
    <w:rsid w:val="00836F98"/>
    <w:rsid w:val="00893E87"/>
    <w:rsid w:val="008C1CFE"/>
    <w:rsid w:val="008D27BA"/>
    <w:rsid w:val="008F0B3A"/>
    <w:rsid w:val="00914254"/>
    <w:rsid w:val="0092195E"/>
    <w:rsid w:val="009226BE"/>
    <w:rsid w:val="00963A09"/>
    <w:rsid w:val="009A03F6"/>
    <w:rsid w:val="009A6EFD"/>
    <w:rsid w:val="009B3B35"/>
    <w:rsid w:val="009C7E4A"/>
    <w:rsid w:val="009F7C91"/>
    <w:rsid w:val="00A16E51"/>
    <w:rsid w:val="00A20839"/>
    <w:rsid w:val="00A83434"/>
    <w:rsid w:val="00A85D5F"/>
    <w:rsid w:val="00A922F5"/>
    <w:rsid w:val="00AA49AB"/>
    <w:rsid w:val="00AA66A2"/>
    <w:rsid w:val="00AD352E"/>
    <w:rsid w:val="00AE18DC"/>
    <w:rsid w:val="00AF6E03"/>
    <w:rsid w:val="00B02FBE"/>
    <w:rsid w:val="00B26C0F"/>
    <w:rsid w:val="00B34BEA"/>
    <w:rsid w:val="00B57EFB"/>
    <w:rsid w:val="00B61A18"/>
    <w:rsid w:val="00B77DD4"/>
    <w:rsid w:val="00BE3D83"/>
    <w:rsid w:val="00C0508B"/>
    <w:rsid w:val="00C10046"/>
    <w:rsid w:val="00C501BF"/>
    <w:rsid w:val="00C87AA0"/>
    <w:rsid w:val="00CC5804"/>
    <w:rsid w:val="00CD7B5C"/>
    <w:rsid w:val="00D4411C"/>
    <w:rsid w:val="00D45FCE"/>
    <w:rsid w:val="00D73406"/>
    <w:rsid w:val="00D74848"/>
    <w:rsid w:val="00DA52F0"/>
    <w:rsid w:val="00DA56C1"/>
    <w:rsid w:val="00DB02FB"/>
    <w:rsid w:val="00DB096E"/>
    <w:rsid w:val="00DC0DF9"/>
    <w:rsid w:val="00DC6747"/>
    <w:rsid w:val="00DF06F1"/>
    <w:rsid w:val="00DF35C3"/>
    <w:rsid w:val="00E276B5"/>
    <w:rsid w:val="00E62E09"/>
    <w:rsid w:val="00E63EA0"/>
    <w:rsid w:val="00E67E02"/>
    <w:rsid w:val="00E70C92"/>
    <w:rsid w:val="00E71410"/>
    <w:rsid w:val="00E71E78"/>
    <w:rsid w:val="00EA64C5"/>
    <w:rsid w:val="00EC0D92"/>
    <w:rsid w:val="00EF0B40"/>
    <w:rsid w:val="00EF6B4C"/>
    <w:rsid w:val="00F160EF"/>
    <w:rsid w:val="00F321AF"/>
    <w:rsid w:val="00F347D8"/>
    <w:rsid w:val="00F43457"/>
    <w:rsid w:val="00F439D6"/>
    <w:rsid w:val="00F603BE"/>
    <w:rsid w:val="00F61FEC"/>
    <w:rsid w:val="00F664AF"/>
    <w:rsid w:val="00F8462F"/>
    <w:rsid w:val="00F86520"/>
    <w:rsid w:val="00FE41E5"/>
    <w:rsid w:val="00FE57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F5"/>
  </w:style>
  <w:style w:type="paragraph" w:styleId="Heading4">
    <w:name w:val="heading 4"/>
    <w:basedOn w:val="Normal"/>
    <w:link w:val="Heading4Char"/>
    <w:uiPriority w:val="9"/>
    <w:qFormat/>
    <w:rsid w:val="00D734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734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D92"/>
    <w:pPr>
      <w:autoSpaceDE w:val="0"/>
      <w:autoSpaceDN w:val="0"/>
      <w:adjustRightInd w:val="0"/>
      <w:spacing w:after="0" w:line="240" w:lineRule="auto"/>
    </w:pPr>
    <w:rPr>
      <w:rFonts w:ascii="Tahoma" w:hAnsi="Tahoma" w:cs="Tahoma"/>
      <w:color w:val="000000"/>
      <w:sz w:val="24"/>
      <w:szCs w:val="24"/>
    </w:rPr>
  </w:style>
  <w:style w:type="character" w:customStyle="1" w:styleId="A11">
    <w:name w:val="A11"/>
    <w:uiPriority w:val="99"/>
    <w:rsid w:val="00EC0D92"/>
    <w:rPr>
      <w:rFonts w:cs="Garamond"/>
      <w:color w:val="000000"/>
      <w:sz w:val="12"/>
      <w:szCs w:val="12"/>
    </w:rPr>
  </w:style>
  <w:style w:type="paragraph" w:styleId="ListParagraph">
    <w:name w:val="List Paragraph"/>
    <w:basedOn w:val="Normal"/>
    <w:uiPriority w:val="34"/>
    <w:qFormat/>
    <w:rsid w:val="00EC0D92"/>
    <w:pPr>
      <w:ind w:left="720"/>
      <w:contextualSpacing/>
    </w:pPr>
  </w:style>
  <w:style w:type="character" w:customStyle="1" w:styleId="A8">
    <w:name w:val="A8"/>
    <w:uiPriority w:val="99"/>
    <w:rsid w:val="00EC0D92"/>
    <w:rPr>
      <w:rFonts w:cs="Book Antiqua"/>
      <w:color w:val="000000"/>
      <w:sz w:val="16"/>
      <w:szCs w:val="16"/>
    </w:rPr>
  </w:style>
  <w:style w:type="paragraph" w:customStyle="1" w:styleId="Pa21">
    <w:name w:val="Pa21"/>
    <w:basedOn w:val="Default"/>
    <w:next w:val="Default"/>
    <w:uiPriority w:val="99"/>
    <w:rsid w:val="00EC0D92"/>
    <w:pPr>
      <w:spacing w:line="161" w:lineRule="atLeast"/>
    </w:pPr>
    <w:rPr>
      <w:rFonts w:ascii="Book Antiqua" w:hAnsi="Book Antiqua" w:cstheme="minorBidi"/>
      <w:color w:val="auto"/>
    </w:rPr>
  </w:style>
  <w:style w:type="table" w:styleId="TableGrid">
    <w:name w:val="Table Grid"/>
    <w:basedOn w:val="TableNormal"/>
    <w:uiPriority w:val="59"/>
    <w:rsid w:val="000453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45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323"/>
  </w:style>
  <w:style w:type="paragraph" w:styleId="Footer">
    <w:name w:val="footer"/>
    <w:basedOn w:val="Normal"/>
    <w:link w:val="FooterChar"/>
    <w:uiPriority w:val="99"/>
    <w:semiHidden/>
    <w:unhideWhenUsed/>
    <w:rsid w:val="000453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5323"/>
  </w:style>
  <w:style w:type="paragraph" w:styleId="BalloonText">
    <w:name w:val="Balloon Text"/>
    <w:basedOn w:val="Normal"/>
    <w:link w:val="BalloonTextChar"/>
    <w:uiPriority w:val="99"/>
    <w:semiHidden/>
    <w:unhideWhenUsed/>
    <w:rsid w:val="00DC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DF9"/>
    <w:rPr>
      <w:rFonts w:ascii="Tahoma" w:hAnsi="Tahoma" w:cs="Tahoma"/>
      <w:sz w:val="16"/>
      <w:szCs w:val="16"/>
    </w:rPr>
  </w:style>
  <w:style w:type="character" w:customStyle="1" w:styleId="Heading4Char">
    <w:name w:val="Heading 4 Char"/>
    <w:basedOn w:val="DefaultParagraphFont"/>
    <w:link w:val="Heading4"/>
    <w:uiPriority w:val="9"/>
    <w:rsid w:val="00D734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7340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734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3406"/>
    <w:rPr>
      <w:color w:val="0000FF"/>
      <w:u w:val="single"/>
    </w:rPr>
  </w:style>
  <w:style w:type="character" w:customStyle="1" w:styleId="reference-text">
    <w:name w:val="reference-text"/>
    <w:basedOn w:val="DefaultParagraphFont"/>
    <w:rsid w:val="0068100F"/>
  </w:style>
  <w:style w:type="character" w:styleId="HTMLCite">
    <w:name w:val="HTML Cite"/>
    <w:basedOn w:val="DefaultParagraphFont"/>
    <w:uiPriority w:val="99"/>
    <w:semiHidden/>
    <w:unhideWhenUsed/>
    <w:rsid w:val="002A4A1E"/>
    <w:rPr>
      <w:i/>
      <w:iCs/>
    </w:rPr>
  </w:style>
  <w:style w:type="character" w:styleId="CommentReference">
    <w:name w:val="annotation reference"/>
    <w:basedOn w:val="DefaultParagraphFont"/>
    <w:uiPriority w:val="99"/>
    <w:semiHidden/>
    <w:unhideWhenUsed/>
    <w:rsid w:val="00D74848"/>
    <w:rPr>
      <w:sz w:val="16"/>
      <w:szCs w:val="16"/>
    </w:rPr>
  </w:style>
  <w:style w:type="paragraph" w:styleId="CommentText">
    <w:name w:val="annotation text"/>
    <w:basedOn w:val="Normal"/>
    <w:link w:val="CommentTextChar"/>
    <w:uiPriority w:val="99"/>
    <w:semiHidden/>
    <w:unhideWhenUsed/>
    <w:rsid w:val="00D74848"/>
    <w:pPr>
      <w:spacing w:line="240" w:lineRule="auto"/>
    </w:pPr>
    <w:rPr>
      <w:sz w:val="20"/>
      <w:szCs w:val="20"/>
    </w:rPr>
  </w:style>
  <w:style w:type="character" w:customStyle="1" w:styleId="CommentTextChar">
    <w:name w:val="Comment Text Char"/>
    <w:basedOn w:val="DefaultParagraphFont"/>
    <w:link w:val="CommentText"/>
    <w:uiPriority w:val="99"/>
    <w:semiHidden/>
    <w:rsid w:val="00D74848"/>
    <w:rPr>
      <w:sz w:val="20"/>
      <w:szCs w:val="20"/>
    </w:rPr>
  </w:style>
  <w:style w:type="paragraph" w:styleId="CommentSubject">
    <w:name w:val="annotation subject"/>
    <w:basedOn w:val="CommentText"/>
    <w:next w:val="CommentText"/>
    <w:link w:val="CommentSubjectChar"/>
    <w:uiPriority w:val="99"/>
    <w:semiHidden/>
    <w:unhideWhenUsed/>
    <w:rsid w:val="00D74848"/>
    <w:rPr>
      <w:b/>
      <w:bCs/>
    </w:rPr>
  </w:style>
  <w:style w:type="character" w:customStyle="1" w:styleId="CommentSubjectChar">
    <w:name w:val="Comment Subject Char"/>
    <w:basedOn w:val="CommentTextChar"/>
    <w:link w:val="CommentSubject"/>
    <w:uiPriority w:val="99"/>
    <w:semiHidden/>
    <w:rsid w:val="00D74848"/>
    <w:rPr>
      <w:b/>
      <w:bCs/>
      <w:sz w:val="20"/>
      <w:szCs w:val="20"/>
    </w:rPr>
  </w:style>
  <w:style w:type="paragraph" w:styleId="NoSpacing">
    <w:name w:val="No Spacing"/>
    <w:basedOn w:val="Normal"/>
    <w:link w:val="NoSpacingChar"/>
    <w:qFormat/>
    <w:rsid w:val="001C1ABA"/>
    <w:pPr>
      <w:spacing w:before="100" w:beforeAutospacing="1" w:after="100" w:afterAutospacing="1" w:line="240" w:lineRule="auto"/>
    </w:pPr>
    <w:rPr>
      <w:rFonts w:ascii="Times New Roman" w:eastAsia="宋体" w:hAnsi="Times New Roman" w:cs="Times New Roman"/>
      <w:sz w:val="24"/>
      <w:szCs w:val="24"/>
      <w:lang w:val="en-US" w:eastAsia="zh-CN"/>
    </w:rPr>
  </w:style>
  <w:style w:type="character" w:customStyle="1" w:styleId="NoSpacingChar">
    <w:name w:val="No Spacing Char"/>
    <w:basedOn w:val="DefaultParagraphFont"/>
    <w:link w:val="NoSpacing"/>
    <w:locked/>
    <w:rsid w:val="001C1ABA"/>
    <w:rPr>
      <w:rFonts w:ascii="Times New Roman" w:eastAsia="宋体" w:hAnsi="Times New Roman" w:cs="Times New Roman"/>
      <w:sz w:val="24"/>
      <w:szCs w:val="24"/>
      <w:lang w:val="en-US" w:eastAsia="zh-CN"/>
    </w:rPr>
  </w:style>
  <w:style w:type="character" w:customStyle="1" w:styleId="msonormal0">
    <w:name w:val="msonormal0"/>
    <w:basedOn w:val="DefaultParagraphFont"/>
    <w:rsid w:val="001C1ABA"/>
  </w:style>
</w:styles>
</file>

<file path=word/webSettings.xml><?xml version="1.0" encoding="utf-8"?>
<w:webSettings xmlns:r="http://schemas.openxmlformats.org/officeDocument/2006/relationships" xmlns:w="http://schemas.openxmlformats.org/wordprocessingml/2006/main">
  <w:divs>
    <w:div w:id="510803436">
      <w:bodyDiv w:val="1"/>
      <w:marLeft w:val="0"/>
      <w:marRight w:val="0"/>
      <w:marTop w:val="0"/>
      <w:marBottom w:val="0"/>
      <w:divBdr>
        <w:top w:val="none" w:sz="0" w:space="0" w:color="auto"/>
        <w:left w:val="none" w:sz="0" w:space="0" w:color="auto"/>
        <w:bottom w:val="none" w:sz="0" w:space="0" w:color="auto"/>
        <w:right w:val="none" w:sz="0" w:space="0" w:color="auto"/>
      </w:divBdr>
      <w:divsChild>
        <w:div w:id="1142775021">
          <w:marLeft w:val="0"/>
          <w:marRight w:val="0"/>
          <w:marTop w:val="0"/>
          <w:marBottom w:val="0"/>
          <w:divBdr>
            <w:top w:val="none" w:sz="0" w:space="0" w:color="auto"/>
            <w:left w:val="none" w:sz="0" w:space="0" w:color="auto"/>
            <w:bottom w:val="none" w:sz="0" w:space="0" w:color="auto"/>
            <w:right w:val="none" w:sz="0" w:space="0" w:color="auto"/>
          </w:divBdr>
          <w:divsChild>
            <w:div w:id="772284376">
              <w:marLeft w:val="0"/>
              <w:marRight w:val="0"/>
              <w:marTop w:val="0"/>
              <w:marBottom w:val="0"/>
              <w:divBdr>
                <w:top w:val="none" w:sz="0" w:space="0" w:color="auto"/>
                <w:left w:val="none" w:sz="0" w:space="0" w:color="auto"/>
                <w:bottom w:val="none" w:sz="0" w:space="0" w:color="auto"/>
                <w:right w:val="none" w:sz="0" w:space="0" w:color="auto"/>
              </w:divBdr>
              <w:divsChild>
                <w:div w:id="1574657422">
                  <w:marLeft w:val="0"/>
                  <w:marRight w:val="0"/>
                  <w:marTop w:val="0"/>
                  <w:marBottom w:val="0"/>
                  <w:divBdr>
                    <w:top w:val="none" w:sz="0" w:space="0" w:color="auto"/>
                    <w:left w:val="none" w:sz="0" w:space="0" w:color="auto"/>
                    <w:bottom w:val="none" w:sz="0" w:space="0" w:color="auto"/>
                    <w:right w:val="none" w:sz="0" w:space="0" w:color="auto"/>
                  </w:divBdr>
                  <w:divsChild>
                    <w:div w:id="1523010938">
                      <w:marLeft w:val="0"/>
                      <w:marRight w:val="0"/>
                      <w:marTop w:val="0"/>
                      <w:marBottom w:val="0"/>
                      <w:divBdr>
                        <w:top w:val="none" w:sz="0" w:space="0" w:color="auto"/>
                        <w:left w:val="none" w:sz="0" w:space="0" w:color="auto"/>
                        <w:bottom w:val="none" w:sz="0" w:space="0" w:color="auto"/>
                        <w:right w:val="none" w:sz="0" w:space="0" w:color="auto"/>
                      </w:divBdr>
                      <w:divsChild>
                        <w:div w:id="15077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87627">
      <w:bodyDiv w:val="1"/>
      <w:marLeft w:val="0"/>
      <w:marRight w:val="0"/>
      <w:marTop w:val="0"/>
      <w:marBottom w:val="0"/>
      <w:divBdr>
        <w:top w:val="none" w:sz="0" w:space="0" w:color="auto"/>
        <w:left w:val="none" w:sz="0" w:space="0" w:color="auto"/>
        <w:bottom w:val="none" w:sz="0" w:space="0" w:color="auto"/>
        <w:right w:val="none" w:sz="0" w:space="0" w:color="auto"/>
      </w:divBdr>
    </w:div>
    <w:div w:id="16965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ncbi.nlm.nih.gov/pmc/articles/PMC2673266" TargetMode="Externa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hyperlink" Target="mailto:dr-aliaaatef@hotmail.com" TargetMode="Externa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8.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jco.ascopubs.org/search?author1=Adam+Davey&amp;sortspec=date&amp;submit=Subm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7.xml"/><Relationship Id="rId37"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hyperlink" Target="http://jco.ascopubs.org/search?author1=Senthil+N.+Jayarajan&amp;sortspec=date&amp;submit=Submit"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dx.doi.org/10.7537/marscbj060316.06" TargetMode="External"/><Relationship Id="rId14" Type="http://schemas.openxmlformats.org/officeDocument/2006/relationships/image" Target="media/image1.jpeg"/><Relationship Id="rId22" Type="http://schemas.openxmlformats.org/officeDocument/2006/relationships/image" Target="media/image3.jpeg"/><Relationship Id="rId27" Type="http://schemas.openxmlformats.org/officeDocument/2006/relationships/hyperlink" Target="http://jco.ascopubs.org/search?author1=Sharven+Taghavi&amp;sortspec=date&amp;submit=Submit" TargetMode="External"/><Relationship Id="rId30" Type="http://schemas.openxmlformats.org/officeDocument/2006/relationships/hyperlink" Target="http://jco.ascopubs.org/search?author1=Alliric+I.+Willis&amp;sortspec=date&amp;submit=Submit"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4544</Words>
  <Characters>25903</Characters>
  <Application>Microsoft Office Word</Application>
  <DocSecurity>0</DocSecurity>
  <Lines>215</Lines>
  <Paragraphs>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30387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raslan</dc:creator>
  <cp:lastModifiedBy>Administrator</cp:lastModifiedBy>
  <cp:revision>4</cp:revision>
  <cp:lastPrinted>2016-08-01T01:39:00Z</cp:lastPrinted>
  <dcterms:created xsi:type="dcterms:W3CDTF">2016-08-01T06:37:00Z</dcterms:created>
  <dcterms:modified xsi:type="dcterms:W3CDTF">2016-08-01T01:58:00Z</dcterms:modified>
</cp:coreProperties>
</file>