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57" w:rsidRPr="00F0550C" w:rsidRDefault="00C20978" w:rsidP="00E17342">
      <w:pPr>
        <w:autoSpaceDE w:val="0"/>
        <w:autoSpaceDN w:val="0"/>
        <w:bidi w:val="0"/>
        <w:adjustRightInd w:val="0"/>
        <w:snapToGrid w:val="0"/>
        <w:jc w:val="center"/>
        <w:rPr>
          <w:sz w:val="20"/>
          <w:szCs w:val="20"/>
        </w:rPr>
      </w:pPr>
      <w:r w:rsidRPr="00F0550C">
        <w:rPr>
          <w:b/>
          <w:bCs/>
          <w:color w:val="000000"/>
          <w:sz w:val="20"/>
          <w:szCs w:val="20"/>
        </w:rPr>
        <w:t xml:space="preserve">Efficacy </w:t>
      </w:r>
      <w:r w:rsidR="0006552D" w:rsidRPr="00F0550C">
        <w:rPr>
          <w:b/>
          <w:bCs/>
          <w:color w:val="000000"/>
          <w:sz w:val="20"/>
          <w:szCs w:val="20"/>
        </w:rPr>
        <w:t>of</w:t>
      </w:r>
      <w:r w:rsidRPr="00F0550C">
        <w:rPr>
          <w:b/>
          <w:bCs/>
          <w:color w:val="000000"/>
          <w:sz w:val="20"/>
          <w:szCs w:val="20"/>
        </w:rPr>
        <w:t xml:space="preserve"> Adjuvant </w:t>
      </w:r>
      <w:proofErr w:type="spellStart"/>
      <w:r w:rsidRPr="00F0550C">
        <w:rPr>
          <w:b/>
          <w:bCs/>
          <w:color w:val="000000"/>
          <w:sz w:val="20"/>
          <w:szCs w:val="20"/>
        </w:rPr>
        <w:t>Zolodronic</w:t>
      </w:r>
      <w:proofErr w:type="spellEnd"/>
      <w:r w:rsidRPr="00F0550C">
        <w:rPr>
          <w:b/>
          <w:bCs/>
          <w:color w:val="000000"/>
          <w:sz w:val="20"/>
          <w:szCs w:val="20"/>
        </w:rPr>
        <w:t xml:space="preserve"> Acid </w:t>
      </w:r>
      <w:r w:rsidR="0006552D" w:rsidRPr="00F0550C">
        <w:rPr>
          <w:b/>
          <w:bCs/>
          <w:color w:val="000000"/>
          <w:sz w:val="20"/>
          <w:szCs w:val="20"/>
        </w:rPr>
        <w:t>in</w:t>
      </w:r>
      <w:r w:rsidRPr="00F0550C">
        <w:rPr>
          <w:b/>
          <w:bCs/>
          <w:color w:val="000000"/>
          <w:sz w:val="20"/>
          <w:szCs w:val="20"/>
        </w:rPr>
        <w:t xml:space="preserve"> Post</w:t>
      </w:r>
      <w:r w:rsidR="004D04E7" w:rsidRPr="00F0550C">
        <w:rPr>
          <w:b/>
          <w:bCs/>
          <w:color w:val="000000"/>
          <w:sz w:val="20"/>
          <w:szCs w:val="20"/>
        </w:rPr>
        <w:t xml:space="preserve"> </w:t>
      </w:r>
      <w:r w:rsidRPr="00F0550C">
        <w:rPr>
          <w:b/>
          <w:bCs/>
          <w:color w:val="000000"/>
          <w:sz w:val="20"/>
          <w:szCs w:val="20"/>
        </w:rPr>
        <w:t xml:space="preserve">Menopausal Women </w:t>
      </w:r>
      <w:r w:rsidR="0006552D" w:rsidRPr="00F0550C">
        <w:rPr>
          <w:b/>
          <w:bCs/>
          <w:color w:val="000000"/>
          <w:sz w:val="20"/>
          <w:szCs w:val="20"/>
        </w:rPr>
        <w:t>with</w:t>
      </w:r>
      <w:r w:rsidRPr="00F0550C">
        <w:rPr>
          <w:b/>
          <w:bCs/>
          <w:color w:val="000000"/>
          <w:sz w:val="20"/>
          <w:szCs w:val="20"/>
        </w:rPr>
        <w:t xml:space="preserve"> Early Breast Cancer Receiving Adjuvant </w:t>
      </w:r>
      <w:proofErr w:type="spellStart"/>
      <w:r w:rsidR="00070206" w:rsidRPr="00F0550C">
        <w:rPr>
          <w:b/>
          <w:bCs/>
          <w:color w:val="000000"/>
          <w:sz w:val="20"/>
          <w:szCs w:val="20"/>
        </w:rPr>
        <w:t>A</w:t>
      </w:r>
      <w:r w:rsidRPr="00F0550C">
        <w:rPr>
          <w:b/>
          <w:bCs/>
          <w:color w:val="000000"/>
          <w:sz w:val="20"/>
          <w:szCs w:val="20"/>
        </w:rPr>
        <w:t>romatas</w:t>
      </w:r>
      <w:proofErr w:type="spellEnd"/>
      <w:r w:rsidR="00070206" w:rsidRPr="00F0550C">
        <w:rPr>
          <w:b/>
          <w:bCs/>
          <w:color w:val="000000"/>
          <w:sz w:val="20"/>
          <w:szCs w:val="20"/>
        </w:rPr>
        <w:t xml:space="preserve"> Inhibitor </w:t>
      </w:r>
      <w:r w:rsidR="0006552D" w:rsidRPr="00F0550C">
        <w:rPr>
          <w:b/>
          <w:bCs/>
          <w:color w:val="000000"/>
          <w:sz w:val="20"/>
          <w:szCs w:val="20"/>
        </w:rPr>
        <w:t>on</w:t>
      </w:r>
      <w:r w:rsidR="00070206" w:rsidRPr="00F0550C">
        <w:rPr>
          <w:b/>
          <w:bCs/>
          <w:color w:val="000000"/>
          <w:sz w:val="20"/>
          <w:szCs w:val="20"/>
        </w:rPr>
        <w:t xml:space="preserve"> Improving Bone Health</w:t>
      </w:r>
    </w:p>
    <w:p w:rsidR="00A03881" w:rsidRPr="00F0550C" w:rsidRDefault="00A03881" w:rsidP="00E17342">
      <w:pPr>
        <w:bidi w:val="0"/>
        <w:adjustRightInd w:val="0"/>
        <w:snapToGrid w:val="0"/>
        <w:jc w:val="center"/>
        <w:rPr>
          <w:sz w:val="20"/>
          <w:szCs w:val="20"/>
          <w:lang w:bidi="ar-EG"/>
        </w:rPr>
      </w:pPr>
    </w:p>
    <w:p w:rsidR="00EF1895" w:rsidRPr="00F0550C" w:rsidRDefault="00E56ED7" w:rsidP="00E17342">
      <w:pPr>
        <w:bidi w:val="0"/>
        <w:adjustRightInd w:val="0"/>
        <w:snapToGrid w:val="0"/>
        <w:jc w:val="center"/>
        <w:rPr>
          <w:sz w:val="20"/>
          <w:szCs w:val="20"/>
          <w:vertAlign w:val="superscript"/>
          <w:lang w:bidi="ar-EG"/>
        </w:rPr>
      </w:pPr>
      <w:proofErr w:type="spellStart"/>
      <w:r w:rsidRPr="00F0550C">
        <w:rPr>
          <w:sz w:val="20"/>
          <w:szCs w:val="20"/>
          <w:lang w:bidi="ar-EG"/>
        </w:rPr>
        <w:t>Doaa</w:t>
      </w:r>
      <w:proofErr w:type="spellEnd"/>
      <w:r w:rsidRPr="00F0550C">
        <w:rPr>
          <w:sz w:val="20"/>
          <w:szCs w:val="20"/>
          <w:lang w:bidi="ar-EG"/>
        </w:rPr>
        <w:t xml:space="preserve"> </w:t>
      </w:r>
      <w:r w:rsidR="0006552D" w:rsidRPr="00F0550C">
        <w:rPr>
          <w:sz w:val="20"/>
          <w:szCs w:val="20"/>
          <w:lang w:val="en-GB" w:bidi="ar-EG"/>
        </w:rPr>
        <w:t>A</w:t>
      </w:r>
      <w:proofErr w:type="spellStart"/>
      <w:r w:rsidRPr="00F0550C">
        <w:rPr>
          <w:sz w:val="20"/>
          <w:szCs w:val="20"/>
          <w:lang w:bidi="ar-EG"/>
        </w:rPr>
        <w:t>bdelrahman</w:t>
      </w:r>
      <w:proofErr w:type="spellEnd"/>
      <w:r w:rsidR="007E0FD1" w:rsidRPr="00F0550C">
        <w:rPr>
          <w:sz w:val="20"/>
          <w:szCs w:val="20"/>
          <w:lang w:bidi="ar-EG"/>
        </w:rPr>
        <w:t xml:space="preserve">, </w:t>
      </w:r>
      <w:proofErr w:type="spellStart"/>
      <w:r w:rsidRPr="00F0550C">
        <w:rPr>
          <w:sz w:val="20"/>
          <w:szCs w:val="20"/>
          <w:lang w:bidi="ar-EG"/>
        </w:rPr>
        <w:t>Wael</w:t>
      </w:r>
      <w:proofErr w:type="spellEnd"/>
      <w:r w:rsidRPr="00F0550C">
        <w:rPr>
          <w:sz w:val="20"/>
          <w:szCs w:val="20"/>
          <w:lang w:bidi="ar-EG"/>
        </w:rPr>
        <w:t xml:space="preserve"> </w:t>
      </w:r>
      <w:proofErr w:type="spellStart"/>
      <w:r w:rsidRPr="00F0550C">
        <w:rPr>
          <w:sz w:val="20"/>
          <w:szCs w:val="20"/>
          <w:lang w:bidi="ar-EG"/>
        </w:rPr>
        <w:t>Elsawy</w:t>
      </w:r>
      <w:proofErr w:type="spellEnd"/>
      <w:r w:rsidR="00C23C1E" w:rsidRPr="00F0550C">
        <w:rPr>
          <w:sz w:val="20"/>
          <w:szCs w:val="20"/>
          <w:lang w:bidi="ar-EG"/>
        </w:rPr>
        <w:t>,</w:t>
      </w:r>
      <w:r w:rsidR="007E0FD1" w:rsidRPr="00F0550C">
        <w:rPr>
          <w:sz w:val="20"/>
          <w:szCs w:val="20"/>
          <w:lang w:bidi="ar-EG"/>
        </w:rPr>
        <w:t xml:space="preserve"> </w:t>
      </w:r>
      <w:proofErr w:type="spellStart"/>
      <w:r w:rsidR="00D662E8" w:rsidRPr="00F0550C">
        <w:rPr>
          <w:sz w:val="20"/>
          <w:szCs w:val="20"/>
          <w:lang w:bidi="ar-EG"/>
        </w:rPr>
        <w:t>Yossra</w:t>
      </w:r>
      <w:proofErr w:type="spellEnd"/>
      <w:r w:rsidR="00D662E8" w:rsidRPr="00F0550C">
        <w:rPr>
          <w:sz w:val="20"/>
          <w:szCs w:val="20"/>
          <w:lang w:bidi="ar-EG"/>
        </w:rPr>
        <w:t xml:space="preserve"> </w:t>
      </w:r>
      <w:proofErr w:type="spellStart"/>
      <w:r w:rsidR="00D662E8" w:rsidRPr="00F0550C">
        <w:rPr>
          <w:sz w:val="20"/>
          <w:szCs w:val="20"/>
          <w:lang w:bidi="ar-EG"/>
        </w:rPr>
        <w:t>Taha</w:t>
      </w:r>
      <w:proofErr w:type="spellEnd"/>
      <w:r w:rsidR="00D662E8" w:rsidRPr="00F0550C">
        <w:rPr>
          <w:sz w:val="20"/>
          <w:szCs w:val="20"/>
          <w:lang w:bidi="ar-EG"/>
        </w:rPr>
        <w:t xml:space="preserve"> </w:t>
      </w:r>
      <w:proofErr w:type="spellStart"/>
      <w:r w:rsidR="00D662E8" w:rsidRPr="00F0550C">
        <w:rPr>
          <w:sz w:val="20"/>
          <w:szCs w:val="20"/>
          <w:lang w:bidi="ar-EG"/>
        </w:rPr>
        <w:t>Dorgham</w:t>
      </w:r>
      <w:proofErr w:type="spellEnd"/>
      <w:r w:rsidR="007E0FD1" w:rsidRPr="00F0550C">
        <w:rPr>
          <w:sz w:val="20"/>
          <w:szCs w:val="20"/>
          <w:lang w:bidi="ar-EG"/>
        </w:rPr>
        <w:t>,</w:t>
      </w:r>
      <w:r w:rsidR="00C23C1E" w:rsidRPr="00F0550C">
        <w:rPr>
          <w:sz w:val="20"/>
          <w:szCs w:val="20"/>
          <w:lang w:bidi="ar-EG"/>
        </w:rPr>
        <w:t xml:space="preserve"> </w:t>
      </w:r>
      <w:proofErr w:type="spellStart"/>
      <w:r w:rsidR="00D662E8" w:rsidRPr="00F0550C">
        <w:rPr>
          <w:sz w:val="20"/>
          <w:szCs w:val="20"/>
          <w:lang w:bidi="ar-EG"/>
        </w:rPr>
        <w:t>Reham</w:t>
      </w:r>
      <w:proofErr w:type="spellEnd"/>
      <w:r w:rsidR="00D662E8" w:rsidRPr="00F0550C">
        <w:rPr>
          <w:sz w:val="20"/>
          <w:szCs w:val="20"/>
          <w:lang w:bidi="ar-EG"/>
        </w:rPr>
        <w:t xml:space="preserve"> </w:t>
      </w:r>
      <w:proofErr w:type="spellStart"/>
      <w:r w:rsidR="00D662E8" w:rsidRPr="00F0550C">
        <w:rPr>
          <w:sz w:val="20"/>
          <w:szCs w:val="20"/>
          <w:lang w:bidi="ar-EG"/>
        </w:rPr>
        <w:t>Amin</w:t>
      </w:r>
      <w:proofErr w:type="spellEnd"/>
      <w:r w:rsidR="00D662E8" w:rsidRPr="00F0550C">
        <w:rPr>
          <w:sz w:val="20"/>
          <w:szCs w:val="20"/>
          <w:lang w:bidi="ar-EG"/>
        </w:rPr>
        <w:t xml:space="preserve"> </w:t>
      </w:r>
      <w:proofErr w:type="spellStart"/>
      <w:r w:rsidR="00D662E8" w:rsidRPr="00F0550C">
        <w:rPr>
          <w:sz w:val="20"/>
          <w:szCs w:val="20"/>
          <w:lang w:bidi="ar-EG"/>
        </w:rPr>
        <w:t>Elsayed</w:t>
      </w:r>
      <w:proofErr w:type="spellEnd"/>
    </w:p>
    <w:p w:rsidR="0006552D" w:rsidRPr="00F0550C" w:rsidRDefault="0006552D" w:rsidP="00E17342">
      <w:pPr>
        <w:bidi w:val="0"/>
        <w:adjustRightInd w:val="0"/>
        <w:snapToGrid w:val="0"/>
        <w:jc w:val="center"/>
        <w:rPr>
          <w:sz w:val="20"/>
          <w:szCs w:val="20"/>
          <w:lang w:bidi="ar-EG"/>
        </w:rPr>
      </w:pPr>
    </w:p>
    <w:p w:rsidR="00C23C1E" w:rsidRPr="00F0550C" w:rsidRDefault="007E0FD1" w:rsidP="00E17342">
      <w:pPr>
        <w:bidi w:val="0"/>
        <w:adjustRightInd w:val="0"/>
        <w:snapToGrid w:val="0"/>
        <w:jc w:val="center"/>
        <w:rPr>
          <w:sz w:val="20"/>
          <w:szCs w:val="20"/>
          <w:lang w:bidi="ar-EG"/>
        </w:rPr>
      </w:pPr>
      <w:r w:rsidRPr="00F0550C">
        <w:rPr>
          <w:sz w:val="20"/>
          <w:szCs w:val="20"/>
          <w:vertAlign w:val="superscript"/>
          <w:lang w:bidi="ar-EG"/>
        </w:rPr>
        <w:t>1</w:t>
      </w:r>
      <w:r w:rsidR="00C23C1E" w:rsidRPr="00F0550C">
        <w:rPr>
          <w:sz w:val="20"/>
          <w:szCs w:val="20"/>
          <w:lang w:bidi="ar-EG"/>
        </w:rPr>
        <w:t>Clinical Oncology</w:t>
      </w:r>
      <w:r w:rsidRPr="00F0550C">
        <w:rPr>
          <w:sz w:val="20"/>
          <w:szCs w:val="20"/>
          <w:lang w:bidi="ar-EG"/>
        </w:rPr>
        <w:t xml:space="preserve"> and Nuclear Medicine Department, Faculty of Medicine, </w:t>
      </w:r>
      <w:proofErr w:type="spellStart"/>
      <w:r w:rsidRPr="00F0550C">
        <w:rPr>
          <w:sz w:val="20"/>
          <w:szCs w:val="20"/>
          <w:lang w:bidi="ar-EG"/>
        </w:rPr>
        <w:t>Zagazig</w:t>
      </w:r>
      <w:proofErr w:type="spellEnd"/>
      <w:r w:rsidRPr="00F0550C">
        <w:rPr>
          <w:sz w:val="20"/>
          <w:szCs w:val="20"/>
          <w:lang w:bidi="ar-EG"/>
        </w:rPr>
        <w:t xml:space="preserve"> University, Egypt</w:t>
      </w:r>
    </w:p>
    <w:p w:rsidR="00287F0E" w:rsidRPr="00F0550C" w:rsidRDefault="00AA6F09" w:rsidP="00E17342">
      <w:pPr>
        <w:bidi w:val="0"/>
        <w:adjustRightInd w:val="0"/>
        <w:snapToGrid w:val="0"/>
        <w:jc w:val="center"/>
        <w:rPr>
          <w:sz w:val="20"/>
          <w:szCs w:val="20"/>
          <w:lang w:bidi="ar-EG"/>
        </w:rPr>
      </w:pPr>
      <w:hyperlink r:id="rId8" w:history="1">
        <w:r w:rsidR="00770B0B" w:rsidRPr="00F0550C">
          <w:rPr>
            <w:rStyle w:val="Hyperlink"/>
            <w:sz w:val="20"/>
            <w:szCs w:val="20"/>
            <w:u w:val="none"/>
            <w:lang w:bidi="ar-EG"/>
          </w:rPr>
          <w:t>coyhut@gmail.com</w:t>
        </w:r>
      </w:hyperlink>
    </w:p>
    <w:p w:rsidR="00770B0B" w:rsidRPr="00F0550C" w:rsidRDefault="00770B0B" w:rsidP="00E17342">
      <w:pPr>
        <w:bidi w:val="0"/>
        <w:adjustRightInd w:val="0"/>
        <w:snapToGrid w:val="0"/>
        <w:jc w:val="center"/>
        <w:rPr>
          <w:sz w:val="20"/>
          <w:szCs w:val="20"/>
          <w:lang w:bidi="ar-EG"/>
        </w:rPr>
      </w:pPr>
    </w:p>
    <w:p w:rsidR="003C4B3B" w:rsidRPr="00F0550C" w:rsidRDefault="0006552D" w:rsidP="00E17342">
      <w:pPr>
        <w:bidi w:val="0"/>
        <w:adjustRightInd w:val="0"/>
        <w:snapToGrid w:val="0"/>
        <w:jc w:val="both"/>
        <w:rPr>
          <w:sz w:val="20"/>
          <w:szCs w:val="20"/>
          <w:lang w:bidi="ar-EG"/>
        </w:rPr>
      </w:pPr>
      <w:r w:rsidRPr="00F0550C">
        <w:rPr>
          <w:b/>
          <w:bCs/>
          <w:sz w:val="20"/>
          <w:szCs w:val="20"/>
          <w:lang w:bidi="ar-EG"/>
        </w:rPr>
        <w:t xml:space="preserve">Abstract: </w:t>
      </w:r>
      <w:r w:rsidR="009E6A7D" w:rsidRPr="00F0550C">
        <w:rPr>
          <w:rFonts w:eastAsia="MS Mincho"/>
          <w:b/>
          <w:bCs/>
          <w:sz w:val="20"/>
          <w:szCs w:val="20"/>
        </w:rPr>
        <w:t>Purpose</w:t>
      </w:r>
      <w:r w:rsidR="005D3F09" w:rsidRPr="00F0550C">
        <w:rPr>
          <w:rFonts w:eastAsia="MS Mincho"/>
          <w:b/>
          <w:bCs/>
          <w:sz w:val="20"/>
          <w:szCs w:val="20"/>
        </w:rPr>
        <w:t xml:space="preserve">: </w:t>
      </w:r>
      <w:r w:rsidR="00063DE7" w:rsidRPr="00F0550C">
        <w:rPr>
          <w:sz w:val="20"/>
          <w:szCs w:val="20"/>
          <w:lang w:bidi="ar-EG"/>
        </w:rPr>
        <w:t xml:space="preserve">The introduction of </w:t>
      </w:r>
      <w:proofErr w:type="spellStart"/>
      <w:r w:rsidR="00063DE7" w:rsidRPr="00F0550C">
        <w:rPr>
          <w:sz w:val="20"/>
          <w:szCs w:val="20"/>
          <w:lang w:bidi="ar-EG"/>
        </w:rPr>
        <w:t>aromatase</w:t>
      </w:r>
      <w:proofErr w:type="spellEnd"/>
      <w:r w:rsidR="00063DE7" w:rsidRPr="00F0550C">
        <w:rPr>
          <w:sz w:val="20"/>
          <w:szCs w:val="20"/>
          <w:lang w:bidi="ar-EG"/>
        </w:rPr>
        <w:t xml:space="preserve"> inhibitors (AIs) during the last decade has opened new horizons in the successful treatment of</w:t>
      </w:r>
      <w:r w:rsidR="00EE4456" w:rsidRPr="00F0550C">
        <w:rPr>
          <w:sz w:val="20"/>
          <w:szCs w:val="20"/>
          <w:lang w:bidi="ar-EG"/>
        </w:rPr>
        <w:t xml:space="preserve"> ho</w:t>
      </w:r>
      <w:r w:rsidR="00192335" w:rsidRPr="00F0550C">
        <w:rPr>
          <w:sz w:val="20"/>
          <w:szCs w:val="20"/>
          <w:lang w:bidi="ar-EG"/>
        </w:rPr>
        <w:t>r</w:t>
      </w:r>
      <w:r w:rsidR="00EE4456" w:rsidRPr="00F0550C">
        <w:rPr>
          <w:sz w:val="20"/>
          <w:szCs w:val="20"/>
          <w:lang w:bidi="ar-EG"/>
        </w:rPr>
        <w:t>mone receptor-positive (HR)</w:t>
      </w:r>
      <w:r w:rsidR="00063DE7" w:rsidRPr="00F0550C">
        <w:rPr>
          <w:sz w:val="20"/>
          <w:szCs w:val="20"/>
          <w:lang w:bidi="ar-EG"/>
        </w:rPr>
        <w:t xml:space="preserve"> breast cancer</w:t>
      </w:r>
      <w:r w:rsidR="009E6A7D" w:rsidRPr="00F0550C">
        <w:rPr>
          <w:sz w:val="20"/>
          <w:szCs w:val="20"/>
          <w:lang w:bidi="ar-EG"/>
        </w:rPr>
        <w:t xml:space="preserve">. </w:t>
      </w:r>
      <w:r w:rsidR="00063DE7" w:rsidRPr="00F0550C">
        <w:rPr>
          <w:sz w:val="20"/>
          <w:szCs w:val="20"/>
          <w:lang w:bidi="ar-EG"/>
        </w:rPr>
        <w:t xml:space="preserve">Bone mineral density (BMD) rapidly decreases with a consequent high risk of skeletal fragility due to </w:t>
      </w:r>
      <w:proofErr w:type="spellStart"/>
      <w:r w:rsidR="00063DE7" w:rsidRPr="00F0550C">
        <w:rPr>
          <w:sz w:val="20"/>
          <w:szCs w:val="20"/>
          <w:lang w:bidi="ar-EG"/>
        </w:rPr>
        <w:t>aromatase</w:t>
      </w:r>
      <w:proofErr w:type="spellEnd"/>
      <w:r w:rsidR="00063DE7" w:rsidRPr="00F0550C">
        <w:rPr>
          <w:sz w:val="20"/>
          <w:szCs w:val="20"/>
          <w:lang w:bidi="ar-EG"/>
        </w:rPr>
        <w:t xml:space="preserve"> inhibitor-associated bone loss (AIBL). For the prevention of this adverse event, </w:t>
      </w:r>
      <w:proofErr w:type="spellStart"/>
      <w:r w:rsidR="00063DE7" w:rsidRPr="00F0550C">
        <w:rPr>
          <w:sz w:val="20"/>
          <w:szCs w:val="20"/>
          <w:lang w:bidi="ar-EG"/>
        </w:rPr>
        <w:t>antiresoptive</w:t>
      </w:r>
      <w:proofErr w:type="spellEnd"/>
      <w:r w:rsidR="00063DE7" w:rsidRPr="00F0550C">
        <w:rPr>
          <w:sz w:val="20"/>
          <w:szCs w:val="20"/>
          <w:lang w:bidi="ar-EG"/>
        </w:rPr>
        <w:t xml:space="preserve"> agents such as </w:t>
      </w:r>
      <w:proofErr w:type="spellStart"/>
      <w:r w:rsidR="00063DE7" w:rsidRPr="00F0550C">
        <w:rPr>
          <w:sz w:val="20"/>
          <w:szCs w:val="20"/>
          <w:lang w:bidi="ar-EG"/>
        </w:rPr>
        <w:t>bisphosphonates</w:t>
      </w:r>
      <w:proofErr w:type="spellEnd"/>
      <w:r w:rsidR="00063DE7" w:rsidRPr="00F0550C">
        <w:rPr>
          <w:sz w:val="20"/>
          <w:szCs w:val="20"/>
          <w:lang w:bidi="ar-EG"/>
        </w:rPr>
        <w:t xml:space="preserve"> (BPs) are used in combination with AIs.</w:t>
      </w:r>
      <w:r w:rsidR="006723EA" w:rsidRPr="00F0550C">
        <w:rPr>
          <w:sz w:val="20"/>
          <w:szCs w:val="20"/>
          <w:lang w:bidi="ar-EG"/>
        </w:rPr>
        <w:t xml:space="preserve"> </w:t>
      </w:r>
      <w:r w:rsidR="00063DE7" w:rsidRPr="00F0550C">
        <w:rPr>
          <w:sz w:val="20"/>
          <w:szCs w:val="20"/>
          <w:lang w:bidi="ar-EG"/>
        </w:rPr>
        <w:t>This prospective study</w:t>
      </w:r>
      <w:r w:rsidR="000B11CB" w:rsidRPr="00F0550C">
        <w:rPr>
          <w:sz w:val="20"/>
          <w:szCs w:val="20"/>
          <w:lang w:bidi="ar-EG"/>
        </w:rPr>
        <w:t xml:space="preserve"> compared the bone protecting effect of adjuvant vs. no </w:t>
      </w:r>
      <w:proofErr w:type="spellStart"/>
      <w:r w:rsidR="000B11CB" w:rsidRPr="00F0550C">
        <w:rPr>
          <w:sz w:val="20"/>
          <w:szCs w:val="20"/>
          <w:lang w:bidi="ar-EG"/>
        </w:rPr>
        <w:t>zolodronic</w:t>
      </w:r>
      <w:proofErr w:type="spellEnd"/>
      <w:r w:rsidR="000B11CB" w:rsidRPr="00F0550C">
        <w:rPr>
          <w:sz w:val="20"/>
          <w:szCs w:val="20"/>
          <w:lang w:bidi="ar-EG"/>
        </w:rPr>
        <w:t xml:space="preserve"> acid (ZOL) in patients with early breas</w:t>
      </w:r>
      <w:r w:rsidR="00192335" w:rsidRPr="00F0550C">
        <w:rPr>
          <w:sz w:val="20"/>
          <w:szCs w:val="20"/>
          <w:lang w:bidi="ar-EG"/>
        </w:rPr>
        <w:t xml:space="preserve">t </w:t>
      </w:r>
      <w:r w:rsidR="000B11CB" w:rsidRPr="00F0550C">
        <w:rPr>
          <w:sz w:val="20"/>
          <w:szCs w:val="20"/>
          <w:lang w:bidi="ar-EG"/>
        </w:rPr>
        <w:t>cancer</w:t>
      </w:r>
      <w:r w:rsidR="0021376F" w:rsidRPr="00F0550C">
        <w:rPr>
          <w:sz w:val="20"/>
          <w:szCs w:val="20"/>
          <w:lang w:bidi="ar-EG"/>
        </w:rPr>
        <w:t xml:space="preserve"> </w:t>
      </w:r>
      <w:r w:rsidR="005A2F51" w:rsidRPr="00F0550C">
        <w:rPr>
          <w:sz w:val="20"/>
          <w:szCs w:val="20"/>
          <w:lang w:bidi="ar-EG"/>
        </w:rPr>
        <w:t>(EBC)</w:t>
      </w:r>
      <w:r w:rsidR="00F3660B" w:rsidRPr="00F0550C">
        <w:rPr>
          <w:sz w:val="20"/>
          <w:szCs w:val="20"/>
          <w:lang w:bidi="ar-EG"/>
        </w:rPr>
        <w:t xml:space="preserve"> receiving adjuvant AIs</w:t>
      </w:r>
      <w:r w:rsidR="005922BD" w:rsidRPr="00F0550C">
        <w:rPr>
          <w:sz w:val="20"/>
          <w:szCs w:val="20"/>
          <w:lang w:bidi="ar-EG"/>
        </w:rPr>
        <w:t xml:space="preserve"> at 12 and 24 months.</w:t>
      </w:r>
      <w:r w:rsidR="004D04E7" w:rsidRPr="00F0550C">
        <w:rPr>
          <w:sz w:val="20"/>
          <w:szCs w:val="20"/>
          <w:lang w:bidi="ar-EG"/>
        </w:rPr>
        <w:t xml:space="preserve"> </w:t>
      </w:r>
      <w:r w:rsidR="00E26F27" w:rsidRPr="00F0550C">
        <w:rPr>
          <w:rFonts w:eastAsia="MS Mincho"/>
          <w:b/>
          <w:bCs/>
          <w:sz w:val="20"/>
          <w:szCs w:val="20"/>
        </w:rPr>
        <w:t>Patients and Methods</w:t>
      </w:r>
      <w:r w:rsidR="005D3F09" w:rsidRPr="00F0550C">
        <w:rPr>
          <w:rFonts w:eastAsia="MS Mincho"/>
          <w:b/>
          <w:bCs/>
          <w:sz w:val="20"/>
          <w:szCs w:val="20"/>
        </w:rPr>
        <w:t xml:space="preserve">: </w:t>
      </w:r>
      <w:r w:rsidR="0097691D" w:rsidRPr="00F0550C">
        <w:rPr>
          <w:sz w:val="20"/>
          <w:szCs w:val="20"/>
          <w:lang w:bidi="ar-EG"/>
        </w:rPr>
        <w:t>One h</w:t>
      </w:r>
      <w:r w:rsidR="007566D2" w:rsidRPr="00F0550C">
        <w:rPr>
          <w:sz w:val="20"/>
          <w:szCs w:val="20"/>
          <w:lang w:bidi="ar-EG"/>
        </w:rPr>
        <w:t>u</w:t>
      </w:r>
      <w:r w:rsidR="00192335" w:rsidRPr="00F0550C">
        <w:rPr>
          <w:sz w:val="20"/>
          <w:szCs w:val="20"/>
          <w:lang w:bidi="ar-EG"/>
        </w:rPr>
        <w:t>nd</w:t>
      </w:r>
      <w:r w:rsidR="0097691D" w:rsidRPr="00F0550C">
        <w:rPr>
          <w:sz w:val="20"/>
          <w:szCs w:val="20"/>
          <w:lang w:bidi="ar-EG"/>
        </w:rPr>
        <w:t>red</w:t>
      </w:r>
      <w:r w:rsidR="00275931" w:rsidRPr="00F0550C">
        <w:rPr>
          <w:sz w:val="20"/>
          <w:szCs w:val="20"/>
          <w:lang w:bidi="ar-EG"/>
        </w:rPr>
        <w:t xml:space="preserve"> postmenopausal</w:t>
      </w:r>
      <w:r w:rsidR="0009349B" w:rsidRPr="00F0550C">
        <w:rPr>
          <w:sz w:val="20"/>
          <w:szCs w:val="20"/>
          <w:lang w:bidi="ar-EG"/>
        </w:rPr>
        <w:t xml:space="preserve"> patients with </w:t>
      </w:r>
      <w:r w:rsidR="00EE4456" w:rsidRPr="00F0550C">
        <w:rPr>
          <w:sz w:val="20"/>
          <w:szCs w:val="20"/>
          <w:lang w:bidi="ar-EG"/>
        </w:rPr>
        <w:t>HR+</w:t>
      </w:r>
      <w:r w:rsidR="005A2F51" w:rsidRPr="00F0550C">
        <w:rPr>
          <w:sz w:val="20"/>
          <w:szCs w:val="20"/>
          <w:lang w:bidi="ar-EG"/>
        </w:rPr>
        <w:t xml:space="preserve"> EBC</w:t>
      </w:r>
      <w:r w:rsidR="00E45091" w:rsidRPr="00F0550C">
        <w:rPr>
          <w:sz w:val="20"/>
          <w:szCs w:val="20"/>
          <w:lang w:bidi="ar-EG"/>
        </w:rPr>
        <w:t xml:space="preserve"> in whom AIs treatment was </w:t>
      </w:r>
      <w:r w:rsidR="0021376F" w:rsidRPr="00F0550C">
        <w:rPr>
          <w:sz w:val="20"/>
          <w:szCs w:val="20"/>
          <w:lang w:bidi="ar-EG"/>
        </w:rPr>
        <w:t xml:space="preserve">initiated </w:t>
      </w:r>
      <w:proofErr w:type="spellStart"/>
      <w:r w:rsidR="0021376F" w:rsidRPr="00F0550C">
        <w:rPr>
          <w:sz w:val="20"/>
          <w:szCs w:val="20"/>
          <w:lang w:bidi="ar-EG"/>
        </w:rPr>
        <w:t>letrozole</w:t>
      </w:r>
      <w:proofErr w:type="spellEnd"/>
      <w:r w:rsidR="006723EA" w:rsidRPr="00F0550C">
        <w:rPr>
          <w:sz w:val="20"/>
          <w:szCs w:val="20"/>
          <w:lang w:bidi="ar-EG"/>
        </w:rPr>
        <w:t xml:space="preserve"> </w:t>
      </w:r>
      <w:r w:rsidR="00E45091" w:rsidRPr="00F0550C">
        <w:rPr>
          <w:sz w:val="20"/>
          <w:szCs w:val="20"/>
          <w:lang w:bidi="ar-EG"/>
        </w:rPr>
        <w:t>(2.5mg once daily)</w:t>
      </w:r>
      <w:r w:rsidR="00C11364" w:rsidRPr="00F0550C">
        <w:rPr>
          <w:sz w:val="20"/>
          <w:szCs w:val="20"/>
          <w:lang w:bidi="ar-EG"/>
        </w:rPr>
        <w:t xml:space="preserve"> were </w:t>
      </w:r>
      <w:r w:rsidR="005A2F51" w:rsidRPr="00F0550C">
        <w:rPr>
          <w:sz w:val="20"/>
          <w:szCs w:val="20"/>
          <w:lang w:bidi="ar-EG"/>
        </w:rPr>
        <w:t>randomized</w:t>
      </w:r>
      <w:r w:rsidR="00C11364" w:rsidRPr="00F0550C">
        <w:rPr>
          <w:sz w:val="20"/>
          <w:szCs w:val="20"/>
          <w:lang w:bidi="ar-EG"/>
        </w:rPr>
        <w:t xml:space="preserve"> to </w:t>
      </w:r>
      <w:r w:rsidR="00E45091" w:rsidRPr="00F0550C">
        <w:rPr>
          <w:sz w:val="20"/>
          <w:szCs w:val="20"/>
          <w:lang w:bidi="ar-EG"/>
        </w:rPr>
        <w:t>no ZOL or adjuvant ZOL (4mg every 6 months)</w:t>
      </w:r>
      <w:r w:rsidR="0075344C" w:rsidRPr="00F0550C">
        <w:rPr>
          <w:sz w:val="20"/>
          <w:szCs w:val="20"/>
        </w:rPr>
        <w:t xml:space="preserve"> </w:t>
      </w:r>
      <w:r w:rsidR="0075344C" w:rsidRPr="00F0550C">
        <w:rPr>
          <w:sz w:val="20"/>
          <w:szCs w:val="20"/>
          <w:lang w:bidi="ar-EG"/>
        </w:rPr>
        <w:t xml:space="preserve">between </w:t>
      </w:r>
      <w:r w:rsidR="00E45091" w:rsidRPr="00F0550C">
        <w:rPr>
          <w:sz w:val="20"/>
          <w:szCs w:val="20"/>
          <w:lang w:bidi="ar-EG"/>
        </w:rPr>
        <w:t>June</w:t>
      </w:r>
      <w:r w:rsidR="0075344C" w:rsidRPr="00F0550C">
        <w:rPr>
          <w:sz w:val="20"/>
          <w:szCs w:val="20"/>
          <w:lang w:bidi="ar-EG"/>
        </w:rPr>
        <w:t xml:space="preserve"> 2013 and </w:t>
      </w:r>
      <w:r w:rsidR="00E45091" w:rsidRPr="00F0550C">
        <w:rPr>
          <w:sz w:val="20"/>
          <w:szCs w:val="20"/>
          <w:lang w:bidi="ar-EG"/>
        </w:rPr>
        <w:t>June</w:t>
      </w:r>
      <w:r w:rsidR="0075344C" w:rsidRPr="00F0550C">
        <w:rPr>
          <w:sz w:val="20"/>
          <w:szCs w:val="20"/>
          <w:lang w:bidi="ar-EG"/>
        </w:rPr>
        <w:t xml:space="preserve"> 201</w:t>
      </w:r>
      <w:r w:rsidR="00E45091" w:rsidRPr="00F0550C">
        <w:rPr>
          <w:sz w:val="20"/>
          <w:szCs w:val="20"/>
          <w:lang w:bidi="ar-EG"/>
        </w:rPr>
        <w:t>5</w:t>
      </w:r>
      <w:r w:rsidR="00C11364" w:rsidRPr="00F0550C">
        <w:rPr>
          <w:sz w:val="20"/>
          <w:szCs w:val="20"/>
          <w:lang w:bidi="ar-EG"/>
        </w:rPr>
        <w:t>.</w:t>
      </w:r>
      <w:r w:rsidR="0009349B" w:rsidRPr="00F0550C">
        <w:rPr>
          <w:sz w:val="20"/>
          <w:szCs w:val="20"/>
        </w:rPr>
        <w:t xml:space="preserve"> </w:t>
      </w:r>
      <w:r w:rsidR="00DF2939" w:rsidRPr="00F0550C">
        <w:rPr>
          <w:sz w:val="20"/>
          <w:szCs w:val="20"/>
        </w:rPr>
        <w:t>The patients were stratified by established or recent postmenopausal status,</w:t>
      </w:r>
      <w:r w:rsidR="006723EA" w:rsidRPr="00F0550C">
        <w:rPr>
          <w:sz w:val="20"/>
          <w:szCs w:val="20"/>
        </w:rPr>
        <w:t xml:space="preserve"> </w:t>
      </w:r>
      <w:r w:rsidR="00DF2939" w:rsidRPr="00F0550C">
        <w:rPr>
          <w:sz w:val="20"/>
          <w:szCs w:val="20"/>
        </w:rPr>
        <w:t>baseline T-</w:t>
      </w:r>
      <w:proofErr w:type="spellStart"/>
      <w:r w:rsidR="00DF2939" w:rsidRPr="00F0550C">
        <w:rPr>
          <w:sz w:val="20"/>
          <w:szCs w:val="20"/>
        </w:rPr>
        <w:t>scorees</w:t>
      </w:r>
      <w:proofErr w:type="spellEnd"/>
      <w:r w:rsidR="00DF2939" w:rsidRPr="00F0550C">
        <w:rPr>
          <w:sz w:val="20"/>
          <w:szCs w:val="20"/>
        </w:rPr>
        <w:t>,</w:t>
      </w:r>
      <w:r w:rsidR="006723EA" w:rsidRPr="00F0550C">
        <w:rPr>
          <w:sz w:val="20"/>
          <w:szCs w:val="20"/>
        </w:rPr>
        <w:t xml:space="preserve"> </w:t>
      </w:r>
      <w:r w:rsidR="00DF2939" w:rsidRPr="00F0550C">
        <w:rPr>
          <w:sz w:val="20"/>
          <w:szCs w:val="20"/>
        </w:rPr>
        <w:t xml:space="preserve">and adjuvant chemotherapy. </w:t>
      </w:r>
      <w:r w:rsidR="00275931" w:rsidRPr="00F0550C">
        <w:rPr>
          <w:sz w:val="20"/>
          <w:szCs w:val="20"/>
        </w:rPr>
        <w:t>Our</w:t>
      </w:r>
      <w:r w:rsidR="00DF2939" w:rsidRPr="00F0550C">
        <w:rPr>
          <w:sz w:val="20"/>
          <w:szCs w:val="20"/>
        </w:rPr>
        <w:t xml:space="preserve"> end</w:t>
      </w:r>
      <w:r w:rsidR="009010BE" w:rsidRPr="00F0550C">
        <w:rPr>
          <w:sz w:val="20"/>
          <w:szCs w:val="20"/>
        </w:rPr>
        <w:t xml:space="preserve">point </w:t>
      </w:r>
      <w:r w:rsidR="00B87BAF" w:rsidRPr="00F0550C">
        <w:rPr>
          <w:sz w:val="20"/>
          <w:szCs w:val="20"/>
        </w:rPr>
        <w:t>is to evaluate changes in bone health by estimation of BMD</w:t>
      </w:r>
      <w:r w:rsidR="00C86FBA" w:rsidRPr="00F0550C">
        <w:rPr>
          <w:sz w:val="20"/>
          <w:szCs w:val="20"/>
        </w:rPr>
        <w:t xml:space="preserve"> (lumber spin LS and total hip TH)</w:t>
      </w:r>
      <w:r w:rsidR="0021376F" w:rsidRPr="00F0550C">
        <w:rPr>
          <w:sz w:val="20"/>
          <w:szCs w:val="20"/>
        </w:rPr>
        <w:t>, for</w:t>
      </w:r>
      <w:r w:rsidR="00B87BAF" w:rsidRPr="00F0550C">
        <w:rPr>
          <w:sz w:val="20"/>
          <w:szCs w:val="20"/>
        </w:rPr>
        <w:t xml:space="preserve"> each treatment group at </w:t>
      </w:r>
      <w:r w:rsidR="0021376F" w:rsidRPr="00F0550C">
        <w:rPr>
          <w:sz w:val="20"/>
          <w:szCs w:val="20"/>
        </w:rPr>
        <w:t>12, and</w:t>
      </w:r>
      <w:r w:rsidR="00F0550C">
        <w:rPr>
          <w:rFonts w:eastAsiaTheme="minorEastAsia" w:hint="eastAsia"/>
          <w:sz w:val="20"/>
          <w:szCs w:val="20"/>
          <w:lang w:eastAsia="zh-CN"/>
        </w:rPr>
        <w:t xml:space="preserve"> </w:t>
      </w:r>
      <w:r w:rsidR="0021376F" w:rsidRPr="00F0550C">
        <w:rPr>
          <w:sz w:val="20"/>
          <w:szCs w:val="20"/>
        </w:rPr>
        <w:t>24</w:t>
      </w:r>
      <w:r w:rsidR="00B87BAF" w:rsidRPr="00F0550C">
        <w:rPr>
          <w:sz w:val="20"/>
          <w:szCs w:val="20"/>
        </w:rPr>
        <w:t xml:space="preserve"> month.</w:t>
      </w:r>
      <w:r w:rsidR="004D04E7" w:rsidRPr="00F0550C">
        <w:rPr>
          <w:rFonts w:eastAsia="MS Mincho"/>
          <w:b/>
          <w:bCs/>
          <w:sz w:val="20"/>
          <w:szCs w:val="20"/>
        </w:rPr>
        <w:t xml:space="preserve"> </w:t>
      </w:r>
      <w:r w:rsidR="0009349B" w:rsidRPr="00F0550C">
        <w:rPr>
          <w:rFonts w:eastAsia="MS Mincho"/>
          <w:b/>
          <w:bCs/>
          <w:sz w:val="20"/>
          <w:szCs w:val="20"/>
        </w:rPr>
        <w:t>Results</w:t>
      </w:r>
      <w:r w:rsidR="005D3F09" w:rsidRPr="00F0550C">
        <w:rPr>
          <w:rFonts w:eastAsia="MS Mincho"/>
          <w:b/>
          <w:bCs/>
          <w:sz w:val="20"/>
          <w:szCs w:val="20"/>
        </w:rPr>
        <w:t>:</w:t>
      </w:r>
      <w:r w:rsidR="004D04E7" w:rsidRPr="00F0550C">
        <w:rPr>
          <w:rFonts w:eastAsia="MS Mincho"/>
          <w:b/>
          <w:bCs/>
          <w:sz w:val="20"/>
          <w:szCs w:val="20"/>
        </w:rPr>
        <w:t xml:space="preserve"> </w:t>
      </w:r>
      <w:r w:rsidR="00FD18D3" w:rsidRPr="00F0550C">
        <w:rPr>
          <w:rFonts w:eastAsia="MS Mincho"/>
          <w:sz w:val="20"/>
          <w:szCs w:val="20"/>
        </w:rPr>
        <w:t>At 12 months,</w:t>
      </w:r>
      <w:r w:rsidR="006723EA" w:rsidRPr="00F0550C">
        <w:rPr>
          <w:rFonts w:eastAsia="MS Mincho"/>
          <w:sz w:val="20"/>
          <w:szCs w:val="20"/>
        </w:rPr>
        <w:t xml:space="preserve"> </w:t>
      </w:r>
      <w:r w:rsidR="00FD18D3" w:rsidRPr="00F0550C">
        <w:rPr>
          <w:rFonts w:eastAsia="MS Mincho"/>
          <w:sz w:val="20"/>
          <w:szCs w:val="20"/>
        </w:rPr>
        <w:t>the LS BMD in adjuvant ZOL group was (+4.8%</w:t>
      </w:r>
      <w:r w:rsidR="0021376F" w:rsidRPr="00F0550C">
        <w:rPr>
          <w:rFonts w:eastAsia="MS Mincho"/>
          <w:sz w:val="20"/>
          <w:szCs w:val="20"/>
        </w:rPr>
        <w:t>) which</w:t>
      </w:r>
      <w:r w:rsidR="00FD18D3" w:rsidRPr="00F0550C">
        <w:rPr>
          <w:rFonts w:eastAsia="MS Mincho"/>
          <w:sz w:val="20"/>
          <w:szCs w:val="20"/>
        </w:rPr>
        <w:t xml:space="preserve"> increased at 24 months to (+</w:t>
      </w:r>
      <w:r w:rsidR="0021376F" w:rsidRPr="00F0550C">
        <w:rPr>
          <w:rFonts w:eastAsia="MS Mincho"/>
          <w:sz w:val="20"/>
          <w:szCs w:val="20"/>
        </w:rPr>
        <w:t xml:space="preserve">5.2 </w:t>
      </w:r>
      <w:proofErr w:type="spellStart"/>
      <w:r w:rsidR="0021376F" w:rsidRPr="00F0550C">
        <w:rPr>
          <w:rFonts w:eastAsia="MS Mincho"/>
          <w:sz w:val="20"/>
          <w:szCs w:val="20"/>
        </w:rPr>
        <w:t>vs</w:t>
      </w:r>
      <w:proofErr w:type="spellEnd"/>
      <w:r w:rsidR="00F3660B" w:rsidRPr="00F0550C">
        <w:rPr>
          <w:rFonts w:eastAsia="MS Mincho"/>
          <w:sz w:val="20"/>
          <w:szCs w:val="20"/>
        </w:rPr>
        <w:t>,</w:t>
      </w:r>
      <w:r w:rsidR="00F0550C">
        <w:rPr>
          <w:rFonts w:eastAsia="MS Mincho"/>
          <w:sz w:val="20"/>
          <w:szCs w:val="20"/>
        </w:rPr>
        <w:t xml:space="preserve"> </w:t>
      </w:r>
      <w:r w:rsidR="00FD18D3" w:rsidRPr="00F0550C">
        <w:rPr>
          <w:rFonts w:eastAsia="MS Mincho"/>
          <w:sz w:val="20"/>
          <w:szCs w:val="20"/>
        </w:rPr>
        <w:t>(-1.9%)</w:t>
      </w:r>
      <w:r w:rsidR="00F3660B" w:rsidRPr="00F0550C">
        <w:rPr>
          <w:rFonts w:eastAsia="MS Mincho"/>
          <w:sz w:val="20"/>
          <w:szCs w:val="20"/>
        </w:rPr>
        <w:t xml:space="preserve"> and (-1.5%) in no ZOL group</w:t>
      </w:r>
      <w:r w:rsidR="00D70705" w:rsidRPr="00F0550C">
        <w:rPr>
          <w:rFonts w:eastAsia="MS Mincho"/>
          <w:sz w:val="20"/>
          <w:szCs w:val="20"/>
        </w:rPr>
        <w:t>.</w:t>
      </w:r>
      <w:r w:rsidR="006723EA" w:rsidRPr="00F0550C">
        <w:rPr>
          <w:rFonts w:eastAsia="MS Mincho"/>
          <w:sz w:val="20"/>
          <w:szCs w:val="20"/>
        </w:rPr>
        <w:t xml:space="preserve"> </w:t>
      </w:r>
      <w:r w:rsidR="00D70705" w:rsidRPr="00F0550C">
        <w:rPr>
          <w:rFonts w:eastAsia="MS Mincho"/>
          <w:sz w:val="20"/>
          <w:szCs w:val="20"/>
        </w:rPr>
        <w:t xml:space="preserve">Adverse events were generally </w:t>
      </w:r>
      <w:r w:rsidR="0021376F" w:rsidRPr="00F0550C">
        <w:rPr>
          <w:rFonts w:eastAsia="MS Mincho"/>
          <w:sz w:val="20"/>
          <w:szCs w:val="20"/>
        </w:rPr>
        <w:t>mild, transient, and</w:t>
      </w:r>
      <w:r w:rsidR="00D70705" w:rsidRPr="00F0550C">
        <w:rPr>
          <w:rFonts w:eastAsia="MS Mincho"/>
          <w:sz w:val="20"/>
          <w:szCs w:val="20"/>
        </w:rPr>
        <w:t xml:space="preserve"> consistent with the known safety profiles.</w:t>
      </w:r>
      <w:r w:rsidR="004D04E7" w:rsidRPr="00F0550C">
        <w:rPr>
          <w:rFonts w:eastAsia="MS Mincho"/>
          <w:sz w:val="20"/>
          <w:szCs w:val="20"/>
        </w:rPr>
        <w:t xml:space="preserve"> </w:t>
      </w:r>
      <w:r w:rsidR="00967939" w:rsidRPr="00F0550C">
        <w:rPr>
          <w:rFonts w:eastAsia="MS Mincho"/>
          <w:b/>
          <w:bCs/>
          <w:sz w:val="20"/>
          <w:szCs w:val="20"/>
        </w:rPr>
        <w:t>Conclusion</w:t>
      </w:r>
      <w:r w:rsidR="005D3F09" w:rsidRPr="00F0550C">
        <w:rPr>
          <w:rFonts w:eastAsia="MS Mincho"/>
          <w:b/>
          <w:bCs/>
          <w:sz w:val="20"/>
          <w:szCs w:val="20"/>
        </w:rPr>
        <w:t xml:space="preserve">: </w:t>
      </w:r>
      <w:r w:rsidR="0023189E" w:rsidRPr="00F0550C">
        <w:rPr>
          <w:sz w:val="20"/>
          <w:szCs w:val="20"/>
          <w:lang w:bidi="ar-EG"/>
        </w:rPr>
        <w:t>Adjuvant ZOL</w:t>
      </w:r>
      <w:r w:rsidR="006723EA" w:rsidRPr="00F0550C">
        <w:rPr>
          <w:sz w:val="20"/>
          <w:szCs w:val="20"/>
          <w:lang w:bidi="ar-EG"/>
        </w:rPr>
        <w:t xml:space="preserve"> </w:t>
      </w:r>
      <w:r w:rsidR="0023189E" w:rsidRPr="00F0550C">
        <w:rPr>
          <w:sz w:val="20"/>
          <w:szCs w:val="20"/>
          <w:lang w:bidi="ar-EG"/>
        </w:rPr>
        <w:t xml:space="preserve">administration effectively </w:t>
      </w:r>
      <w:r w:rsidR="00EE4456" w:rsidRPr="00F0550C">
        <w:rPr>
          <w:sz w:val="20"/>
          <w:szCs w:val="20"/>
          <w:lang w:bidi="ar-EG"/>
        </w:rPr>
        <w:t>improves BMD in postmenopausal women with HR+EBC receiving adjuvant AIs.</w:t>
      </w:r>
    </w:p>
    <w:p w:rsidR="006803B0" w:rsidRPr="00F0550C" w:rsidRDefault="0006552D" w:rsidP="00E17342">
      <w:pPr>
        <w:pStyle w:val="NoSpacing"/>
        <w:bidi w:val="0"/>
        <w:adjustRightInd w:val="0"/>
        <w:snapToGrid w:val="0"/>
        <w:jc w:val="both"/>
        <w:rPr>
          <w:color w:val="000000"/>
          <w:sz w:val="20"/>
          <w:szCs w:val="20"/>
          <w:shd w:val="clear" w:color="auto" w:fill="FFFFFF"/>
        </w:rPr>
      </w:pPr>
      <w:r w:rsidRPr="00F0550C">
        <w:rPr>
          <w:sz w:val="20"/>
          <w:szCs w:val="20"/>
          <w:lang w:bidi="ar-EG"/>
        </w:rPr>
        <w:t>[</w:t>
      </w:r>
      <w:proofErr w:type="spellStart"/>
      <w:r w:rsidRPr="00F0550C">
        <w:rPr>
          <w:sz w:val="20"/>
          <w:szCs w:val="20"/>
          <w:lang w:bidi="ar-EG"/>
        </w:rPr>
        <w:t>Doaa</w:t>
      </w:r>
      <w:proofErr w:type="spellEnd"/>
      <w:r w:rsidRPr="00F0550C">
        <w:rPr>
          <w:sz w:val="20"/>
          <w:szCs w:val="20"/>
          <w:lang w:bidi="ar-EG"/>
        </w:rPr>
        <w:t xml:space="preserve"> </w:t>
      </w:r>
      <w:r w:rsidRPr="00F0550C">
        <w:rPr>
          <w:sz w:val="20"/>
          <w:szCs w:val="20"/>
          <w:lang w:val="en-GB" w:bidi="ar-EG"/>
        </w:rPr>
        <w:t>A</w:t>
      </w:r>
      <w:proofErr w:type="spellStart"/>
      <w:r w:rsidRPr="00F0550C">
        <w:rPr>
          <w:sz w:val="20"/>
          <w:szCs w:val="20"/>
          <w:lang w:bidi="ar-EG"/>
        </w:rPr>
        <w:t>bdelrahman</w:t>
      </w:r>
      <w:proofErr w:type="spellEnd"/>
      <w:r w:rsidRPr="00F0550C">
        <w:rPr>
          <w:sz w:val="20"/>
          <w:szCs w:val="20"/>
          <w:lang w:bidi="ar-EG"/>
        </w:rPr>
        <w:t xml:space="preserve">, </w:t>
      </w:r>
      <w:proofErr w:type="spellStart"/>
      <w:r w:rsidRPr="00F0550C">
        <w:rPr>
          <w:sz w:val="20"/>
          <w:szCs w:val="20"/>
          <w:lang w:bidi="ar-EG"/>
        </w:rPr>
        <w:t>Wael</w:t>
      </w:r>
      <w:proofErr w:type="spellEnd"/>
      <w:r w:rsidRPr="00F0550C">
        <w:rPr>
          <w:sz w:val="20"/>
          <w:szCs w:val="20"/>
          <w:lang w:bidi="ar-EG"/>
        </w:rPr>
        <w:t xml:space="preserve"> </w:t>
      </w:r>
      <w:proofErr w:type="spellStart"/>
      <w:r w:rsidRPr="00F0550C">
        <w:rPr>
          <w:sz w:val="20"/>
          <w:szCs w:val="20"/>
          <w:lang w:bidi="ar-EG"/>
        </w:rPr>
        <w:t>Elsawy</w:t>
      </w:r>
      <w:proofErr w:type="spellEnd"/>
      <w:r w:rsidRPr="00F0550C">
        <w:rPr>
          <w:sz w:val="20"/>
          <w:szCs w:val="20"/>
          <w:lang w:bidi="ar-EG"/>
        </w:rPr>
        <w:t xml:space="preserve">, </w:t>
      </w:r>
      <w:proofErr w:type="spellStart"/>
      <w:r w:rsidRPr="00F0550C">
        <w:rPr>
          <w:sz w:val="20"/>
          <w:szCs w:val="20"/>
          <w:lang w:bidi="ar-EG"/>
        </w:rPr>
        <w:t>Yossra</w:t>
      </w:r>
      <w:proofErr w:type="spellEnd"/>
      <w:r w:rsidRPr="00F0550C">
        <w:rPr>
          <w:sz w:val="20"/>
          <w:szCs w:val="20"/>
          <w:lang w:bidi="ar-EG"/>
        </w:rPr>
        <w:t xml:space="preserve"> </w:t>
      </w:r>
      <w:proofErr w:type="spellStart"/>
      <w:r w:rsidRPr="00F0550C">
        <w:rPr>
          <w:sz w:val="20"/>
          <w:szCs w:val="20"/>
          <w:lang w:bidi="ar-EG"/>
        </w:rPr>
        <w:t>Taha</w:t>
      </w:r>
      <w:proofErr w:type="spellEnd"/>
      <w:r w:rsidRPr="00F0550C">
        <w:rPr>
          <w:sz w:val="20"/>
          <w:szCs w:val="20"/>
          <w:lang w:bidi="ar-EG"/>
        </w:rPr>
        <w:t xml:space="preserve"> </w:t>
      </w:r>
      <w:proofErr w:type="spellStart"/>
      <w:r w:rsidRPr="00F0550C">
        <w:rPr>
          <w:sz w:val="20"/>
          <w:szCs w:val="20"/>
          <w:lang w:bidi="ar-EG"/>
        </w:rPr>
        <w:t>Dorgham</w:t>
      </w:r>
      <w:proofErr w:type="spellEnd"/>
      <w:r w:rsidRPr="00F0550C">
        <w:rPr>
          <w:sz w:val="20"/>
          <w:szCs w:val="20"/>
          <w:lang w:bidi="ar-EG"/>
        </w:rPr>
        <w:t xml:space="preserve">, </w:t>
      </w:r>
      <w:proofErr w:type="spellStart"/>
      <w:r w:rsidRPr="00F0550C">
        <w:rPr>
          <w:sz w:val="20"/>
          <w:szCs w:val="20"/>
          <w:lang w:bidi="ar-EG"/>
        </w:rPr>
        <w:t>Reham</w:t>
      </w:r>
      <w:proofErr w:type="spellEnd"/>
      <w:r w:rsidRPr="00F0550C">
        <w:rPr>
          <w:sz w:val="20"/>
          <w:szCs w:val="20"/>
          <w:lang w:bidi="ar-EG"/>
        </w:rPr>
        <w:t xml:space="preserve"> </w:t>
      </w:r>
      <w:proofErr w:type="spellStart"/>
      <w:r w:rsidRPr="00F0550C">
        <w:rPr>
          <w:sz w:val="20"/>
          <w:szCs w:val="20"/>
          <w:lang w:bidi="ar-EG"/>
        </w:rPr>
        <w:t>Amin</w:t>
      </w:r>
      <w:proofErr w:type="spellEnd"/>
      <w:r w:rsidRPr="00F0550C">
        <w:rPr>
          <w:sz w:val="20"/>
          <w:szCs w:val="20"/>
          <w:lang w:bidi="ar-EG"/>
        </w:rPr>
        <w:t xml:space="preserve"> </w:t>
      </w:r>
      <w:proofErr w:type="spellStart"/>
      <w:r w:rsidRPr="00F0550C">
        <w:rPr>
          <w:sz w:val="20"/>
          <w:szCs w:val="20"/>
          <w:lang w:bidi="ar-EG"/>
        </w:rPr>
        <w:t>Elsayed</w:t>
      </w:r>
      <w:proofErr w:type="spellEnd"/>
      <w:r w:rsidRPr="00F0550C">
        <w:rPr>
          <w:sz w:val="20"/>
          <w:szCs w:val="20"/>
          <w:lang w:bidi="ar-EG"/>
        </w:rPr>
        <w:t xml:space="preserve">. </w:t>
      </w:r>
      <w:proofErr w:type="gramStart"/>
      <w:r w:rsidRPr="00F0550C">
        <w:rPr>
          <w:b/>
          <w:bCs/>
          <w:color w:val="000000"/>
          <w:sz w:val="20"/>
          <w:szCs w:val="20"/>
        </w:rPr>
        <w:t xml:space="preserve">Efficacy of Adjuvant </w:t>
      </w:r>
      <w:proofErr w:type="spellStart"/>
      <w:r w:rsidRPr="00F0550C">
        <w:rPr>
          <w:b/>
          <w:bCs/>
          <w:color w:val="000000"/>
          <w:sz w:val="20"/>
          <w:szCs w:val="20"/>
        </w:rPr>
        <w:t>Zolodronic</w:t>
      </w:r>
      <w:proofErr w:type="spellEnd"/>
      <w:r w:rsidRPr="00F0550C">
        <w:rPr>
          <w:b/>
          <w:bCs/>
          <w:color w:val="000000"/>
          <w:sz w:val="20"/>
          <w:szCs w:val="20"/>
        </w:rPr>
        <w:t xml:space="preserve"> Acid in Post Menopausal Women with Early Breast Cancer Receiving Adjuvant </w:t>
      </w:r>
      <w:proofErr w:type="spellStart"/>
      <w:r w:rsidRPr="00F0550C">
        <w:rPr>
          <w:b/>
          <w:bCs/>
          <w:color w:val="000000"/>
          <w:sz w:val="20"/>
          <w:szCs w:val="20"/>
        </w:rPr>
        <w:t>Aromatas</w:t>
      </w:r>
      <w:proofErr w:type="spellEnd"/>
      <w:r w:rsidRPr="00F0550C">
        <w:rPr>
          <w:b/>
          <w:bCs/>
          <w:color w:val="000000"/>
          <w:sz w:val="20"/>
          <w:szCs w:val="20"/>
        </w:rPr>
        <w:t xml:space="preserve"> Inhibitor on Improving Bone Health</w:t>
      </w:r>
      <w:r w:rsidR="006803B0" w:rsidRPr="00F0550C">
        <w:rPr>
          <w:b/>
          <w:bCs/>
          <w:sz w:val="20"/>
          <w:szCs w:val="20"/>
          <w:lang w:bidi="fa-IR"/>
        </w:rPr>
        <w:t>.</w:t>
      </w:r>
      <w:proofErr w:type="gramEnd"/>
      <w:r w:rsidR="006803B0" w:rsidRPr="00F0550C">
        <w:rPr>
          <w:i/>
          <w:sz w:val="20"/>
          <w:szCs w:val="20"/>
        </w:rPr>
        <w:t xml:space="preserve"> Cancer Biology</w:t>
      </w:r>
      <w:r w:rsidR="006803B0" w:rsidRPr="00F0550C">
        <w:rPr>
          <w:sz w:val="20"/>
          <w:szCs w:val="20"/>
        </w:rPr>
        <w:t xml:space="preserve"> 201</w:t>
      </w:r>
      <w:r w:rsidR="006803B0" w:rsidRPr="00F0550C">
        <w:rPr>
          <w:rFonts w:hint="eastAsia"/>
          <w:sz w:val="20"/>
          <w:szCs w:val="20"/>
        </w:rPr>
        <w:t>6</w:t>
      </w:r>
      <w:proofErr w:type="gramStart"/>
      <w:r w:rsidR="006803B0" w:rsidRPr="00F0550C">
        <w:rPr>
          <w:sz w:val="20"/>
          <w:szCs w:val="20"/>
        </w:rPr>
        <w:t>;</w:t>
      </w:r>
      <w:r w:rsidR="006803B0" w:rsidRPr="00F0550C">
        <w:rPr>
          <w:rFonts w:hint="eastAsia"/>
          <w:sz w:val="20"/>
          <w:szCs w:val="20"/>
        </w:rPr>
        <w:t>6</w:t>
      </w:r>
      <w:proofErr w:type="gramEnd"/>
      <w:r w:rsidR="006803B0" w:rsidRPr="00F0550C">
        <w:rPr>
          <w:sz w:val="20"/>
          <w:szCs w:val="20"/>
        </w:rPr>
        <w:t>(</w:t>
      </w:r>
      <w:r w:rsidR="006803B0" w:rsidRPr="00F0550C">
        <w:rPr>
          <w:rFonts w:hint="eastAsia"/>
          <w:sz w:val="20"/>
          <w:szCs w:val="20"/>
        </w:rPr>
        <w:t>2</w:t>
      </w:r>
      <w:r w:rsidR="006803B0" w:rsidRPr="00F0550C">
        <w:rPr>
          <w:sz w:val="20"/>
          <w:szCs w:val="20"/>
        </w:rPr>
        <w:t>):</w:t>
      </w:r>
      <w:r w:rsidR="00471BE1" w:rsidRPr="00F0550C">
        <w:rPr>
          <w:noProof/>
          <w:color w:val="000000"/>
          <w:sz w:val="20"/>
          <w:szCs w:val="20"/>
        </w:rPr>
        <w:t>56</w:t>
      </w:r>
      <w:r w:rsidR="006803B0" w:rsidRPr="00F0550C">
        <w:rPr>
          <w:color w:val="000000"/>
          <w:sz w:val="20"/>
          <w:szCs w:val="20"/>
        </w:rPr>
        <w:t>-</w:t>
      </w:r>
      <w:r w:rsidR="00471BE1" w:rsidRPr="00F0550C">
        <w:rPr>
          <w:noProof/>
          <w:color w:val="000000"/>
          <w:sz w:val="20"/>
          <w:szCs w:val="20"/>
        </w:rPr>
        <w:t>6</w:t>
      </w:r>
      <w:r w:rsidR="00F0550C">
        <w:rPr>
          <w:rFonts w:eastAsiaTheme="minorEastAsia" w:hint="eastAsia"/>
          <w:noProof/>
          <w:color w:val="000000"/>
          <w:sz w:val="20"/>
          <w:szCs w:val="20"/>
          <w:lang w:eastAsia="zh-CN"/>
        </w:rPr>
        <w:t>2</w:t>
      </w:r>
      <w:r w:rsidR="006803B0" w:rsidRPr="00F0550C">
        <w:rPr>
          <w:sz w:val="20"/>
          <w:szCs w:val="20"/>
        </w:rPr>
        <w:t xml:space="preserve">]. </w:t>
      </w:r>
      <w:r w:rsidR="006803B0" w:rsidRPr="00F0550C">
        <w:rPr>
          <w:rStyle w:val="msonormal0"/>
          <w:rFonts w:eastAsia="宋"/>
          <w:sz w:val="20"/>
          <w:szCs w:val="20"/>
        </w:rPr>
        <w:t>ISSN: 2150-1041 (print); ISSN: 2150-105X (online)</w:t>
      </w:r>
      <w:r w:rsidR="006803B0" w:rsidRPr="00F0550C">
        <w:rPr>
          <w:sz w:val="20"/>
          <w:szCs w:val="20"/>
        </w:rPr>
        <w:t xml:space="preserve">. </w:t>
      </w:r>
      <w:hyperlink r:id="rId9" w:history="1">
        <w:r w:rsidR="006803B0" w:rsidRPr="00F0550C">
          <w:rPr>
            <w:rStyle w:val="Hyperlink"/>
            <w:color w:val="0000FF"/>
            <w:sz w:val="20"/>
            <w:szCs w:val="20"/>
          </w:rPr>
          <w:t>http://www.cancerbio.net</w:t>
        </w:r>
      </w:hyperlink>
      <w:r w:rsidR="006803B0" w:rsidRPr="00F0550C">
        <w:rPr>
          <w:sz w:val="20"/>
          <w:szCs w:val="20"/>
        </w:rPr>
        <w:t>.</w:t>
      </w:r>
      <w:r w:rsidR="006803B0" w:rsidRPr="00F0550C">
        <w:rPr>
          <w:rFonts w:hint="eastAsia"/>
          <w:sz w:val="20"/>
          <w:szCs w:val="20"/>
        </w:rPr>
        <w:t xml:space="preserve"> </w:t>
      </w:r>
      <w:r w:rsidR="006803B0" w:rsidRPr="00F0550C">
        <w:rPr>
          <w:rFonts w:eastAsiaTheme="minorEastAsia" w:hint="eastAsia"/>
          <w:sz w:val="20"/>
          <w:szCs w:val="20"/>
          <w:lang w:eastAsia="zh-CN"/>
        </w:rPr>
        <w:t>8</w:t>
      </w:r>
      <w:r w:rsidR="006803B0" w:rsidRPr="00F0550C">
        <w:rPr>
          <w:rFonts w:hint="eastAsia"/>
          <w:sz w:val="20"/>
          <w:szCs w:val="20"/>
        </w:rPr>
        <w:t xml:space="preserve">. </w:t>
      </w:r>
      <w:proofErr w:type="gramStart"/>
      <w:r w:rsidR="006803B0" w:rsidRPr="00F0550C">
        <w:rPr>
          <w:color w:val="000000"/>
          <w:sz w:val="20"/>
          <w:szCs w:val="20"/>
          <w:shd w:val="clear" w:color="auto" w:fill="FFFFFF"/>
        </w:rPr>
        <w:t>doi</w:t>
      </w:r>
      <w:proofErr w:type="gramEnd"/>
      <w:r w:rsidR="006803B0" w:rsidRPr="00F0550C">
        <w:rPr>
          <w:color w:val="000000"/>
          <w:sz w:val="20"/>
          <w:szCs w:val="20"/>
          <w:shd w:val="clear" w:color="auto" w:fill="FFFFFF"/>
        </w:rPr>
        <w:t>:</w:t>
      </w:r>
      <w:hyperlink r:id="rId10" w:history="1">
        <w:r w:rsidR="006803B0" w:rsidRPr="00F0550C">
          <w:rPr>
            <w:rStyle w:val="Hyperlink"/>
            <w:color w:val="0000FF"/>
            <w:sz w:val="20"/>
            <w:szCs w:val="20"/>
            <w:shd w:val="clear" w:color="auto" w:fill="FFFFFF"/>
          </w:rPr>
          <w:t>10.7537/mars</w:t>
        </w:r>
        <w:r w:rsidR="006803B0" w:rsidRPr="00F0550C">
          <w:rPr>
            <w:rStyle w:val="Hyperlink"/>
            <w:rFonts w:hint="eastAsia"/>
            <w:color w:val="0000FF"/>
            <w:sz w:val="20"/>
            <w:szCs w:val="20"/>
            <w:shd w:val="clear" w:color="auto" w:fill="FFFFFF"/>
          </w:rPr>
          <w:t>cbj0602</w:t>
        </w:r>
        <w:r w:rsidR="006803B0" w:rsidRPr="00F0550C">
          <w:rPr>
            <w:rStyle w:val="Hyperlink"/>
            <w:color w:val="0000FF"/>
            <w:sz w:val="20"/>
            <w:szCs w:val="20"/>
            <w:shd w:val="clear" w:color="auto" w:fill="FFFFFF"/>
          </w:rPr>
          <w:t>1</w:t>
        </w:r>
        <w:r w:rsidR="006803B0" w:rsidRPr="00F0550C">
          <w:rPr>
            <w:rStyle w:val="Hyperlink"/>
            <w:rFonts w:hint="eastAsia"/>
            <w:color w:val="0000FF"/>
            <w:sz w:val="20"/>
            <w:szCs w:val="20"/>
            <w:shd w:val="clear" w:color="auto" w:fill="FFFFFF"/>
          </w:rPr>
          <w:t>6</w:t>
        </w:r>
        <w:r w:rsidR="006803B0" w:rsidRPr="00F0550C">
          <w:rPr>
            <w:rStyle w:val="Hyperlink"/>
            <w:color w:val="0000FF"/>
            <w:sz w:val="20"/>
            <w:szCs w:val="20"/>
            <w:shd w:val="clear" w:color="auto" w:fill="FFFFFF"/>
          </w:rPr>
          <w:t>0</w:t>
        </w:r>
        <w:r w:rsidR="006803B0" w:rsidRPr="00F0550C">
          <w:rPr>
            <w:rStyle w:val="Hyperlink"/>
            <w:rFonts w:eastAsiaTheme="minorEastAsia" w:hint="eastAsia"/>
            <w:color w:val="0000FF"/>
            <w:sz w:val="20"/>
            <w:szCs w:val="20"/>
            <w:shd w:val="clear" w:color="auto" w:fill="FFFFFF"/>
            <w:lang w:eastAsia="zh-CN"/>
          </w:rPr>
          <w:t>8</w:t>
        </w:r>
      </w:hyperlink>
      <w:r w:rsidR="006803B0" w:rsidRPr="00F0550C">
        <w:rPr>
          <w:color w:val="000000"/>
          <w:sz w:val="20"/>
          <w:szCs w:val="20"/>
          <w:shd w:val="clear" w:color="auto" w:fill="FFFFFF"/>
        </w:rPr>
        <w:t>.</w:t>
      </w:r>
    </w:p>
    <w:p w:rsidR="006803B0" w:rsidRPr="00F0550C" w:rsidRDefault="006803B0" w:rsidP="00E17342">
      <w:pPr>
        <w:pStyle w:val="NoSpacing"/>
        <w:bidi w:val="0"/>
        <w:adjustRightInd w:val="0"/>
        <w:snapToGrid w:val="0"/>
        <w:ind w:firstLine="425"/>
        <w:jc w:val="both"/>
        <w:rPr>
          <w:color w:val="000000"/>
          <w:sz w:val="20"/>
          <w:szCs w:val="20"/>
          <w:shd w:val="clear" w:color="auto" w:fill="FFFFFF"/>
        </w:rPr>
      </w:pPr>
    </w:p>
    <w:p w:rsidR="00F23937" w:rsidRPr="00F0550C" w:rsidRDefault="0006552D" w:rsidP="00E17342">
      <w:pPr>
        <w:bidi w:val="0"/>
        <w:adjustRightInd w:val="0"/>
        <w:snapToGrid w:val="0"/>
        <w:jc w:val="both"/>
        <w:rPr>
          <w:b/>
          <w:bCs/>
          <w:sz w:val="20"/>
          <w:szCs w:val="20"/>
          <w:lang w:bidi="ar-EG"/>
        </w:rPr>
      </w:pPr>
      <w:r w:rsidRPr="00F0550C">
        <w:rPr>
          <w:b/>
          <w:bCs/>
          <w:sz w:val="20"/>
          <w:szCs w:val="20"/>
          <w:lang w:bidi="ar-EG"/>
        </w:rPr>
        <w:t>Keywords</w:t>
      </w:r>
      <w:r w:rsidR="004D04E7" w:rsidRPr="00F0550C">
        <w:rPr>
          <w:b/>
          <w:bCs/>
          <w:sz w:val="20"/>
          <w:szCs w:val="20"/>
          <w:lang w:bidi="ar-EG"/>
        </w:rPr>
        <w:t>:</w:t>
      </w:r>
      <w:r w:rsidR="00C025F9" w:rsidRPr="00F0550C">
        <w:rPr>
          <w:b/>
          <w:bCs/>
          <w:sz w:val="20"/>
          <w:szCs w:val="20"/>
          <w:lang w:bidi="ar-EG"/>
        </w:rPr>
        <w:t xml:space="preserve"> </w:t>
      </w:r>
      <w:proofErr w:type="spellStart"/>
      <w:r w:rsidR="00EE4456" w:rsidRPr="00F0550C">
        <w:rPr>
          <w:sz w:val="20"/>
          <w:szCs w:val="20"/>
          <w:lang w:bidi="ar-EG"/>
        </w:rPr>
        <w:t>Aromatase</w:t>
      </w:r>
      <w:proofErr w:type="spellEnd"/>
      <w:r w:rsidR="00EE4456" w:rsidRPr="00F0550C">
        <w:rPr>
          <w:sz w:val="20"/>
          <w:szCs w:val="20"/>
          <w:lang w:bidi="ar-EG"/>
        </w:rPr>
        <w:t xml:space="preserve"> inhibitor</w:t>
      </w:r>
      <w:r w:rsidR="003C4B3B" w:rsidRPr="00F0550C">
        <w:rPr>
          <w:sz w:val="20"/>
          <w:szCs w:val="20"/>
          <w:lang w:bidi="ar-EG"/>
        </w:rPr>
        <w:t xml:space="preserve">, </w:t>
      </w:r>
      <w:r w:rsidR="00C22C94" w:rsidRPr="00F0550C">
        <w:rPr>
          <w:sz w:val="20"/>
          <w:szCs w:val="20"/>
          <w:lang w:bidi="ar-EG"/>
        </w:rPr>
        <w:t>Bone mineral density, Early breast cancer,</w:t>
      </w:r>
      <w:r w:rsidR="006723EA" w:rsidRPr="00F0550C">
        <w:rPr>
          <w:sz w:val="20"/>
          <w:szCs w:val="20"/>
          <w:lang w:bidi="ar-EG"/>
        </w:rPr>
        <w:t xml:space="preserve"> </w:t>
      </w:r>
      <w:r w:rsidR="00C22C94" w:rsidRPr="00F0550C">
        <w:rPr>
          <w:sz w:val="20"/>
          <w:szCs w:val="20"/>
          <w:lang w:bidi="ar-EG"/>
        </w:rPr>
        <w:t xml:space="preserve">postmenopausal, </w:t>
      </w:r>
      <w:proofErr w:type="spellStart"/>
      <w:r w:rsidR="00C22C94" w:rsidRPr="00F0550C">
        <w:rPr>
          <w:sz w:val="20"/>
          <w:szCs w:val="20"/>
          <w:lang w:bidi="ar-EG"/>
        </w:rPr>
        <w:t>Zolodronic</w:t>
      </w:r>
      <w:proofErr w:type="spellEnd"/>
      <w:r w:rsidR="00C22C94" w:rsidRPr="00F0550C">
        <w:rPr>
          <w:sz w:val="20"/>
          <w:szCs w:val="20"/>
          <w:lang w:bidi="ar-EG"/>
        </w:rPr>
        <w:t xml:space="preserve"> acid</w:t>
      </w:r>
      <w:r w:rsidR="00C025F9" w:rsidRPr="00F0550C">
        <w:rPr>
          <w:sz w:val="20"/>
          <w:szCs w:val="20"/>
          <w:lang w:bidi="ar-EG"/>
        </w:rPr>
        <w:t>.</w:t>
      </w:r>
    </w:p>
    <w:p w:rsidR="006803B0" w:rsidRPr="00F0550C" w:rsidRDefault="006803B0" w:rsidP="00E17342">
      <w:pPr>
        <w:bidi w:val="0"/>
        <w:adjustRightInd w:val="0"/>
        <w:snapToGrid w:val="0"/>
        <w:jc w:val="both"/>
        <w:rPr>
          <w:sz w:val="20"/>
          <w:szCs w:val="20"/>
          <w:lang w:bidi="ar-EG"/>
        </w:rPr>
      </w:pPr>
    </w:p>
    <w:p w:rsidR="006803B0" w:rsidRPr="00F0550C" w:rsidRDefault="006803B0" w:rsidP="00E17342">
      <w:pPr>
        <w:bidi w:val="0"/>
        <w:adjustRightInd w:val="0"/>
        <w:snapToGrid w:val="0"/>
        <w:jc w:val="both"/>
        <w:rPr>
          <w:sz w:val="20"/>
          <w:szCs w:val="20"/>
          <w:lang w:bidi="ar-EG"/>
        </w:rPr>
        <w:sectPr w:rsidR="006803B0" w:rsidRPr="00F0550C" w:rsidSect="00471BE1">
          <w:headerReference w:type="default" r:id="rId11"/>
          <w:footerReference w:type="default" r:id="rId12"/>
          <w:type w:val="continuous"/>
          <w:pgSz w:w="12242" w:h="15842" w:code="1"/>
          <w:pgMar w:top="1440" w:right="1440" w:bottom="1440" w:left="1440" w:header="720" w:footer="720" w:gutter="0"/>
          <w:pgNumType w:start="56"/>
          <w:cols w:space="708"/>
          <w:docGrid w:linePitch="360"/>
        </w:sectPr>
      </w:pPr>
    </w:p>
    <w:p w:rsidR="006E1957" w:rsidRPr="00F0550C" w:rsidRDefault="0006552D" w:rsidP="00E17342">
      <w:pPr>
        <w:bidi w:val="0"/>
        <w:adjustRightInd w:val="0"/>
        <w:snapToGrid w:val="0"/>
        <w:jc w:val="both"/>
        <w:rPr>
          <w:b/>
          <w:bCs/>
          <w:sz w:val="20"/>
          <w:szCs w:val="20"/>
          <w:lang w:bidi="ar-EG"/>
        </w:rPr>
      </w:pPr>
      <w:r w:rsidRPr="00F0550C">
        <w:rPr>
          <w:b/>
          <w:bCs/>
          <w:sz w:val="20"/>
          <w:szCs w:val="20"/>
          <w:lang w:bidi="ar-EG"/>
        </w:rPr>
        <w:lastRenderedPageBreak/>
        <w:t>1. Introduction</w:t>
      </w:r>
    </w:p>
    <w:p w:rsidR="00E10924" w:rsidRPr="00F0550C" w:rsidRDefault="00E10924" w:rsidP="00E17342">
      <w:pPr>
        <w:bidi w:val="0"/>
        <w:adjustRightInd w:val="0"/>
        <w:snapToGrid w:val="0"/>
        <w:ind w:firstLine="425"/>
        <w:jc w:val="both"/>
        <w:rPr>
          <w:sz w:val="20"/>
          <w:szCs w:val="20"/>
          <w:lang w:bidi="ar-EG"/>
        </w:rPr>
      </w:pPr>
      <w:r w:rsidRPr="00F0550C">
        <w:rPr>
          <w:sz w:val="20"/>
          <w:szCs w:val="20"/>
          <w:lang w:bidi="ar-EG"/>
        </w:rPr>
        <w:t xml:space="preserve">The introduction of </w:t>
      </w:r>
      <w:proofErr w:type="spellStart"/>
      <w:r w:rsidRPr="00F0550C">
        <w:rPr>
          <w:sz w:val="20"/>
          <w:szCs w:val="20"/>
          <w:lang w:bidi="ar-EG"/>
        </w:rPr>
        <w:t>aromatase</w:t>
      </w:r>
      <w:proofErr w:type="spellEnd"/>
      <w:r w:rsidRPr="00F0550C">
        <w:rPr>
          <w:sz w:val="20"/>
          <w:szCs w:val="20"/>
          <w:lang w:bidi="ar-EG"/>
        </w:rPr>
        <w:t xml:space="preserve"> inhibitors (AIs) during the last decade has opened new horizons i</w:t>
      </w:r>
      <w:r w:rsidR="00790B2B" w:rsidRPr="00F0550C">
        <w:rPr>
          <w:sz w:val="20"/>
          <w:szCs w:val="20"/>
          <w:lang w:bidi="ar-EG"/>
        </w:rPr>
        <w:t>n the successful treatment of HR+</w:t>
      </w:r>
      <w:r w:rsidRPr="00F0550C">
        <w:rPr>
          <w:sz w:val="20"/>
          <w:szCs w:val="20"/>
          <w:lang w:bidi="ar-EG"/>
        </w:rPr>
        <w:t xml:space="preserve"> breast cancer. Clinical trials established the role of AIs in the adjuvant therapy of postmenopausal women with hormone-responsive breast cancer in upfront, switch, and sequential treatment settings </w:t>
      </w:r>
      <w:r w:rsidRPr="00F0550C">
        <w:rPr>
          <w:b/>
          <w:bCs/>
          <w:sz w:val="20"/>
          <w:szCs w:val="20"/>
          <w:lang w:bidi="ar-EG"/>
        </w:rPr>
        <w:t>[</w:t>
      </w:r>
      <w:r w:rsidR="00DE1089" w:rsidRPr="00F0550C">
        <w:rPr>
          <w:b/>
          <w:bCs/>
          <w:sz w:val="20"/>
          <w:szCs w:val="20"/>
          <w:lang w:bidi="ar-EG"/>
        </w:rPr>
        <w:t>1</w:t>
      </w:r>
      <w:r w:rsidRPr="00F0550C">
        <w:rPr>
          <w:b/>
          <w:bCs/>
          <w:sz w:val="20"/>
          <w:szCs w:val="20"/>
          <w:lang w:bidi="ar-EG"/>
        </w:rPr>
        <w:t>]</w:t>
      </w:r>
      <w:r w:rsidRPr="00F0550C">
        <w:rPr>
          <w:sz w:val="20"/>
          <w:szCs w:val="20"/>
          <w:lang w:bidi="ar-EG"/>
        </w:rPr>
        <w:t xml:space="preserve"> and this is reflected by international guidelines such as those of the American Society of Clinical Oncology </w:t>
      </w:r>
      <w:r w:rsidRPr="00F0550C">
        <w:rPr>
          <w:b/>
          <w:bCs/>
          <w:sz w:val="20"/>
          <w:szCs w:val="20"/>
          <w:lang w:bidi="ar-EG"/>
        </w:rPr>
        <w:t>[</w:t>
      </w:r>
      <w:r w:rsidR="00DE1089" w:rsidRPr="00F0550C">
        <w:rPr>
          <w:b/>
          <w:bCs/>
          <w:sz w:val="20"/>
          <w:szCs w:val="20"/>
          <w:lang w:bidi="ar-EG"/>
        </w:rPr>
        <w:t>2</w:t>
      </w:r>
      <w:r w:rsidRPr="00F0550C">
        <w:rPr>
          <w:sz w:val="20"/>
          <w:szCs w:val="20"/>
          <w:lang w:bidi="ar-EG"/>
        </w:rPr>
        <w:t xml:space="preserve">], St. </w:t>
      </w:r>
      <w:proofErr w:type="spellStart"/>
      <w:r w:rsidRPr="00F0550C">
        <w:rPr>
          <w:sz w:val="20"/>
          <w:szCs w:val="20"/>
          <w:lang w:bidi="ar-EG"/>
        </w:rPr>
        <w:t>Gallen</w:t>
      </w:r>
      <w:proofErr w:type="spellEnd"/>
      <w:r w:rsidRPr="00F0550C">
        <w:rPr>
          <w:sz w:val="20"/>
          <w:szCs w:val="20"/>
          <w:lang w:bidi="ar-EG"/>
        </w:rPr>
        <w:t xml:space="preserve"> </w:t>
      </w:r>
      <w:r w:rsidRPr="00F0550C">
        <w:rPr>
          <w:b/>
          <w:bCs/>
          <w:sz w:val="20"/>
          <w:szCs w:val="20"/>
          <w:lang w:bidi="ar-EG"/>
        </w:rPr>
        <w:t>[</w:t>
      </w:r>
      <w:r w:rsidR="00DE1089" w:rsidRPr="00F0550C">
        <w:rPr>
          <w:b/>
          <w:bCs/>
          <w:sz w:val="20"/>
          <w:szCs w:val="20"/>
          <w:lang w:bidi="ar-EG"/>
        </w:rPr>
        <w:t>3</w:t>
      </w:r>
      <w:r w:rsidRPr="00F0550C">
        <w:rPr>
          <w:b/>
          <w:bCs/>
          <w:sz w:val="20"/>
          <w:szCs w:val="20"/>
          <w:lang w:bidi="ar-EG"/>
        </w:rPr>
        <w:t>],</w:t>
      </w:r>
      <w:r w:rsidRPr="00F0550C">
        <w:rPr>
          <w:sz w:val="20"/>
          <w:szCs w:val="20"/>
          <w:lang w:bidi="ar-EG"/>
        </w:rPr>
        <w:t xml:space="preserve"> </w:t>
      </w:r>
      <w:proofErr w:type="gramStart"/>
      <w:r w:rsidRPr="00F0550C">
        <w:rPr>
          <w:sz w:val="20"/>
          <w:szCs w:val="20"/>
          <w:lang w:bidi="ar-EG"/>
        </w:rPr>
        <w:t>the National Comprehensiv</w:t>
      </w:r>
      <w:r w:rsidR="00790B2B" w:rsidRPr="00F0550C">
        <w:rPr>
          <w:sz w:val="20"/>
          <w:szCs w:val="20"/>
          <w:lang w:bidi="ar-EG"/>
        </w:rPr>
        <w:t xml:space="preserve">e Cancer Network </w:t>
      </w:r>
      <w:r w:rsidR="00790B2B" w:rsidRPr="00F0550C">
        <w:rPr>
          <w:b/>
          <w:bCs/>
          <w:sz w:val="20"/>
          <w:szCs w:val="20"/>
          <w:lang w:bidi="ar-EG"/>
        </w:rPr>
        <w:t>[</w:t>
      </w:r>
      <w:r w:rsidR="00DE1089" w:rsidRPr="00F0550C">
        <w:rPr>
          <w:b/>
          <w:bCs/>
          <w:sz w:val="20"/>
          <w:szCs w:val="20"/>
          <w:lang w:bidi="ar-EG"/>
        </w:rPr>
        <w:t>4</w:t>
      </w:r>
      <w:r w:rsidR="00790B2B" w:rsidRPr="00F0550C">
        <w:rPr>
          <w:b/>
          <w:bCs/>
          <w:sz w:val="20"/>
          <w:szCs w:val="20"/>
          <w:lang w:bidi="ar-EG"/>
        </w:rPr>
        <w:t>]</w:t>
      </w:r>
      <w:proofErr w:type="gramEnd"/>
      <w:r w:rsidRPr="00F0550C">
        <w:rPr>
          <w:b/>
          <w:bCs/>
          <w:sz w:val="20"/>
          <w:szCs w:val="20"/>
          <w:lang w:bidi="ar-EG"/>
        </w:rPr>
        <w:t>.</w:t>
      </w:r>
    </w:p>
    <w:p w:rsidR="00790B2B" w:rsidRPr="00F0550C" w:rsidRDefault="00790B2B" w:rsidP="00E17342">
      <w:pPr>
        <w:bidi w:val="0"/>
        <w:adjustRightInd w:val="0"/>
        <w:snapToGrid w:val="0"/>
        <w:ind w:firstLine="425"/>
        <w:jc w:val="both"/>
        <w:rPr>
          <w:sz w:val="20"/>
          <w:szCs w:val="20"/>
          <w:lang w:bidi="ar-EG"/>
        </w:rPr>
      </w:pPr>
      <w:r w:rsidRPr="00F0550C">
        <w:rPr>
          <w:sz w:val="20"/>
          <w:szCs w:val="20"/>
          <w:lang w:bidi="ar-EG"/>
        </w:rPr>
        <w:t xml:space="preserve">Various clinical studies demonstrated that estrogen deprivation caused by AI administration has a serious negative effect on bone health </w:t>
      </w:r>
      <w:r w:rsidRPr="00F0550C">
        <w:rPr>
          <w:b/>
          <w:bCs/>
          <w:sz w:val="20"/>
          <w:szCs w:val="20"/>
          <w:lang w:bidi="ar-EG"/>
        </w:rPr>
        <w:t>[</w:t>
      </w:r>
      <w:r w:rsidR="00DE1089" w:rsidRPr="00F0550C">
        <w:rPr>
          <w:b/>
          <w:bCs/>
          <w:sz w:val="20"/>
          <w:szCs w:val="20"/>
          <w:lang w:bidi="ar-EG"/>
        </w:rPr>
        <w:t>5</w:t>
      </w:r>
      <w:r w:rsidRPr="00F0550C">
        <w:rPr>
          <w:b/>
          <w:bCs/>
          <w:sz w:val="20"/>
          <w:szCs w:val="20"/>
          <w:lang w:bidi="ar-EG"/>
        </w:rPr>
        <w:t>].</w:t>
      </w:r>
      <w:r w:rsidRPr="00F0550C">
        <w:rPr>
          <w:sz w:val="20"/>
          <w:szCs w:val="20"/>
          <w:lang w:bidi="ar-EG"/>
        </w:rPr>
        <w:t xml:space="preserve"> Bone mineral density (BMD) rapidly decreases with a consequent high risk of skeletal fragility due to </w:t>
      </w:r>
      <w:proofErr w:type="spellStart"/>
      <w:r w:rsidRPr="00F0550C">
        <w:rPr>
          <w:sz w:val="20"/>
          <w:szCs w:val="20"/>
          <w:lang w:bidi="ar-EG"/>
        </w:rPr>
        <w:t>aromatase</w:t>
      </w:r>
      <w:proofErr w:type="spellEnd"/>
      <w:r w:rsidRPr="00F0550C">
        <w:rPr>
          <w:sz w:val="20"/>
          <w:szCs w:val="20"/>
          <w:lang w:bidi="ar-EG"/>
        </w:rPr>
        <w:t xml:space="preserve"> inhibitor-associated bone loss (AIBL). For the prevention of this adverse event, </w:t>
      </w:r>
      <w:proofErr w:type="spellStart"/>
      <w:r w:rsidRPr="00F0550C">
        <w:rPr>
          <w:sz w:val="20"/>
          <w:szCs w:val="20"/>
          <w:lang w:bidi="ar-EG"/>
        </w:rPr>
        <w:t>antiresoptive</w:t>
      </w:r>
      <w:proofErr w:type="spellEnd"/>
      <w:r w:rsidRPr="00F0550C">
        <w:rPr>
          <w:sz w:val="20"/>
          <w:szCs w:val="20"/>
          <w:lang w:bidi="ar-EG"/>
        </w:rPr>
        <w:t xml:space="preserve"> agents such as </w:t>
      </w:r>
      <w:proofErr w:type="spellStart"/>
      <w:r w:rsidRPr="00F0550C">
        <w:rPr>
          <w:sz w:val="20"/>
          <w:szCs w:val="20"/>
          <w:lang w:bidi="ar-EG"/>
        </w:rPr>
        <w:t>bisphosphonates</w:t>
      </w:r>
      <w:proofErr w:type="spellEnd"/>
      <w:r w:rsidRPr="00F0550C">
        <w:rPr>
          <w:sz w:val="20"/>
          <w:szCs w:val="20"/>
          <w:lang w:bidi="ar-EG"/>
        </w:rPr>
        <w:t xml:space="preserve"> (BPs) are used in combination with AIs.</w:t>
      </w:r>
    </w:p>
    <w:p w:rsidR="00F959BA" w:rsidRPr="00F0550C" w:rsidRDefault="00F959BA" w:rsidP="00E17342">
      <w:pPr>
        <w:bidi w:val="0"/>
        <w:adjustRightInd w:val="0"/>
        <w:snapToGrid w:val="0"/>
        <w:ind w:firstLine="425"/>
        <w:jc w:val="both"/>
        <w:rPr>
          <w:sz w:val="20"/>
          <w:szCs w:val="20"/>
          <w:lang w:bidi="ar-EG"/>
        </w:rPr>
      </w:pPr>
      <w:r w:rsidRPr="00F0550C">
        <w:rPr>
          <w:sz w:val="20"/>
          <w:szCs w:val="20"/>
          <w:lang w:bidi="ar-EG"/>
        </w:rPr>
        <w:t xml:space="preserve">Many randomized controlled trials have evaluated the role </w:t>
      </w:r>
      <w:r w:rsidR="000C6C2F" w:rsidRPr="00F0550C">
        <w:rPr>
          <w:sz w:val="20"/>
          <w:szCs w:val="20"/>
          <w:lang w:bidi="ar-EG"/>
        </w:rPr>
        <w:t xml:space="preserve">of </w:t>
      </w:r>
      <w:proofErr w:type="spellStart"/>
      <w:r w:rsidR="000C6C2F" w:rsidRPr="00F0550C">
        <w:rPr>
          <w:sz w:val="20"/>
          <w:szCs w:val="20"/>
          <w:lang w:bidi="ar-EG"/>
        </w:rPr>
        <w:t>bisphosphonates</w:t>
      </w:r>
      <w:proofErr w:type="spellEnd"/>
      <w:r w:rsidRPr="00F0550C">
        <w:rPr>
          <w:sz w:val="20"/>
          <w:szCs w:val="20"/>
          <w:lang w:bidi="ar-EG"/>
        </w:rPr>
        <w:t xml:space="preserve"> in the adjuvant setting </w:t>
      </w:r>
      <w:r w:rsidR="000C6C2F" w:rsidRPr="00F0550C">
        <w:rPr>
          <w:sz w:val="20"/>
          <w:szCs w:val="20"/>
          <w:lang w:bidi="ar-EG"/>
        </w:rPr>
        <w:t>of breast</w:t>
      </w:r>
      <w:r w:rsidRPr="00F0550C">
        <w:rPr>
          <w:sz w:val="20"/>
          <w:szCs w:val="20"/>
          <w:lang w:bidi="ar-EG"/>
        </w:rPr>
        <w:t xml:space="preserve"> cancer and have shown a beneficial effect on bone loss prevention </w:t>
      </w:r>
      <w:r w:rsidRPr="00F0550C">
        <w:rPr>
          <w:b/>
          <w:bCs/>
          <w:sz w:val="20"/>
          <w:szCs w:val="20"/>
          <w:lang w:bidi="ar-EG"/>
        </w:rPr>
        <w:t>[</w:t>
      </w:r>
      <w:r w:rsidR="00DE1089" w:rsidRPr="00F0550C">
        <w:rPr>
          <w:b/>
          <w:bCs/>
          <w:sz w:val="20"/>
          <w:szCs w:val="20"/>
          <w:lang w:bidi="ar-EG"/>
        </w:rPr>
        <w:t>6</w:t>
      </w:r>
      <w:r w:rsidRPr="00F0550C">
        <w:rPr>
          <w:b/>
          <w:bCs/>
          <w:sz w:val="20"/>
          <w:szCs w:val="20"/>
          <w:lang w:bidi="ar-EG"/>
        </w:rPr>
        <w:t>].</w:t>
      </w:r>
    </w:p>
    <w:p w:rsidR="009F3D77" w:rsidRPr="00F0550C" w:rsidRDefault="00F959BA" w:rsidP="00E17342">
      <w:pPr>
        <w:bidi w:val="0"/>
        <w:adjustRightInd w:val="0"/>
        <w:snapToGrid w:val="0"/>
        <w:ind w:firstLine="425"/>
        <w:jc w:val="both"/>
        <w:rPr>
          <w:sz w:val="20"/>
          <w:szCs w:val="20"/>
          <w:lang w:bidi="ar-EG"/>
        </w:rPr>
      </w:pPr>
      <w:r w:rsidRPr="00F0550C">
        <w:rPr>
          <w:sz w:val="20"/>
          <w:szCs w:val="20"/>
          <w:lang w:bidi="ar-EG"/>
        </w:rPr>
        <w:t>In this pros</w:t>
      </w:r>
      <w:r w:rsidR="005922BD" w:rsidRPr="00F0550C">
        <w:rPr>
          <w:sz w:val="20"/>
          <w:szCs w:val="20"/>
          <w:lang w:bidi="ar-EG"/>
        </w:rPr>
        <w:t>pective study,</w:t>
      </w:r>
      <w:r w:rsidR="004D04E7" w:rsidRPr="00F0550C">
        <w:rPr>
          <w:sz w:val="20"/>
          <w:szCs w:val="20"/>
          <w:lang w:bidi="ar-EG"/>
        </w:rPr>
        <w:t xml:space="preserve"> </w:t>
      </w:r>
      <w:r w:rsidR="005922BD" w:rsidRPr="00F0550C">
        <w:rPr>
          <w:sz w:val="20"/>
          <w:szCs w:val="20"/>
          <w:lang w:bidi="ar-EG"/>
        </w:rPr>
        <w:t>we evaluate changes in bone health by</w:t>
      </w:r>
      <w:r w:rsidR="006D65B3" w:rsidRPr="00F0550C">
        <w:rPr>
          <w:sz w:val="20"/>
          <w:szCs w:val="20"/>
          <w:lang w:bidi="ar-EG"/>
        </w:rPr>
        <w:t xml:space="preserve"> estimation of BMD for ZOL and no</w:t>
      </w:r>
      <w:r w:rsidR="00F0550C">
        <w:rPr>
          <w:rFonts w:eastAsiaTheme="minorEastAsia" w:hint="eastAsia"/>
          <w:sz w:val="20"/>
          <w:szCs w:val="20"/>
          <w:lang w:eastAsia="zh-CN" w:bidi="ar-EG"/>
        </w:rPr>
        <w:t xml:space="preserve"> </w:t>
      </w:r>
      <w:r w:rsidR="006D65B3" w:rsidRPr="00F0550C">
        <w:rPr>
          <w:sz w:val="20"/>
          <w:szCs w:val="20"/>
          <w:lang w:bidi="ar-EG"/>
        </w:rPr>
        <w:t>ZOL group</w:t>
      </w:r>
      <w:r w:rsidR="005922BD" w:rsidRPr="00F0550C">
        <w:rPr>
          <w:sz w:val="20"/>
          <w:szCs w:val="20"/>
          <w:lang w:bidi="ar-EG"/>
        </w:rPr>
        <w:t xml:space="preserve"> at 12 and 24 month</w:t>
      </w:r>
      <w:r w:rsidR="005922BD" w:rsidRPr="00F0550C">
        <w:rPr>
          <w:sz w:val="20"/>
          <w:szCs w:val="20"/>
        </w:rPr>
        <w:t xml:space="preserve"> </w:t>
      </w:r>
      <w:r w:rsidR="005922BD" w:rsidRPr="00F0550C">
        <w:rPr>
          <w:sz w:val="20"/>
          <w:szCs w:val="20"/>
          <w:lang w:bidi="ar-EG"/>
        </w:rPr>
        <w:t xml:space="preserve">in postmenopausal </w:t>
      </w:r>
      <w:r w:rsidR="005922BD" w:rsidRPr="00F0550C">
        <w:rPr>
          <w:sz w:val="20"/>
          <w:szCs w:val="20"/>
          <w:lang w:bidi="ar-EG"/>
        </w:rPr>
        <w:lastRenderedPageBreak/>
        <w:t>women wit</w:t>
      </w:r>
      <w:r w:rsidR="006D65B3" w:rsidRPr="00F0550C">
        <w:rPr>
          <w:sz w:val="20"/>
          <w:szCs w:val="20"/>
          <w:lang w:bidi="ar-EG"/>
        </w:rPr>
        <w:t>h HR+EBC receiving adjuvant AIs with tolerated toxicities</w:t>
      </w:r>
    </w:p>
    <w:p w:rsidR="006803B0" w:rsidRPr="00F0550C" w:rsidRDefault="006803B0" w:rsidP="00E17342">
      <w:pPr>
        <w:bidi w:val="0"/>
        <w:adjustRightInd w:val="0"/>
        <w:snapToGrid w:val="0"/>
        <w:jc w:val="both"/>
        <w:rPr>
          <w:rFonts w:eastAsiaTheme="minorEastAsia"/>
          <w:b/>
          <w:bCs/>
          <w:sz w:val="20"/>
          <w:szCs w:val="20"/>
          <w:lang w:eastAsia="zh-CN" w:bidi="ar-EG"/>
        </w:rPr>
      </w:pPr>
    </w:p>
    <w:p w:rsidR="0058478E" w:rsidRPr="00F0550C" w:rsidRDefault="0006552D" w:rsidP="00E17342">
      <w:pPr>
        <w:bidi w:val="0"/>
        <w:adjustRightInd w:val="0"/>
        <w:snapToGrid w:val="0"/>
        <w:jc w:val="both"/>
        <w:rPr>
          <w:b/>
          <w:bCs/>
          <w:sz w:val="20"/>
          <w:szCs w:val="20"/>
          <w:lang w:bidi="ar-EG"/>
        </w:rPr>
      </w:pPr>
      <w:r w:rsidRPr="00F0550C">
        <w:rPr>
          <w:b/>
          <w:bCs/>
          <w:sz w:val="20"/>
          <w:szCs w:val="20"/>
          <w:lang w:bidi="ar-EG"/>
        </w:rPr>
        <w:t>2. Patients and Methods</w:t>
      </w:r>
    </w:p>
    <w:p w:rsidR="0058478E" w:rsidRPr="00F0550C" w:rsidRDefault="0058478E" w:rsidP="00E17342">
      <w:pPr>
        <w:bidi w:val="0"/>
        <w:adjustRightInd w:val="0"/>
        <w:snapToGrid w:val="0"/>
        <w:ind w:firstLine="425"/>
        <w:jc w:val="both"/>
        <w:rPr>
          <w:rFonts w:eastAsia="MS Mincho"/>
          <w:b/>
          <w:bCs/>
          <w:i/>
          <w:iCs/>
          <w:sz w:val="20"/>
          <w:szCs w:val="20"/>
          <w:lang w:eastAsia="ja-JP" w:bidi="ar-EG"/>
        </w:rPr>
      </w:pPr>
      <w:r w:rsidRPr="00F0550C">
        <w:rPr>
          <w:sz w:val="20"/>
          <w:szCs w:val="20"/>
        </w:rPr>
        <w:t xml:space="preserve">This study included </w:t>
      </w:r>
      <w:r w:rsidR="006D65B3" w:rsidRPr="00F0550C">
        <w:rPr>
          <w:sz w:val="20"/>
          <w:szCs w:val="20"/>
        </w:rPr>
        <w:t>100</w:t>
      </w:r>
      <w:r w:rsidR="00214183" w:rsidRPr="00F0550C">
        <w:rPr>
          <w:sz w:val="20"/>
          <w:szCs w:val="20"/>
        </w:rPr>
        <w:t xml:space="preserve"> </w:t>
      </w:r>
      <w:r w:rsidR="00FB4316" w:rsidRPr="00F0550C">
        <w:rPr>
          <w:sz w:val="20"/>
          <w:szCs w:val="20"/>
        </w:rPr>
        <w:t>postmenopausal</w:t>
      </w:r>
      <w:r w:rsidRPr="00F0550C">
        <w:rPr>
          <w:sz w:val="20"/>
          <w:szCs w:val="20"/>
        </w:rPr>
        <w:t xml:space="preserve"> patients with</w:t>
      </w:r>
      <w:r w:rsidR="000603CF" w:rsidRPr="00F0550C">
        <w:rPr>
          <w:sz w:val="20"/>
          <w:szCs w:val="20"/>
        </w:rPr>
        <w:t xml:space="preserve"> HR+</w:t>
      </w:r>
      <w:r w:rsidR="00FB4316" w:rsidRPr="00F0550C">
        <w:rPr>
          <w:sz w:val="20"/>
          <w:szCs w:val="20"/>
        </w:rPr>
        <w:t>EBC who</w:t>
      </w:r>
      <w:r w:rsidRPr="00F0550C">
        <w:rPr>
          <w:sz w:val="20"/>
          <w:szCs w:val="20"/>
        </w:rPr>
        <w:t xml:space="preserve"> were prospectively treated in Clinical Oncology Department, </w:t>
      </w:r>
      <w:proofErr w:type="spellStart"/>
      <w:r w:rsidRPr="00F0550C">
        <w:rPr>
          <w:sz w:val="20"/>
          <w:szCs w:val="20"/>
        </w:rPr>
        <w:t>Zagazig</w:t>
      </w:r>
      <w:proofErr w:type="spellEnd"/>
      <w:r w:rsidRPr="00F0550C">
        <w:rPr>
          <w:sz w:val="20"/>
          <w:szCs w:val="20"/>
        </w:rPr>
        <w:t xml:space="preserve"> University Hospitals between </w:t>
      </w:r>
      <w:r w:rsidR="00413D1B" w:rsidRPr="00F0550C">
        <w:rPr>
          <w:sz w:val="20"/>
          <w:szCs w:val="20"/>
        </w:rPr>
        <w:t>June 2013 and June 2015</w:t>
      </w:r>
      <w:r w:rsidRPr="00F0550C">
        <w:rPr>
          <w:sz w:val="20"/>
          <w:szCs w:val="20"/>
        </w:rPr>
        <w:t>.</w:t>
      </w:r>
      <w:r w:rsidRPr="00F0550C">
        <w:rPr>
          <w:rFonts w:eastAsia="Calibri"/>
          <w:sz w:val="20"/>
          <w:szCs w:val="20"/>
        </w:rPr>
        <w:t xml:space="preserve"> Patients </w:t>
      </w:r>
      <w:r w:rsidRPr="00F0550C">
        <w:rPr>
          <w:sz w:val="20"/>
          <w:szCs w:val="20"/>
        </w:rPr>
        <w:t xml:space="preserve">were randomized into 2 </w:t>
      </w:r>
      <w:r w:rsidR="00FB4316" w:rsidRPr="00F0550C">
        <w:rPr>
          <w:sz w:val="20"/>
          <w:szCs w:val="20"/>
        </w:rPr>
        <w:t>groups:</w:t>
      </w:r>
      <w:r w:rsidR="00FB4316" w:rsidRPr="00F0550C">
        <w:rPr>
          <w:b/>
          <w:bCs/>
          <w:i/>
          <w:iCs/>
          <w:sz w:val="20"/>
          <w:szCs w:val="20"/>
        </w:rPr>
        <w:t xml:space="preserve"> Group</w:t>
      </w:r>
      <w:r w:rsidR="00413D1B" w:rsidRPr="00F0550C">
        <w:rPr>
          <w:b/>
          <w:bCs/>
          <w:i/>
          <w:iCs/>
          <w:sz w:val="20"/>
          <w:szCs w:val="20"/>
        </w:rPr>
        <w:t xml:space="preserve"> </w:t>
      </w:r>
      <w:proofErr w:type="gramStart"/>
      <w:r w:rsidR="00FB4316" w:rsidRPr="00F0550C">
        <w:rPr>
          <w:b/>
          <w:bCs/>
          <w:i/>
          <w:iCs/>
          <w:sz w:val="20"/>
          <w:szCs w:val="20"/>
        </w:rPr>
        <w:t>A</w:t>
      </w:r>
      <w:proofErr w:type="gramEnd"/>
      <w:r w:rsidR="00F0550C">
        <w:rPr>
          <w:b/>
          <w:bCs/>
          <w:i/>
          <w:iCs/>
          <w:sz w:val="20"/>
          <w:szCs w:val="20"/>
        </w:rPr>
        <w:t xml:space="preserve"> </w:t>
      </w:r>
      <w:r w:rsidR="00FB4316" w:rsidRPr="00F0550C">
        <w:rPr>
          <w:sz w:val="20"/>
          <w:szCs w:val="20"/>
        </w:rPr>
        <w:t xml:space="preserve">patients who did not receive </w:t>
      </w:r>
      <w:proofErr w:type="spellStart"/>
      <w:r w:rsidR="00FB4316" w:rsidRPr="00F0550C">
        <w:rPr>
          <w:sz w:val="20"/>
          <w:szCs w:val="20"/>
        </w:rPr>
        <w:t>ZOl</w:t>
      </w:r>
      <w:proofErr w:type="spellEnd"/>
      <w:r w:rsidR="00413D1B" w:rsidRPr="00F0550C">
        <w:rPr>
          <w:sz w:val="20"/>
          <w:szCs w:val="20"/>
        </w:rPr>
        <w:t xml:space="preserve"> </w:t>
      </w:r>
      <w:r w:rsidR="0075720A" w:rsidRPr="00F0550C">
        <w:rPr>
          <w:sz w:val="20"/>
          <w:szCs w:val="20"/>
        </w:rPr>
        <w:t>acid</w:t>
      </w:r>
      <w:r w:rsidR="00413D1B" w:rsidRPr="00F0550C">
        <w:rPr>
          <w:sz w:val="20"/>
          <w:szCs w:val="20"/>
        </w:rPr>
        <w:t xml:space="preserve"> </w:t>
      </w:r>
      <w:r w:rsidRPr="00F0550C">
        <w:rPr>
          <w:sz w:val="20"/>
          <w:szCs w:val="20"/>
        </w:rPr>
        <w:t xml:space="preserve">and </w:t>
      </w:r>
      <w:r w:rsidRPr="00F0550C">
        <w:rPr>
          <w:b/>
          <w:bCs/>
          <w:i/>
          <w:iCs/>
          <w:sz w:val="20"/>
          <w:szCs w:val="20"/>
        </w:rPr>
        <w:t xml:space="preserve">Group </w:t>
      </w:r>
      <w:r w:rsidR="00FB4316" w:rsidRPr="00F0550C">
        <w:rPr>
          <w:b/>
          <w:bCs/>
          <w:i/>
          <w:iCs/>
          <w:sz w:val="20"/>
          <w:szCs w:val="20"/>
        </w:rPr>
        <w:t xml:space="preserve">B </w:t>
      </w:r>
      <w:r w:rsidR="00FB4316" w:rsidRPr="00F0550C">
        <w:rPr>
          <w:sz w:val="20"/>
          <w:szCs w:val="20"/>
        </w:rPr>
        <w:t xml:space="preserve">patients </w:t>
      </w:r>
      <w:r w:rsidR="000C6C2F" w:rsidRPr="00F0550C">
        <w:rPr>
          <w:sz w:val="20"/>
          <w:szCs w:val="20"/>
        </w:rPr>
        <w:t>who receive</w:t>
      </w:r>
      <w:r w:rsidR="00FB4316" w:rsidRPr="00F0550C">
        <w:rPr>
          <w:sz w:val="20"/>
          <w:szCs w:val="20"/>
        </w:rPr>
        <w:t xml:space="preserve"> ZO</w:t>
      </w:r>
      <w:r w:rsidR="005C429D" w:rsidRPr="00F0550C">
        <w:rPr>
          <w:sz w:val="20"/>
          <w:szCs w:val="20"/>
        </w:rPr>
        <w:t>L</w:t>
      </w:r>
      <w:r w:rsidR="0075720A" w:rsidRPr="00F0550C">
        <w:rPr>
          <w:sz w:val="20"/>
          <w:szCs w:val="20"/>
        </w:rPr>
        <w:t xml:space="preserve"> acid</w:t>
      </w:r>
      <w:r w:rsidR="005C429D" w:rsidRPr="00F0550C">
        <w:rPr>
          <w:sz w:val="20"/>
          <w:szCs w:val="20"/>
        </w:rPr>
        <w:t>.</w:t>
      </w:r>
    </w:p>
    <w:p w:rsidR="0058478E" w:rsidRPr="00F0550C" w:rsidRDefault="002B2B23" w:rsidP="00E17342">
      <w:pPr>
        <w:bidi w:val="0"/>
        <w:adjustRightInd w:val="0"/>
        <w:snapToGrid w:val="0"/>
        <w:ind w:firstLine="425"/>
        <w:jc w:val="both"/>
        <w:rPr>
          <w:sz w:val="20"/>
          <w:szCs w:val="20"/>
        </w:rPr>
      </w:pPr>
      <w:r w:rsidRPr="00F0550C">
        <w:rPr>
          <w:sz w:val="20"/>
          <w:szCs w:val="20"/>
        </w:rPr>
        <w:t>Inclusion c</w:t>
      </w:r>
      <w:r w:rsidR="0058478E" w:rsidRPr="00F0550C">
        <w:rPr>
          <w:sz w:val="20"/>
          <w:szCs w:val="20"/>
        </w:rPr>
        <w:t>riteria</w:t>
      </w:r>
      <w:r w:rsidRPr="00F0550C">
        <w:rPr>
          <w:sz w:val="20"/>
          <w:szCs w:val="20"/>
        </w:rPr>
        <w:t xml:space="preserve"> were: f</w:t>
      </w:r>
      <w:r w:rsidR="0058478E" w:rsidRPr="00F0550C">
        <w:rPr>
          <w:sz w:val="20"/>
          <w:szCs w:val="20"/>
        </w:rPr>
        <w:t xml:space="preserve">emale patient </w:t>
      </w:r>
      <w:r w:rsidR="007B6C82" w:rsidRPr="00F0550C">
        <w:rPr>
          <w:sz w:val="20"/>
          <w:szCs w:val="20"/>
        </w:rPr>
        <w:t>postmenopausal or recently menopausal</w:t>
      </w:r>
      <w:r w:rsidR="0058478E" w:rsidRPr="00F0550C">
        <w:rPr>
          <w:sz w:val="20"/>
          <w:szCs w:val="20"/>
        </w:rPr>
        <w:t xml:space="preserve"> </w:t>
      </w:r>
      <w:r w:rsidR="009F3AC1" w:rsidRPr="00F0550C">
        <w:rPr>
          <w:sz w:val="20"/>
          <w:szCs w:val="20"/>
        </w:rPr>
        <w:t xml:space="preserve">from ovarian ablation or bilateral </w:t>
      </w:r>
      <w:proofErr w:type="spellStart"/>
      <w:r w:rsidR="009F3AC1" w:rsidRPr="00F0550C">
        <w:rPr>
          <w:sz w:val="20"/>
          <w:szCs w:val="20"/>
        </w:rPr>
        <w:t>oophorectomy</w:t>
      </w:r>
      <w:proofErr w:type="spellEnd"/>
      <w:r w:rsidR="009F3AC1" w:rsidRPr="00F0550C">
        <w:rPr>
          <w:sz w:val="20"/>
          <w:szCs w:val="20"/>
        </w:rPr>
        <w:t>,</w:t>
      </w:r>
      <w:r w:rsidR="004D04E7" w:rsidRPr="00F0550C">
        <w:rPr>
          <w:sz w:val="20"/>
          <w:szCs w:val="20"/>
        </w:rPr>
        <w:t xml:space="preserve"> </w:t>
      </w:r>
      <w:r w:rsidR="009F3AC1" w:rsidRPr="00F0550C">
        <w:rPr>
          <w:sz w:val="20"/>
          <w:szCs w:val="20"/>
        </w:rPr>
        <w:t>completed adjuvant treatment (tumor resection,</w:t>
      </w:r>
      <w:r w:rsidR="004D04E7" w:rsidRPr="00F0550C">
        <w:rPr>
          <w:sz w:val="20"/>
          <w:szCs w:val="20"/>
        </w:rPr>
        <w:t xml:space="preserve"> </w:t>
      </w:r>
      <w:r w:rsidR="009F3AC1" w:rsidRPr="00F0550C">
        <w:rPr>
          <w:sz w:val="20"/>
          <w:szCs w:val="20"/>
        </w:rPr>
        <w:t>chemotherapy and or radiotherapy),</w:t>
      </w:r>
      <w:r w:rsidR="004D04E7" w:rsidRPr="00F0550C">
        <w:rPr>
          <w:sz w:val="20"/>
          <w:szCs w:val="20"/>
        </w:rPr>
        <w:t xml:space="preserve"> </w:t>
      </w:r>
      <w:r w:rsidR="009F3AC1" w:rsidRPr="00F0550C">
        <w:rPr>
          <w:sz w:val="20"/>
          <w:szCs w:val="20"/>
        </w:rPr>
        <w:t xml:space="preserve">Eastern Cooperative </w:t>
      </w:r>
      <w:r w:rsidR="000C6C2F" w:rsidRPr="00F0550C">
        <w:rPr>
          <w:sz w:val="20"/>
          <w:szCs w:val="20"/>
        </w:rPr>
        <w:t>Oncology Group</w:t>
      </w:r>
      <w:r w:rsidR="009F3AC1" w:rsidRPr="00F0550C">
        <w:rPr>
          <w:sz w:val="20"/>
          <w:szCs w:val="20"/>
        </w:rPr>
        <w:t xml:space="preserve"> performance status </w:t>
      </w:r>
      <w:r w:rsidR="00732958" w:rsidRPr="00F0550C">
        <w:rPr>
          <w:sz w:val="20"/>
          <w:szCs w:val="20"/>
        </w:rPr>
        <w:t>≤</w:t>
      </w:r>
      <w:r w:rsidR="009F3AC1" w:rsidRPr="00F0550C">
        <w:rPr>
          <w:sz w:val="20"/>
          <w:szCs w:val="20"/>
        </w:rPr>
        <w:t xml:space="preserve"> 2,</w:t>
      </w:r>
      <w:r w:rsidR="00F0550C">
        <w:rPr>
          <w:rFonts w:eastAsiaTheme="minorEastAsia" w:hint="eastAsia"/>
          <w:sz w:val="20"/>
          <w:szCs w:val="20"/>
          <w:lang w:eastAsia="zh-CN"/>
        </w:rPr>
        <w:t xml:space="preserve"> </w:t>
      </w:r>
      <w:r w:rsidR="009F3AC1" w:rsidRPr="00F0550C">
        <w:rPr>
          <w:sz w:val="20"/>
          <w:szCs w:val="20"/>
        </w:rPr>
        <w:t xml:space="preserve">LS and </w:t>
      </w:r>
      <w:r w:rsidR="008D42D9" w:rsidRPr="00F0550C">
        <w:rPr>
          <w:sz w:val="20"/>
          <w:szCs w:val="20"/>
        </w:rPr>
        <w:t>TH BMD T-scores</w:t>
      </w:r>
      <w:r w:rsidR="00732958" w:rsidRPr="00F0550C">
        <w:rPr>
          <w:sz w:val="20"/>
          <w:szCs w:val="20"/>
        </w:rPr>
        <w:t xml:space="preserve"> ≥</w:t>
      </w:r>
      <w:r w:rsidR="008D07E1" w:rsidRPr="00F0550C">
        <w:rPr>
          <w:sz w:val="20"/>
          <w:szCs w:val="20"/>
        </w:rPr>
        <w:t>-</w:t>
      </w:r>
      <w:r w:rsidR="00F0550C">
        <w:rPr>
          <w:sz w:val="20"/>
          <w:szCs w:val="20"/>
        </w:rPr>
        <w:t xml:space="preserve"> </w:t>
      </w:r>
      <w:r w:rsidR="008D42D9" w:rsidRPr="00F0550C">
        <w:rPr>
          <w:sz w:val="20"/>
          <w:szCs w:val="20"/>
        </w:rPr>
        <w:t>2</w:t>
      </w:r>
      <w:r w:rsidR="008D07E1" w:rsidRPr="00F0550C">
        <w:rPr>
          <w:sz w:val="20"/>
          <w:szCs w:val="20"/>
        </w:rPr>
        <w:t>.0</w:t>
      </w:r>
      <w:r w:rsidR="008D42D9" w:rsidRPr="00F0550C">
        <w:rPr>
          <w:sz w:val="20"/>
          <w:szCs w:val="20"/>
        </w:rPr>
        <w:t>.</w:t>
      </w:r>
    </w:p>
    <w:p w:rsidR="0058478E" w:rsidRPr="00F0550C" w:rsidRDefault="0058478E" w:rsidP="00E17342">
      <w:pPr>
        <w:autoSpaceDE w:val="0"/>
        <w:autoSpaceDN w:val="0"/>
        <w:bidi w:val="0"/>
        <w:adjustRightInd w:val="0"/>
        <w:snapToGrid w:val="0"/>
        <w:ind w:firstLine="425"/>
        <w:jc w:val="both"/>
        <w:rPr>
          <w:rFonts w:eastAsiaTheme="minorEastAsia" w:hint="eastAsia"/>
          <w:sz w:val="20"/>
          <w:szCs w:val="20"/>
          <w:lang w:eastAsia="zh-CN"/>
        </w:rPr>
      </w:pPr>
      <w:r w:rsidRPr="00F0550C">
        <w:rPr>
          <w:sz w:val="20"/>
          <w:szCs w:val="20"/>
        </w:rPr>
        <w:t xml:space="preserve">Exclusion </w:t>
      </w:r>
      <w:r w:rsidR="004633F2" w:rsidRPr="00F0550C">
        <w:rPr>
          <w:sz w:val="20"/>
          <w:szCs w:val="20"/>
        </w:rPr>
        <w:t>c</w:t>
      </w:r>
      <w:r w:rsidRPr="00F0550C">
        <w:rPr>
          <w:sz w:val="20"/>
          <w:szCs w:val="20"/>
        </w:rPr>
        <w:t>riteria</w:t>
      </w:r>
      <w:r w:rsidR="004633F2" w:rsidRPr="00F0550C">
        <w:rPr>
          <w:sz w:val="20"/>
          <w:szCs w:val="20"/>
        </w:rPr>
        <w:t xml:space="preserve"> were:</w:t>
      </w:r>
      <w:r w:rsidR="000C6C2F" w:rsidRPr="00F0550C">
        <w:rPr>
          <w:rFonts w:hint="cs"/>
          <w:sz w:val="20"/>
          <w:szCs w:val="20"/>
        </w:rPr>
        <w:t xml:space="preserve"> </w:t>
      </w:r>
      <w:r w:rsidR="001F0087" w:rsidRPr="00F0550C">
        <w:rPr>
          <w:sz w:val="20"/>
          <w:szCs w:val="20"/>
        </w:rPr>
        <w:t>clinical or radiological evidence of distant metastases,</w:t>
      </w:r>
      <w:r w:rsidR="000C6C2F" w:rsidRPr="00F0550C">
        <w:rPr>
          <w:rFonts w:hint="cs"/>
          <w:sz w:val="20"/>
          <w:szCs w:val="20"/>
        </w:rPr>
        <w:t xml:space="preserve"> </w:t>
      </w:r>
      <w:r w:rsidR="001F0087" w:rsidRPr="00F0550C">
        <w:rPr>
          <w:sz w:val="20"/>
          <w:szCs w:val="20"/>
        </w:rPr>
        <w:t xml:space="preserve">existing LS or TH </w:t>
      </w:r>
      <w:r w:rsidR="000C6C2F" w:rsidRPr="00F0550C">
        <w:rPr>
          <w:sz w:val="20"/>
          <w:szCs w:val="20"/>
        </w:rPr>
        <w:t>fracture, or</w:t>
      </w:r>
      <w:r w:rsidR="001F0087" w:rsidRPr="00F0550C">
        <w:rPr>
          <w:sz w:val="20"/>
          <w:szCs w:val="20"/>
        </w:rPr>
        <w:t xml:space="preserve"> history of fragility fracture,</w:t>
      </w:r>
      <w:r w:rsidR="000C6C2F" w:rsidRPr="00F0550C">
        <w:rPr>
          <w:rFonts w:hint="cs"/>
          <w:sz w:val="20"/>
          <w:szCs w:val="20"/>
        </w:rPr>
        <w:t xml:space="preserve"> </w:t>
      </w:r>
      <w:r w:rsidR="001F0087" w:rsidRPr="00F0550C">
        <w:rPr>
          <w:sz w:val="20"/>
          <w:szCs w:val="20"/>
        </w:rPr>
        <w:t xml:space="preserve">renal </w:t>
      </w:r>
      <w:r w:rsidR="000C6C2F" w:rsidRPr="00F0550C">
        <w:rPr>
          <w:sz w:val="20"/>
          <w:szCs w:val="20"/>
        </w:rPr>
        <w:t>dysfunction, other</w:t>
      </w:r>
      <w:r w:rsidR="001F0087" w:rsidRPr="00F0550C">
        <w:rPr>
          <w:sz w:val="20"/>
          <w:szCs w:val="20"/>
        </w:rPr>
        <w:t xml:space="preserve"> malignancies,</w:t>
      </w:r>
      <w:r w:rsidR="000C6C2F" w:rsidRPr="00F0550C">
        <w:rPr>
          <w:rFonts w:hint="cs"/>
          <w:sz w:val="20"/>
          <w:szCs w:val="20"/>
        </w:rPr>
        <w:t xml:space="preserve"> </w:t>
      </w:r>
      <w:r w:rsidR="001F0087" w:rsidRPr="00F0550C">
        <w:rPr>
          <w:sz w:val="20"/>
          <w:szCs w:val="20"/>
        </w:rPr>
        <w:t>or diseases known to affect bone metabolism.</w:t>
      </w:r>
    </w:p>
    <w:p w:rsidR="0058478E" w:rsidRPr="00F0550C" w:rsidRDefault="0058478E" w:rsidP="00E17342">
      <w:pPr>
        <w:bidi w:val="0"/>
        <w:adjustRightInd w:val="0"/>
        <w:snapToGrid w:val="0"/>
        <w:jc w:val="both"/>
        <w:rPr>
          <w:rFonts w:eastAsia="MS Mincho"/>
          <w:b/>
          <w:bCs/>
          <w:sz w:val="20"/>
          <w:szCs w:val="20"/>
          <w:lang w:eastAsia="ja-JP"/>
        </w:rPr>
      </w:pPr>
      <w:r w:rsidRPr="00F0550C">
        <w:rPr>
          <w:rFonts w:eastAsia="MS Mincho"/>
          <w:b/>
          <w:bCs/>
          <w:sz w:val="20"/>
          <w:szCs w:val="20"/>
          <w:lang w:eastAsia="ja-JP"/>
        </w:rPr>
        <w:t>Patient Assessment</w:t>
      </w:r>
    </w:p>
    <w:p w:rsidR="0058478E" w:rsidRPr="00F0550C" w:rsidRDefault="0058478E" w:rsidP="00E17342">
      <w:pPr>
        <w:bidi w:val="0"/>
        <w:adjustRightInd w:val="0"/>
        <w:snapToGrid w:val="0"/>
        <w:ind w:firstLine="425"/>
        <w:jc w:val="both"/>
        <w:rPr>
          <w:sz w:val="20"/>
          <w:szCs w:val="20"/>
        </w:rPr>
      </w:pPr>
      <w:r w:rsidRPr="00F0550C">
        <w:rPr>
          <w:sz w:val="20"/>
          <w:szCs w:val="20"/>
        </w:rPr>
        <w:t>Pre</w:t>
      </w:r>
      <w:r w:rsidR="00B94697" w:rsidRPr="00F0550C">
        <w:rPr>
          <w:sz w:val="20"/>
          <w:szCs w:val="20"/>
        </w:rPr>
        <w:t>treatment</w:t>
      </w:r>
      <w:r w:rsidRPr="00F0550C">
        <w:rPr>
          <w:sz w:val="20"/>
          <w:szCs w:val="20"/>
        </w:rPr>
        <w:t xml:space="preserve"> assessment includes:</w:t>
      </w:r>
      <w:r w:rsidR="004633F2" w:rsidRPr="00F0550C">
        <w:rPr>
          <w:sz w:val="20"/>
          <w:szCs w:val="20"/>
        </w:rPr>
        <w:t xml:space="preserve"> d</w:t>
      </w:r>
      <w:r w:rsidRPr="00F0550C">
        <w:rPr>
          <w:sz w:val="20"/>
          <w:szCs w:val="20"/>
        </w:rPr>
        <w:t>etailed history taking;</w:t>
      </w:r>
      <w:r w:rsidR="004633F2" w:rsidRPr="00F0550C">
        <w:rPr>
          <w:sz w:val="20"/>
          <w:szCs w:val="20"/>
        </w:rPr>
        <w:t xml:space="preserve"> f</w:t>
      </w:r>
      <w:r w:rsidRPr="00F0550C">
        <w:rPr>
          <w:sz w:val="20"/>
          <w:szCs w:val="20"/>
        </w:rPr>
        <w:t>ull physical examination;</w:t>
      </w:r>
      <w:r w:rsidR="00B94697" w:rsidRPr="00F0550C">
        <w:rPr>
          <w:sz w:val="20"/>
          <w:szCs w:val="20"/>
        </w:rPr>
        <w:t xml:space="preserve"> serum </w:t>
      </w:r>
      <w:proofErr w:type="spellStart"/>
      <w:r w:rsidR="00B94697" w:rsidRPr="00F0550C">
        <w:rPr>
          <w:sz w:val="20"/>
          <w:szCs w:val="20"/>
        </w:rPr>
        <w:lastRenderedPageBreak/>
        <w:t>creatinine</w:t>
      </w:r>
      <w:proofErr w:type="spellEnd"/>
      <w:r w:rsidR="00B94697" w:rsidRPr="00F0550C">
        <w:rPr>
          <w:sz w:val="20"/>
          <w:szCs w:val="20"/>
        </w:rPr>
        <w:t xml:space="preserve"> level before each dose of ZOL, BMD at baseline,</w:t>
      </w:r>
      <w:r w:rsidR="00F0550C">
        <w:rPr>
          <w:rFonts w:eastAsiaTheme="minorEastAsia" w:hint="eastAsia"/>
          <w:sz w:val="20"/>
          <w:szCs w:val="20"/>
          <w:lang w:eastAsia="zh-CN"/>
        </w:rPr>
        <w:t xml:space="preserve"> </w:t>
      </w:r>
      <w:r w:rsidR="00B94697" w:rsidRPr="00F0550C">
        <w:rPr>
          <w:sz w:val="20"/>
          <w:szCs w:val="20"/>
        </w:rPr>
        <w:t>12 and 24 months.</w:t>
      </w:r>
    </w:p>
    <w:p w:rsidR="0058478E" w:rsidRPr="00F0550C" w:rsidRDefault="0058478E" w:rsidP="00E17342">
      <w:pPr>
        <w:bidi w:val="0"/>
        <w:adjustRightInd w:val="0"/>
        <w:snapToGrid w:val="0"/>
        <w:jc w:val="both"/>
        <w:rPr>
          <w:rFonts w:eastAsia="MS Mincho"/>
          <w:b/>
          <w:bCs/>
          <w:sz w:val="20"/>
          <w:szCs w:val="20"/>
          <w:lang w:eastAsia="ja-JP"/>
        </w:rPr>
      </w:pPr>
      <w:r w:rsidRPr="00F0550C">
        <w:rPr>
          <w:rFonts w:eastAsia="MS Mincho"/>
          <w:b/>
          <w:bCs/>
          <w:sz w:val="20"/>
          <w:szCs w:val="20"/>
          <w:lang w:eastAsia="ja-JP"/>
        </w:rPr>
        <w:t>Treatment Plan</w:t>
      </w:r>
    </w:p>
    <w:p w:rsidR="00E26F27" w:rsidRPr="00F0550C" w:rsidRDefault="00214183" w:rsidP="00E17342">
      <w:pPr>
        <w:bidi w:val="0"/>
        <w:adjustRightInd w:val="0"/>
        <w:snapToGrid w:val="0"/>
        <w:ind w:firstLine="425"/>
        <w:jc w:val="both"/>
        <w:rPr>
          <w:sz w:val="20"/>
          <w:szCs w:val="20"/>
        </w:rPr>
      </w:pPr>
      <w:r w:rsidRPr="00F0550C">
        <w:rPr>
          <w:sz w:val="20"/>
          <w:szCs w:val="20"/>
        </w:rPr>
        <w:t>P</w:t>
      </w:r>
      <w:r w:rsidR="00192335" w:rsidRPr="00F0550C">
        <w:rPr>
          <w:sz w:val="20"/>
          <w:szCs w:val="20"/>
        </w:rPr>
        <w:t>ost</w:t>
      </w:r>
      <w:r w:rsidRPr="00F0550C">
        <w:rPr>
          <w:sz w:val="20"/>
          <w:szCs w:val="20"/>
        </w:rPr>
        <w:t xml:space="preserve">menopausal </w:t>
      </w:r>
      <w:r w:rsidR="0058478E" w:rsidRPr="00F0550C">
        <w:rPr>
          <w:sz w:val="20"/>
          <w:szCs w:val="20"/>
        </w:rPr>
        <w:t>Patients</w:t>
      </w:r>
      <w:r w:rsidR="00B94697" w:rsidRPr="00F0550C">
        <w:rPr>
          <w:sz w:val="20"/>
          <w:szCs w:val="20"/>
        </w:rPr>
        <w:t xml:space="preserve"> with HR+EBC</w:t>
      </w:r>
      <w:r w:rsidR="0075720A" w:rsidRPr="00F0550C">
        <w:rPr>
          <w:sz w:val="20"/>
          <w:szCs w:val="20"/>
        </w:rPr>
        <w:t xml:space="preserve"> under hormonal therapy with AIs</w:t>
      </w:r>
      <w:r w:rsidR="00B94697" w:rsidRPr="00F0550C">
        <w:rPr>
          <w:sz w:val="20"/>
          <w:szCs w:val="20"/>
        </w:rPr>
        <w:t xml:space="preserve"> </w:t>
      </w:r>
      <w:r w:rsidR="00B94697" w:rsidRPr="00F0550C">
        <w:rPr>
          <w:rFonts w:eastAsia="Calibri"/>
          <w:sz w:val="20"/>
          <w:szCs w:val="20"/>
        </w:rPr>
        <w:t>enrolled</w:t>
      </w:r>
      <w:r w:rsidR="0058478E" w:rsidRPr="00F0550C">
        <w:rPr>
          <w:sz w:val="20"/>
          <w:szCs w:val="20"/>
        </w:rPr>
        <w:t xml:space="preserve"> in this trial were randomized 1:1 into 2 groups: </w:t>
      </w:r>
      <w:r w:rsidR="0058478E" w:rsidRPr="00F0550C">
        <w:rPr>
          <w:b/>
          <w:bCs/>
          <w:i/>
          <w:iCs/>
          <w:sz w:val="20"/>
          <w:szCs w:val="20"/>
        </w:rPr>
        <w:t>Group A</w:t>
      </w:r>
      <w:r w:rsidR="0058478E" w:rsidRPr="00F0550C">
        <w:rPr>
          <w:sz w:val="20"/>
          <w:szCs w:val="20"/>
        </w:rPr>
        <w:t xml:space="preserve"> includes patients who</w:t>
      </w:r>
      <w:r w:rsidR="00B94697" w:rsidRPr="00F0550C">
        <w:rPr>
          <w:sz w:val="20"/>
          <w:szCs w:val="20"/>
        </w:rPr>
        <w:t xml:space="preserve"> </w:t>
      </w:r>
      <w:r w:rsidRPr="00F0550C">
        <w:rPr>
          <w:sz w:val="20"/>
          <w:szCs w:val="20"/>
        </w:rPr>
        <w:t>didn’t</w:t>
      </w:r>
      <w:r w:rsidR="00B94697" w:rsidRPr="00F0550C">
        <w:rPr>
          <w:sz w:val="20"/>
          <w:szCs w:val="20"/>
        </w:rPr>
        <w:t xml:space="preserve"> receive ZOL</w:t>
      </w:r>
      <w:r w:rsidR="0075720A" w:rsidRPr="00F0550C">
        <w:rPr>
          <w:sz w:val="20"/>
          <w:szCs w:val="20"/>
        </w:rPr>
        <w:t xml:space="preserve"> acid</w:t>
      </w:r>
      <w:r w:rsidR="0058478E" w:rsidRPr="00F0550C">
        <w:rPr>
          <w:sz w:val="20"/>
          <w:szCs w:val="20"/>
        </w:rPr>
        <w:t>.</w:t>
      </w:r>
      <w:r w:rsidR="006723EA" w:rsidRPr="00F0550C">
        <w:rPr>
          <w:sz w:val="20"/>
          <w:szCs w:val="20"/>
        </w:rPr>
        <w:t xml:space="preserve"> </w:t>
      </w:r>
      <w:r w:rsidR="00A8042A" w:rsidRPr="00F0550C">
        <w:rPr>
          <w:b/>
          <w:bCs/>
          <w:i/>
          <w:iCs/>
          <w:sz w:val="20"/>
          <w:szCs w:val="20"/>
        </w:rPr>
        <w:t xml:space="preserve">Group </w:t>
      </w:r>
      <w:r w:rsidR="0058478E" w:rsidRPr="00F0550C">
        <w:rPr>
          <w:b/>
          <w:bCs/>
          <w:i/>
          <w:iCs/>
          <w:sz w:val="20"/>
          <w:szCs w:val="20"/>
        </w:rPr>
        <w:t>B</w:t>
      </w:r>
      <w:r w:rsidR="0058478E" w:rsidRPr="00F0550C">
        <w:rPr>
          <w:sz w:val="20"/>
          <w:szCs w:val="20"/>
        </w:rPr>
        <w:t xml:space="preserve"> includes patients who </w:t>
      </w:r>
      <w:r w:rsidRPr="00F0550C">
        <w:rPr>
          <w:sz w:val="20"/>
          <w:szCs w:val="20"/>
        </w:rPr>
        <w:t xml:space="preserve">receive </w:t>
      </w:r>
      <w:proofErr w:type="spellStart"/>
      <w:r w:rsidRPr="00F0550C">
        <w:rPr>
          <w:sz w:val="20"/>
          <w:szCs w:val="20"/>
        </w:rPr>
        <w:t>ZOl</w:t>
      </w:r>
      <w:proofErr w:type="spellEnd"/>
      <w:r w:rsidR="0075720A" w:rsidRPr="00F0550C">
        <w:rPr>
          <w:sz w:val="20"/>
          <w:szCs w:val="20"/>
        </w:rPr>
        <w:t xml:space="preserve"> acid</w:t>
      </w:r>
      <w:r w:rsidR="0058478E" w:rsidRPr="00F0550C">
        <w:rPr>
          <w:sz w:val="20"/>
          <w:szCs w:val="20"/>
        </w:rPr>
        <w:t>.</w:t>
      </w:r>
    </w:p>
    <w:p w:rsidR="00214183" w:rsidRPr="00F0550C" w:rsidRDefault="00214183" w:rsidP="00E17342">
      <w:pPr>
        <w:bidi w:val="0"/>
        <w:adjustRightInd w:val="0"/>
        <w:snapToGrid w:val="0"/>
        <w:ind w:firstLine="425"/>
        <w:jc w:val="both"/>
        <w:rPr>
          <w:sz w:val="20"/>
          <w:szCs w:val="20"/>
        </w:rPr>
      </w:pPr>
      <w:r w:rsidRPr="00F0550C">
        <w:rPr>
          <w:sz w:val="20"/>
          <w:szCs w:val="20"/>
        </w:rPr>
        <w:t>All patients were instructed to take an oral c</w:t>
      </w:r>
      <w:r w:rsidR="00B17F9D" w:rsidRPr="00F0550C">
        <w:rPr>
          <w:sz w:val="20"/>
          <w:szCs w:val="20"/>
        </w:rPr>
        <w:t xml:space="preserve">alcium </w:t>
      </w:r>
      <w:r w:rsidR="0021376F" w:rsidRPr="00F0550C">
        <w:rPr>
          <w:sz w:val="20"/>
          <w:szCs w:val="20"/>
        </w:rPr>
        <w:t>supplement (</w:t>
      </w:r>
      <w:r w:rsidR="00B17F9D" w:rsidRPr="00F0550C">
        <w:rPr>
          <w:sz w:val="20"/>
          <w:szCs w:val="20"/>
        </w:rPr>
        <w:t>1,000-</w:t>
      </w:r>
      <w:r w:rsidR="0021376F" w:rsidRPr="00F0550C">
        <w:rPr>
          <w:sz w:val="20"/>
          <w:szCs w:val="20"/>
        </w:rPr>
        <w:t>1,200mg), multivitamin</w:t>
      </w:r>
      <w:r w:rsidRPr="00F0550C">
        <w:rPr>
          <w:sz w:val="20"/>
          <w:szCs w:val="20"/>
        </w:rPr>
        <w:t xml:space="preserve"> tablet containing vitamin D once d</w:t>
      </w:r>
      <w:r w:rsidR="00192335" w:rsidRPr="00F0550C">
        <w:rPr>
          <w:sz w:val="20"/>
          <w:szCs w:val="20"/>
        </w:rPr>
        <w:t>ai</w:t>
      </w:r>
      <w:r w:rsidRPr="00F0550C">
        <w:rPr>
          <w:sz w:val="20"/>
          <w:szCs w:val="20"/>
        </w:rPr>
        <w:t>ly during the study.</w:t>
      </w:r>
    </w:p>
    <w:p w:rsidR="00214183" w:rsidRPr="00F0550C" w:rsidRDefault="00732C25" w:rsidP="00E17342">
      <w:pPr>
        <w:bidi w:val="0"/>
        <w:adjustRightInd w:val="0"/>
        <w:snapToGrid w:val="0"/>
        <w:ind w:firstLine="425"/>
        <w:jc w:val="both"/>
        <w:rPr>
          <w:sz w:val="20"/>
          <w:szCs w:val="20"/>
        </w:rPr>
      </w:pPr>
      <w:r w:rsidRPr="00F0550C">
        <w:rPr>
          <w:sz w:val="20"/>
          <w:szCs w:val="20"/>
        </w:rPr>
        <w:t>Informed consent was obtained from each patient before e</w:t>
      </w:r>
      <w:r w:rsidR="00192335" w:rsidRPr="00F0550C">
        <w:rPr>
          <w:sz w:val="20"/>
          <w:szCs w:val="20"/>
        </w:rPr>
        <w:t>nroll</w:t>
      </w:r>
      <w:r w:rsidRPr="00F0550C">
        <w:rPr>
          <w:sz w:val="20"/>
          <w:szCs w:val="20"/>
        </w:rPr>
        <w:t>ment.</w:t>
      </w:r>
    </w:p>
    <w:p w:rsidR="00732C25" w:rsidRPr="00F0550C" w:rsidRDefault="00732C25" w:rsidP="00E17342">
      <w:pPr>
        <w:bidi w:val="0"/>
        <w:adjustRightInd w:val="0"/>
        <w:snapToGrid w:val="0"/>
        <w:ind w:firstLine="425"/>
        <w:jc w:val="both"/>
        <w:rPr>
          <w:sz w:val="20"/>
          <w:szCs w:val="20"/>
        </w:rPr>
      </w:pPr>
      <w:r w:rsidRPr="00F0550C">
        <w:rPr>
          <w:sz w:val="20"/>
          <w:szCs w:val="20"/>
        </w:rPr>
        <w:t xml:space="preserve">All patients received </w:t>
      </w:r>
      <w:proofErr w:type="spellStart"/>
      <w:r w:rsidRPr="00F0550C">
        <w:rPr>
          <w:sz w:val="20"/>
          <w:szCs w:val="20"/>
        </w:rPr>
        <w:t>letrezole</w:t>
      </w:r>
      <w:proofErr w:type="spellEnd"/>
      <w:r w:rsidRPr="00F0550C">
        <w:rPr>
          <w:sz w:val="20"/>
          <w:szCs w:val="20"/>
        </w:rPr>
        <w:t xml:space="preserve"> 2.5 mg orally daily until di</w:t>
      </w:r>
      <w:r w:rsidR="00FB4316" w:rsidRPr="00F0550C">
        <w:rPr>
          <w:sz w:val="20"/>
          <w:szCs w:val="20"/>
        </w:rPr>
        <w:t>sease progression and were assigned to either on ZOL treatment or ZOL 4mg IV over 15 minutes every 6 months for 2 years.</w:t>
      </w:r>
    </w:p>
    <w:p w:rsidR="009337F2" w:rsidRPr="00F0550C" w:rsidRDefault="005C429D" w:rsidP="00E17342">
      <w:pPr>
        <w:bidi w:val="0"/>
        <w:adjustRightInd w:val="0"/>
        <w:snapToGrid w:val="0"/>
        <w:jc w:val="both"/>
        <w:rPr>
          <w:rFonts w:eastAsia="MS Mincho"/>
          <w:b/>
          <w:bCs/>
          <w:sz w:val="20"/>
          <w:szCs w:val="20"/>
          <w:lang w:eastAsia="ja-JP"/>
        </w:rPr>
      </w:pPr>
      <w:r w:rsidRPr="00F0550C">
        <w:rPr>
          <w:rFonts w:eastAsia="MS Mincho"/>
          <w:b/>
          <w:bCs/>
          <w:sz w:val="20"/>
          <w:szCs w:val="20"/>
          <w:lang w:eastAsia="ja-JP"/>
        </w:rPr>
        <w:t>Study endpoint and assessment</w:t>
      </w:r>
    </w:p>
    <w:p w:rsidR="00AE6DFC" w:rsidRPr="00F0550C" w:rsidRDefault="00F74204" w:rsidP="00E17342">
      <w:pPr>
        <w:bidi w:val="0"/>
        <w:adjustRightInd w:val="0"/>
        <w:snapToGrid w:val="0"/>
        <w:ind w:firstLine="425"/>
        <w:jc w:val="both"/>
        <w:rPr>
          <w:rFonts w:eastAsia="MS Mincho"/>
          <w:sz w:val="20"/>
          <w:szCs w:val="20"/>
          <w:lang w:eastAsia="ja-JP"/>
        </w:rPr>
      </w:pPr>
      <w:r w:rsidRPr="00F0550C">
        <w:rPr>
          <w:rFonts w:eastAsia="MS Mincho"/>
          <w:sz w:val="20"/>
          <w:szCs w:val="20"/>
          <w:lang w:eastAsia="ja-JP"/>
        </w:rPr>
        <w:t xml:space="preserve">The </w:t>
      </w:r>
      <w:r w:rsidR="00AE6DFC" w:rsidRPr="00F0550C">
        <w:rPr>
          <w:rFonts w:eastAsia="MS Mincho"/>
          <w:sz w:val="20"/>
          <w:szCs w:val="20"/>
          <w:lang w:eastAsia="ja-JP"/>
        </w:rPr>
        <w:t>study endpoint is to evaluate changes in bone health by estimation of</w:t>
      </w:r>
      <w:r w:rsidR="00F0550C">
        <w:rPr>
          <w:rFonts w:eastAsia="MS Mincho"/>
          <w:sz w:val="20"/>
          <w:szCs w:val="20"/>
          <w:lang w:eastAsia="ja-JP"/>
        </w:rPr>
        <w:t xml:space="preserve"> </w:t>
      </w:r>
      <w:r w:rsidR="00B268DD" w:rsidRPr="00F0550C">
        <w:rPr>
          <w:rFonts w:eastAsia="MS Mincho"/>
          <w:sz w:val="20"/>
          <w:szCs w:val="20"/>
          <w:lang w:eastAsia="ja-JP"/>
        </w:rPr>
        <w:t xml:space="preserve">LS and TH </w:t>
      </w:r>
      <w:r w:rsidR="00AE6DFC" w:rsidRPr="00F0550C">
        <w:rPr>
          <w:rFonts w:eastAsia="MS Mincho"/>
          <w:sz w:val="20"/>
          <w:szCs w:val="20"/>
          <w:lang w:eastAsia="ja-JP"/>
        </w:rPr>
        <w:t xml:space="preserve">BMD </w:t>
      </w:r>
      <w:r w:rsidR="00B268DD" w:rsidRPr="00F0550C">
        <w:rPr>
          <w:rFonts w:eastAsia="MS Mincho"/>
          <w:sz w:val="20"/>
          <w:szCs w:val="20"/>
          <w:lang w:eastAsia="ja-JP"/>
        </w:rPr>
        <w:t>for each treatment group as</w:t>
      </w:r>
      <w:r w:rsidR="00AE6DFC" w:rsidRPr="00F0550C">
        <w:rPr>
          <w:rFonts w:eastAsia="MS Mincho"/>
          <w:sz w:val="20"/>
          <w:szCs w:val="20"/>
          <w:lang w:eastAsia="ja-JP"/>
        </w:rPr>
        <w:t xml:space="preserve"> measured by DEXA scan at 12 and 24 months.</w:t>
      </w:r>
    </w:p>
    <w:p w:rsidR="00F15472" w:rsidRPr="00F0550C" w:rsidRDefault="00B268DD" w:rsidP="00E17342">
      <w:pPr>
        <w:bidi w:val="0"/>
        <w:adjustRightInd w:val="0"/>
        <w:snapToGrid w:val="0"/>
        <w:ind w:firstLine="425"/>
        <w:jc w:val="both"/>
        <w:rPr>
          <w:rFonts w:eastAsiaTheme="minorEastAsia" w:hint="eastAsia"/>
          <w:sz w:val="20"/>
          <w:szCs w:val="20"/>
          <w:lang w:eastAsia="zh-CN"/>
        </w:rPr>
      </w:pPr>
      <w:r w:rsidRPr="00F0550C">
        <w:rPr>
          <w:rFonts w:eastAsia="MS Mincho"/>
          <w:sz w:val="20"/>
          <w:szCs w:val="20"/>
          <w:lang w:eastAsia="ja-JP"/>
        </w:rPr>
        <w:t>Adverse events (AEs) were assessed and graded using the National Cancer Institu</w:t>
      </w:r>
      <w:r w:rsidR="00192335" w:rsidRPr="00F0550C">
        <w:rPr>
          <w:rFonts w:eastAsia="MS Mincho"/>
          <w:sz w:val="20"/>
          <w:szCs w:val="20"/>
          <w:lang w:eastAsia="ja-JP"/>
        </w:rPr>
        <w:t>t</w:t>
      </w:r>
      <w:r w:rsidRPr="00F0550C">
        <w:rPr>
          <w:rFonts w:eastAsia="MS Mincho"/>
          <w:sz w:val="20"/>
          <w:szCs w:val="20"/>
          <w:lang w:eastAsia="ja-JP"/>
        </w:rPr>
        <w:t>e’s Common Terminology Criteria for Adverse Events (NCI-CTCAE)</w:t>
      </w:r>
      <w:r w:rsidR="00F0550C">
        <w:rPr>
          <w:rFonts w:eastAsiaTheme="minorEastAsia" w:hint="eastAsia"/>
          <w:sz w:val="20"/>
          <w:szCs w:val="20"/>
          <w:lang w:eastAsia="zh-CN"/>
        </w:rPr>
        <w:t>.</w:t>
      </w:r>
    </w:p>
    <w:p w:rsidR="0006552D" w:rsidRPr="00F0550C" w:rsidRDefault="0006552D" w:rsidP="00E17342">
      <w:pPr>
        <w:bidi w:val="0"/>
        <w:adjustRightInd w:val="0"/>
        <w:snapToGrid w:val="0"/>
        <w:jc w:val="both"/>
        <w:rPr>
          <w:b/>
          <w:bCs/>
          <w:sz w:val="20"/>
          <w:szCs w:val="20"/>
          <w:lang w:bidi="ar-EG"/>
        </w:rPr>
      </w:pPr>
    </w:p>
    <w:p w:rsidR="009235F9" w:rsidRPr="00F0550C" w:rsidRDefault="0006552D" w:rsidP="00E17342">
      <w:pPr>
        <w:bidi w:val="0"/>
        <w:adjustRightInd w:val="0"/>
        <w:snapToGrid w:val="0"/>
        <w:jc w:val="both"/>
        <w:rPr>
          <w:b/>
          <w:bCs/>
          <w:sz w:val="20"/>
          <w:szCs w:val="20"/>
          <w:lang w:bidi="ar-EG"/>
        </w:rPr>
      </w:pPr>
      <w:r w:rsidRPr="00F0550C">
        <w:rPr>
          <w:b/>
          <w:bCs/>
          <w:sz w:val="20"/>
          <w:szCs w:val="20"/>
          <w:lang w:bidi="ar-EG"/>
        </w:rPr>
        <w:t>3. Results</w:t>
      </w:r>
    </w:p>
    <w:p w:rsidR="005C7354" w:rsidRPr="00F0550C" w:rsidRDefault="00BB2F51" w:rsidP="00E17342">
      <w:pPr>
        <w:bidi w:val="0"/>
        <w:adjustRightInd w:val="0"/>
        <w:snapToGrid w:val="0"/>
        <w:ind w:firstLine="425"/>
        <w:jc w:val="both"/>
        <w:rPr>
          <w:sz w:val="20"/>
          <w:szCs w:val="20"/>
          <w:lang w:bidi="ar-EG"/>
        </w:rPr>
      </w:pPr>
      <w:r w:rsidRPr="00F0550C">
        <w:rPr>
          <w:sz w:val="20"/>
          <w:szCs w:val="20"/>
          <w:lang w:bidi="ar-EG"/>
        </w:rPr>
        <w:t xml:space="preserve">Beginning in June 2013 to June </w:t>
      </w:r>
      <w:r w:rsidR="0006552D" w:rsidRPr="00F0550C">
        <w:rPr>
          <w:sz w:val="20"/>
          <w:szCs w:val="20"/>
          <w:lang w:bidi="ar-EG"/>
        </w:rPr>
        <w:t>2015, one</w:t>
      </w:r>
      <w:r w:rsidRPr="00F0550C">
        <w:rPr>
          <w:sz w:val="20"/>
          <w:szCs w:val="20"/>
          <w:lang w:bidi="ar-EG"/>
        </w:rPr>
        <w:t xml:space="preserve"> h</w:t>
      </w:r>
      <w:r w:rsidR="00192335" w:rsidRPr="00F0550C">
        <w:rPr>
          <w:sz w:val="20"/>
          <w:szCs w:val="20"/>
          <w:lang w:bidi="ar-EG"/>
        </w:rPr>
        <w:t>und</w:t>
      </w:r>
      <w:r w:rsidRPr="00F0550C">
        <w:rPr>
          <w:sz w:val="20"/>
          <w:szCs w:val="20"/>
          <w:lang w:bidi="ar-EG"/>
        </w:rPr>
        <w:t>red postmenopausal female patients with HR+EBC</w:t>
      </w:r>
      <w:r w:rsidR="005C7354" w:rsidRPr="00F0550C">
        <w:rPr>
          <w:sz w:val="20"/>
          <w:szCs w:val="20"/>
          <w:lang w:bidi="ar-EG"/>
        </w:rPr>
        <w:t xml:space="preserve"> were enrolled and randomized into two treatment groups.</w:t>
      </w:r>
    </w:p>
    <w:p w:rsidR="002B1FB0" w:rsidRPr="00F0550C" w:rsidRDefault="005C7354" w:rsidP="00E17342">
      <w:pPr>
        <w:bidi w:val="0"/>
        <w:adjustRightInd w:val="0"/>
        <w:snapToGrid w:val="0"/>
        <w:ind w:firstLine="425"/>
        <w:jc w:val="both"/>
        <w:rPr>
          <w:sz w:val="20"/>
          <w:szCs w:val="20"/>
          <w:lang w:bidi="ar-EG"/>
        </w:rPr>
      </w:pPr>
      <w:r w:rsidRPr="00F0550C">
        <w:rPr>
          <w:sz w:val="20"/>
          <w:szCs w:val="20"/>
          <w:lang w:bidi="ar-EG"/>
        </w:rPr>
        <w:t>T</w:t>
      </w:r>
      <w:r w:rsidR="005A7C9F" w:rsidRPr="00F0550C">
        <w:rPr>
          <w:sz w:val="20"/>
          <w:szCs w:val="20"/>
          <w:lang w:bidi="ar-EG"/>
        </w:rPr>
        <w:t>reatment arms were well balanced in age ranged between 49-76 years in Group A and</w:t>
      </w:r>
      <w:r w:rsidR="00E01E5D" w:rsidRPr="00F0550C">
        <w:rPr>
          <w:sz w:val="20"/>
          <w:szCs w:val="20"/>
          <w:lang w:bidi="ar-EG"/>
        </w:rPr>
        <w:t xml:space="preserve"> between 49-79 years in Group B.</w:t>
      </w:r>
    </w:p>
    <w:p w:rsidR="00587D21" w:rsidRPr="00F0550C" w:rsidRDefault="00D36E9B" w:rsidP="00E17342">
      <w:pPr>
        <w:bidi w:val="0"/>
        <w:adjustRightInd w:val="0"/>
        <w:snapToGrid w:val="0"/>
        <w:ind w:firstLine="425"/>
        <w:jc w:val="both"/>
        <w:rPr>
          <w:sz w:val="20"/>
          <w:szCs w:val="20"/>
          <w:lang w:bidi="ar-EG"/>
        </w:rPr>
      </w:pPr>
      <w:r w:rsidRPr="00F0550C">
        <w:rPr>
          <w:sz w:val="20"/>
          <w:szCs w:val="20"/>
          <w:lang w:bidi="ar-EG"/>
        </w:rPr>
        <w:t>Previous treatment with adjuvant chemotherapy was completed in 33 patients (66%) in arm 1, and 36 patients in arm 2 (72%).Ten patients in arm 1(20%), and eight patients in arm 2 (16%) give history of early menopause (≤45</w:t>
      </w:r>
      <w:r w:rsidR="00F0550C">
        <w:rPr>
          <w:rFonts w:eastAsiaTheme="minorEastAsia" w:hint="eastAsia"/>
          <w:sz w:val="20"/>
          <w:szCs w:val="20"/>
          <w:lang w:eastAsia="zh-CN" w:bidi="ar-EG"/>
        </w:rPr>
        <w:t xml:space="preserve"> </w:t>
      </w:r>
      <w:r w:rsidRPr="00F0550C">
        <w:rPr>
          <w:sz w:val="20"/>
          <w:szCs w:val="20"/>
          <w:lang w:bidi="ar-EG"/>
        </w:rPr>
        <w:t>years).</w:t>
      </w:r>
      <w:r w:rsidR="00F0550C">
        <w:rPr>
          <w:sz w:val="20"/>
          <w:szCs w:val="20"/>
          <w:lang w:bidi="ar-EG"/>
        </w:rPr>
        <w:t xml:space="preserve"> </w:t>
      </w:r>
      <w:r w:rsidR="0013491F" w:rsidRPr="00F0550C">
        <w:rPr>
          <w:sz w:val="20"/>
          <w:szCs w:val="20"/>
          <w:lang w:bidi="ar-EG"/>
        </w:rPr>
        <w:t>Eighty</w:t>
      </w:r>
      <w:r w:rsidR="00587D21" w:rsidRPr="00F0550C">
        <w:rPr>
          <w:sz w:val="20"/>
          <w:szCs w:val="20"/>
          <w:lang w:bidi="ar-EG"/>
        </w:rPr>
        <w:t xml:space="preserve"> six patients (86%)</w:t>
      </w:r>
      <w:r w:rsidR="004D04E7" w:rsidRPr="00F0550C">
        <w:rPr>
          <w:sz w:val="20"/>
          <w:szCs w:val="20"/>
          <w:lang w:bidi="ar-EG"/>
        </w:rPr>
        <w:t xml:space="preserve"> </w:t>
      </w:r>
      <w:r w:rsidR="00587D21" w:rsidRPr="00F0550C">
        <w:rPr>
          <w:sz w:val="20"/>
          <w:szCs w:val="20"/>
          <w:lang w:bidi="ar-EG"/>
        </w:rPr>
        <w:t>had invasive duct carcinoma,</w:t>
      </w:r>
      <w:r w:rsidR="004D04E7" w:rsidRPr="00F0550C">
        <w:rPr>
          <w:sz w:val="20"/>
          <w:szCs w:val="20"/>
          <w:lang w:bidi="ar-EG"/>
        </w:rPr>
        <w:t xml:space="preserve"> </w:t>
      </w:r>
      <w:r w:rsidR="00587D21" w:rsidRPr="00F0550C">
        <w:rPr>
          <w:sz w:val="20"/>
          <w:szCs w:val="20"/>
          <w:lang w:bidi="ar-EG"/>
        </w:rPr>
        <w:t xml:space="preserve">14 patients (14%) had </w:t>
      </w:r>
      <w:r w:rsidR="0013491F" w:rsidRPr="00F0550C">
        <w:rPr>
          <w:sz w:val="20"/>
          <w:szCs w:val="20"/>
          <w:lang w:bidi="ar-EG"/>
        </w:rPr>
        <w:t>invasive</w:t>
      </w:r>
      <w:r w:rsidR="00587D21" w:rsidRPr="00F0550C">
        <w:rPr>
          <w:sz w:val="20"/>
          <w:szCs w:val="20"/>
          <w:lang w:bidi="ar-EG"/>
        </w:rPr>
        <w:t xml:space="preserve"> lobular carcinoma</w:t>
      </w:r>
      <w:r w:rsidR="004D04E7" w:rsidRPr="00F0550C">
        <w:rPr>
          <w:sz w:val="20"/>
          <w:szCs w:val="20"/>
          <w:lang w:bidi="ar-EG"/>
        </w:rPr>
        <w:t xml:space="preserve"> </w:t>
      </w:r>
      <w:r w:rsidR="00D61E0F" w:rsidRPr="00F0550C">
        <w:rPr>
          <w:sz w:val="20"/>
          <w:szCs w:val="20"/>
          <w:lang w:bidi="ar-EG"/>
        </w:rPr>
        <w:t xml:space="preserve">Table </w:t>
      </w:r>
      <w:r w:rsidR="0021376F" w:rsidRPr="00F0550C">
        <w:rPr>
          <w:sz w:val="20"/>
          <w:szCs w:val="20"/>
          <w:lang w:bidi="ar-EG"/>
        </w:rPr>
        <w:t>(1)</w:t>
      </w:r>
      <w:r w:rsidR="00D61E0F" w:rsidRPr="00F0550C">
        <w:rPr>
          <w:sz w:val="20"/>
          <w:szCs w:val="20"/>
          <w:lang w:bidi="ar-EG"/>
        </w:rPr>
        <w:t>.</w:t>
      </w:r>
    </w:p>
    <w:p w:rsidR="00587D21" w:rsidRPr="00F0550C" w:rsidRDefault="00587D21" w:rsidP="00E17342">
      <w:pPr>
        <w:bidi w:val="0"/>
        <w:adjustRightInd w:val="0"/>
        <w:snapToGrid w:val="0"/>
        <w:ind w:firstLine="425"/>
        <w:jc w:val="both"/>
        <w:rPr>
          <w:sz w:val="20"/>
          <w:szCs w:val="20"/>
          <w:lang w:bidi="ar-EG"/>
        </w:rPr>
      </w:pPr>
      <w:r w:rsidRPr="00F0550C">
        <w:rPr>
          <w:sz w:val="20"/>
          <w:szCs w:val="20"/>
          <w:lang w:bidi="ar-EG"/>
        </w:rPr>
        <w:t xml:space="preserve">Four patients (4%) had T1 tumor </w:t>
      </w:r>
      <w:r w:rsidR="0021376F" w:rsidRPr="00F0550C">
        <w:rPr>
          <w:sz w:val="20"/>
          <w:szCs w:val="20"/>
          <w:lang w:bidi="ar-EG"/>
        </w:rPr>
        <w:t>size, 39</w:t>
      </w:r>
      <w:r w:rsidRPr="00F0550C">
        <w:rPr>
          <w:sz w:val="20"/>
          <w:szCs w:val="20"/>
          <w:lang w:bidi="ar-EG"/>
        </w:rPr>
        <w:t xml:space="preserve"> patients (39%</w:t>
      </w:r>
      <w:r w:rsidR="0021376F" w:rsidRPr="00F0550C">
        <w:rPr>
          <w:sz w:val="20"/>
          <w:szCs w:val="20"/>
          <w:lang w:bidi="ar-EG"/>
        </w:rPr>
        <w:t>) had</w:t>
      </w:r>
      <w:r w:rsidRPr="00F0550C">
        <w:rPr>
          <w:sz w:val="20"/>
          <w:szCs w:val="20"/>
          <w:lang w:bidi="ar-EG"/>
        </w:rPr>
        <w:t xml:space="preserve"> </w:t>
      </w:r>
      <w:r w:rsidR="0021376F" w:rsidRPr="00F0550C">
        <w:rPr>
          <w:sz w:val="20"/>
          <w:szCs w:val="20"/>
          <w:lang w:bidi="ar-EG"/>
        </w:rPr>
        <w:t xml:space="preserve">T2, </w:t>
      </w:r>
      <w:proofErr w:type="gramStart"/>
      <w:r w:rsidR="0021376F" w:rsidRPr="00F0550C">
        <w:rPr>
          <w:sz w:val="20"/>
          <w:szCs w:val="20"/>
          <w:lang w:bidi="ar-EG"/>
        </w:rPr>
        <w:t>57</w:t>
      </w:r>
      <w:proofErr w:type="gramEnd"/>
      <w:r w:rsidRPr="00F0550C">
        <w:rPr>
          <w:sz w:val="20"/>
          <w:szCs w:val="20"/>
          <w:lang w:bidi="ar-EG"/>
        </w:rPr>
        <w:t xml:space="preserve"> patients (57%) had T3. Thirty one patients had negative lymph nodes (31%)</w:t>
      </w:r>
      <w:r w:rsidR="0021376F" w:rsidRPr="00F0550C">
        <w:rPr>
          <w:sz w:val="20"/>
          <w:szCs w:val="20"/>
          <w:lang w:bidi="ar-EG"/>
        </w:rPr>
        <w:t>, 27</w:t>
      </w:r>
      <w:r w:rsidRPr="00F0550C">
        <w:rPr>
          <w:sz w:val="20"/>
          <w:szCs w:val="20"/>
          <w:lang w:bidi="ar-EG"/>
        </w:rPr>
        <w:t xml:space="preserve"> patients (27%) were </w:t>
      </w:r>
      <w:r w:rsidR="0021376F" w:rsidRPr="00F0550C">
        <w:rPr>
          <w:sz w:val="20"/>
          <w:szCs w:val="20"/>
          <w:lang w:bidi="ar-EG"/>
        </w:rPr>
        <w:t>N1, and</w:t>
      </w:r>
      <w:r w:rsidRPr="00F0550C">
        <w:rPr>
          <w:sz w:val="20"/>
          <w:szCs w:val="20"/>
          <w:lang w:bidi="ar-EG"/>
        </w:rPr>
        <w:t xml:space="preserve"> 42 patients (42%) were N2. Grade one were present in 7 </w:t>
      </w:r>
      <w:r w:rsidR="0021376F" w:rsidRPr="00F0550C">
        <w:rPr>
          <w:sz w:val="20"/>
          <w:szCs w:val="20"/>
          <w:lang w:bidi="ar-EG"/>
        </w:rPr>
        <w:t>patients (</w:t>
      </w:r>
      <w:r w:rsidRPr="00F0550C">
        <w:rPr>
          <w:sz w:val="20"/>
          <w:szCs w:val="20"/>
          <w:lang w:bidi="ar-EG"/>
        </w:rPr>
        <w:t xml:space="preserve">7%), grade </w:t>
      </w:r>
      <w:r w:rsidR="0021376F" w:rsidRPr="00F0550C">
        <w:rPr>
          <w:sz w:val="20"/>
          <w:szCs w:val="20"/>
          <w:lang w:bidi="ar-EG"/>
        </w:rPr>
        <w:t>II were</w:t>
      </w:r>
      <w:r w:rsidRPr="00F0550C">
        <w:rPr>
          <w:sz w:val="20"/>
          <w:szCs w:val="20"/>
          <w:lang w:bidi="ar-EG"/>
        </w:rPr>
        <w:t xml:space="preserve"> in 85 patients</w:t>
      </w:r>
      <w:r w:rsidR="006723EA" w:rsidRPr="00F0550C">
        <w:rPr>
          <w:sz w:val="20"/>
          <w:szCs w:val="20"/>
          <w:lang w:bidi="ar-EG"/>
        </w:rPr>
        <w:t xml:space="preserve"> </w:t>
      </w:r>
      <w:r w:rsidRPr="00F0550C">
        <w:rPr>
          <w:sz w:val="20"/>
          <w:szCs w:val="20"/>
          <w:lang w:bidi="ar-EG"/>
        </w:rPr>
        <w:t>(85%),</w:t>
      </w:r>
      <w:r w:rsidR="006723EA" w:rsidRPr="00F0550C">
        <w:rPr>
          <w:sz w:val="20"/>
          <w:szCs w:val="20"/>
          <w:lang w:bidi="ar-EG"/>
        </w:rPr>
        <w:t xml:space="preserve"> </w:t>
      </w:r>
      <w:r w:rsidRPr="00F0550C">
        <w:rPr>
          <w:sz w:val="20"/>
          <w:szCs w:val="20"/>
          <w:lang w:bidi="ar-EG"/>
        </w:rPr>
        <w:t>and GIII were in 8 patients (8%).</w:t>
      </w:r>
      <w:r w:rsidR="00D61E0F" w:rsidRPr="00F0550C">
        <w:rPr>
          <w:sz w:val="20"/>
          <w:szCs w:val="20"/>
          <w:lang w:bidi="ar-EG"/>
        </w:rPr>
        <w:t xml:space="preserve"> </w:t>
      </w:r>
      <w:proofErr w:type="gramStart"/>
      <w:r w:rsidR="00D61E0F" w:rsidRPr="00F0550C">
        <w:rPr>
          <w:sz w:val="20"/>
          <w:szCs w:val="20"/>
          <w:lang w:bidi="ar-EG"/>
        </w:rPr>
        <w:t xml:space="preserve">Table </w:t>
      </w:r>
      <w:r w:rsidR="0021376F" w:rsidRPr="00F0550C">
        <w:rPr>
          <w:sz w:val="20"/>
          <w:szCs w:val="20"/>
          <w:lang w:bidi="ar-EG"/>
        </w:rPr>
        <w:t>(1)</w:t>
      </w:r>
      <w:r w:rsidR="00D61E0F" w:rsidRPr="00F0550C">
        <w:rPr>
          <w:sz w:val="20"/>
          <w:szCs w:val="20"/>
          <w:lang w:bidi="ar-EG"/>
        </w:rPr>
        <w:t>.</w:t>
      </w:r>
      <w:proofErr w:type="gramEnd"/>
    </w:p>
    <w:p w:rsidR="00587D21" w:rsidRPr="00F0550C" w:rsidRDefault="00587D21" w:rsidP="00E17342">
      <w:pPr>
        <w:bidi w:val="0"/>
        <w:adjustRightInd w:val="0"/>
        <w:snapToGrid w:val="0"/>
        <w:ind w:firstLine="425"/>
        <w:jc w:val="both"/>
        <w:rPr>
          <w:sz w:val="20"/>
          <w:szCs w:val="20"/>
          <w:lang w:bidi="ar-EG"/>
        </w:rPr>
      </w:pPr>
      <w:r w:rsidRPr="00F0550C">
        <w:rPr>
          <w:sz w:val="20"/>
          <w:szCs w:val="20"/>
          <w:lang w:bidi="ar-EG"/>
        </w:rPr>
        <w:t>Estrogen receptors</w:t>
      </w:r>
      <w:r w:rsidR="00F0550C">
        <w:rPr>
          <w:rFonts w:eastAsiaTheme="minorEastAsia" w:hint="eastAsia"/>
          <w:sz w:val="20"/>
          <w:szCs w:val="20"/>
          <w:lang w:eastAsia="zh-CN" w:bidi="ar-EG"/>
        </w:rPr>
        <w:t xml:space="preserve"> </w:t>
      </w:r>
      <w:r w:rsidRPr="00F0550C">
        <w:rPr>
          <w:sz w:val="20"/>
          <w:szCs w:val="20"/>
          <w:lang w:bidi="ar-EG"/>
        </w:rPr>
        <w:t>(ER) were</w:t>
      </w:r>
      <w:r w:rsidR="00D45D14" w:rsidRPr="00F0550C">
        <w:rPr>
          <w:sz w:val="20"/>
          <w:szCs w:val="20"/>
          <w:lang w:bidi="ar-EG"/>
        </w:rPr>
        <w:t xml:space="preserve"> low positive in 40 </w:t>
      </w:r>
      <w:r w:rsidR="0021376F" w:rsidRPr="00F0550C">
        <w:rPr>
          <w:sz w:val="20"/>
          <w:szCs w:val="20"/>
          <w:lang w:bidi="ar-EG"/>
        </w:rPr>
        <w:t>patients (40</w:t>
      </w:r>
      <w:r w:rsidR="00D45D14" w:rsidRPr="00F0550C">
        <w:rPr>
          <w:sz w:val="20"/>
          <w:szCs w:val="20"/>
          <w:lang w:bidi="ar-EG"/>
        </w:rPr>
        <w:t>%</w:t>
      </w:r>
      <w:r w:rsidR="0021376F" w:rsidRPr="00F0550C">
        <w:rPr>
          <w:sz w:val="20"/>
          <w:szCs w:val="20"/>
          <w:lang w:bidi="ar-EG"/>
        </w:rPr>
        <w:t>)</w:t>
      </w:r>
      <w:proofErr w:type="gramStart"/>
      <w:r w:rsidR="0021376F" w:rsidRPr="00F0550C">
        <w:rPr>
          <w:sz w:val="20"/>
          <w:szCs w:val="20"/>
          <w:lang w:bidi="ar-EG"/>
        </w:rPr>
        <w:t>,</w:t>
      </w:r>
      <w:proofErr w:type="gramEnd"/>
      <w:r w:rsidR="00D45D14" w:rsidRPr="00F0550C">
        <w:rPr>
          <w:sz w:val="20"/>
          <w:szCs w:val="20"/>
          <w:lang w:bidi="ar-EG"/>
        </w:rPr>
        <w:t xml:space="preserve"> medium positive </w:t>
      </w:r>
      <w:r w:rsidR="0021376F" w:rsidRPr="00F0550C">
        <w:rPr>
          <w:sz w:val="20"/>
          <w:szCs w:val="20"/>
          <w:lang w:bidi="ar-EG"/>
        </w:rPr>
        <w:t>in 32</w:t>
      </w:r>
      <w:r w:rsidR="00D45D14" w:rsidRPr="00F0550C">
        <w:rPr>
          <w:sz w:val="20"/>
          <w:szCs w:val="20"/>
          <w:lang w:bidi="ar-EG"/>
        </w:rPr>
        <w:t xml:space="preserve"> patients (32</w:t>
      </w:r>
      <w:r w:rsidRPr="00F0550C">
        <w:rPr>
          <w:sz w:val="20"/>
          <w:szCs w:val="20"/>
          <w:lang w:bidi="ar-EG"/>
        </w:rPr>
        <w:t>%)</w:t>
      </w:r>
      <w:r w:rsidR="00D45D14" w:rsidRPr="00F0550C">
        <w:rPr>
          <w:sz w:val="20"/>
          <w:szCs w:val="20"/>
          <w:lang w:bidi="ar-EG"/>
        </w:rPr>
        <w:t>,</w:t>
      </w:r>
      <w:r w:rsidR="00027DB5" w:rsidRPr="00F0550C">
        <w:rPr>
          <w:sz w:val="20"/>
          <w:szCs w:val="20"/>
          <w:lang w:bidi="ar-EG"/>
        </w:rPr>
        <w:t xml:space="preserve"> and 32 patients (32%) had high positive expression</w:t>
      </w:r>
      <w:r w:rsidR="00F0550C">
        <w:rPr>
          <w:sz w:val="20"/>
          <w:szCs w:val="20"/>
          <w:lang w:bidi="ar-EG"/>
        </w:rPr>
        <w:t xml:space="preserve">. </w:t>
      </w:r>
      <w:r w:rsidRPr="00F0550C">
        <w:rPr>
          <w:sz w:val="20"/>
          <w:szCs w:val="20"/>
          <w:lang w:bidi="ar-EG"/>
        </w:rPr>
        <w:t>Progesterone receptors</w:t>
      </w:r>
      <w:r w:rsidR="006723EA" w:rsidRPr="00F0550C">
        <w:rPr>
          <w:sz w:val="20"/>
          <w:szCs w:val="20"/>
          <w:lang w:bidi="ar-EG"/>
        </w:rPr>
        <w:t xml:space="preserve"> </w:t>
      </w:r>
      <w:r w:rsidRPr="00F0550C">
        <w:rPr>
          <w:sz w:val="20"/>
          <w:szCs w:val="20"/>
          <w:lang w:bidi="ar-EG"/>
        </w:rPr>
        <w:t>(PR)</w:t>
      </w:r>
      <w:r w:rsidR="00D45D14" w:rsidRPr="00F0550C">
        <w:rPr>
          <w:sz w:val="20"/>
          <w:szCs w:val="20"/>
          <w:lang w:bidi="ar-EG"/>
        </w:rPr>
        <w:t xml:space="preserve"> were</w:t>
      </w:r>
      <w:r w:rsidRPr="00F0550C">
        <w:rPr>
          <w:sz w:val="20"/>
          <w:szCs w:val="20"/>
          <w:lang w:bidi="ar-EG"/>
        </w:rPr>
        <w:t xml:space="preserve"> low positive in </w:t>
      </w:r>
      <w:r w:rsidR="00D45D14" w:rsidRPr="00F0550C">
        <w:rPr>
          <w:sz w:val="20"/>
          <w:szCs w:val="20"/>
          <w:lang w:bidi="ar-EG"/>
        </w:rPr>
        <w:t>45</w:t>
      </w:r>
      <w:r w:rsidRPr="00F0550C">
        <w:rPr>
          <w:sz w:val="20"/>
          <w:szCs w:val="20"/>
          <w:lang w:bidi="ar-EG"/>
        </w:rPr>
        <w:t xml:space="preserve"> patients (</w:t>
      </w:r>
      <w:r w:rsidR="00D45D14" w:rsidRPr="00F0550C">
        <w:rPr>
          <w:sz w:val="20"/>
          <w:szCs w:val="20"/>
          <w:lang w:bidi="ar-EG"/>
        </w:rPr>
        <w:t>45</w:t>
      </w:r>
      <w:r w:rsidRPr="00F0550C">
        <w:rPr>
          <w:sz w:val="20"/>
          <w:szCs w:val="20"/>
          <w:lang w:bidi="ar-EG"/>
        </w:rPr>
        <w:t>%)</w:t>
      </w:r>
      <w:r w:rsidR="00F0550C">
        <w:rPr>
          <w:sz w:val="20"/>
          <w:szCs w:val="20"/>
          <w:lang w:bidi="ar-EG"/>
        </w:rPr>
        <w:t>,</w:t>
      </w:r>
      <w:r w:rsidR="00F0550C">
        <w:rPr>
          <w:rFonts w:eastAsiaTheme="minorEastAsia" w:hint="eastAsia"/>
          <w:sz w:val="20"/>
          <w:szCs w:val="20"/>
          <w:lang w:eastAsia="zh-CN" w:bidi="ar-EG"/>
        </w:rPr>
        <w:t xml:space="preserve"> </w:t>
      </w:r>
      <w:r w:rsidRPr="00F0550C">
        <w:rPr>
          <w:sz w:val="20"/>
          <w:szCs w:val="20"/>
          <w:lang w:bidi="ar-EG"/>
        </w:rPr>
        <w:t>medium positive in 29</w:t>
      </w:r>
      <w:r w:rsidR="00D45D14" w:rsidRPr="00F0550C">
        <w:rPr>
          <w:sz w:val="20"/>
          <w:szCs w:val="20"/>
          <w:lang w:bidi="ar-EG"/>
        </w:rPr>
        <w:t xml:space="preserve"> </w:t>
      </w:r>
      <w:r w:rsidRPr="00F0550C">
        <w:rPr>
          <w:sz w:val="20"/>
          <w:szCs w:val="20"/>
          <w:lang w:bidi="ar-EG"/>
        </w:rPr>
        <w:t>patients (29%)</w:t>
      </w:r>
      <w:r w:rsidR="00F0550C">
        <w:rPr>
          <w:sz w:val="20"/>
          <w:szCs w:val="20"/>
          <w:lang w:bidi="ar-EG"/>
        </w:rPr>
        <w:t>,</w:t>
      </w:r>
      <w:r w:rsidRPr="00F0550C">
        <w:rPr>
          <w:sz w:val="20"/>
          <w:szCs w:val="20"/>
          <w:lang w:bidi="ar-EG"/>
        </w:rPr>
        <w:t xml:space="preserve"> and high positive in 26 patients (26%)</w:t>
      </w:r>
      <w:r w:rsidR="00F0550C">
        <w:rPr>
          <w:sz w:val="20"/>
          <w:szCs w:val="20"/>
          <w:lang w:bidi="ar-EG"/>
        </w:rPr>
        <w:t>.</w:t>
      </w:r>
      <w:r w:rsidR="00D61E0F" w:rsidRPr="00F0550C">
        <w:rPr>
          <w:sz w:val="20"/>
          <w:szCs w:val="20"/>
          <w:lang w:bidi="ar-EG"/>
        </w:rPr>
        <w:t xml:space="preserve"> </w:t>
      </w:r>
      <w:proofErr w:type="gramStart"/>
      <w:r w:rsidR="00D61E0F" w:rsidRPr="00F0550C">
        <w:rPr>
          <w:sz w:val="20"/>
          <w:szCs w:val="20"/>
          <w:lang w:bidi="ar-EG"/>
        </w:rPr>
        <w:t xml:space="preserve">Table </w:t>
      </w:r>
      <w:r w:rsidR="0021376F" w:rsidRPr="00F0550C">
        <w:rPr>
          <w:sz w:val="20"/>
          <w:szCs w:val="20"/>
          <w:lang w:bidi="ar-EG"/>
        </w:rPr>
        <w:t>(1)</w:t>
      </w:r>
      <w:r w:rsidR="00D61E0F" w:rsidRPr="00F0550C">
        <w:rPr>
          <w:sz w:val="20"/>
          <w:szCs w:val="20"/>
          <w:lang w:bidi="ar-EG"/>
        </w:rPr>
        <w:t>.</w:t>
      </w:r>
      <w:proofErr w:type="gramEnd"/>
    </w:p>
    <w:p w:rsidR="00A8042A" w:rsidRPr="00F0550C" w:rsidRDefault="00A8042A" w:rsidP="00E17342">
      <w:pPr>
        <w:bidi w:val="0"/>
        <w:adjustRightInd w:val="0"/>
        <w:snapToGrid w:val="0"/>
        <w:jc w:val="both"/>
        <w:rPr>
          <w:b/>
          <w:bCs/>
          <w:sz w:val="20"/>
          <w:szCs w:val="20"/>
          <w:lang w:bidi="ar-EG"/>
        </w:rPr>
      </w:pPr>
      <w:r w:rsidRPr="00F0550C">
        <w:rPr>
          <w:b/>
          <w:bCs/>
          <w:sz w:val="20"/>
          <w:szCs w:val="20"/>
          <w:lang w:bidi="ar-EG"/>
        </w:rPr>
        <w:lastRenderedPageBreak/>
        <w:t>BMD analysis:</w:t>
      </w:r>
    </w:p>
    <w:p w:rsidR="00A8042A" w:rsidRPr="00F0550C" w:rsidRDefault="00A8042A" w:rsidP="00E17342">
      <w:pPr>
        <w:bidi w:val="0"/>
        <w:adjustRightInd w:val="0"/>
        <w:snapToGrid w:val="0"/>
        <w:ind w:firstLine="425"/>
        <w:jc w:val="both"/>
        <w:rPr>
          <w:sz w:val="20"/>
          <w:szCs w:val="20"/>
          <w:lang w:bidi="ar-EG"/>
        </w:rPr>
      </w:pPr>
      <w:r w:rsidRPr="00F0550C">
        <w:rPr>
          <w:sz w:val="20"/>
          <w:szCs w:val="20"/>
          <w:lang w:bidi="ar-EG"/>
        </w:rPr>
        <w:t>The percentage change</w:t>
      </w:r>
      <w:r w:rsidR="00B17F9D" w:rsidRPr="00F0550C">
        <w:rPr>
          <w:sz w:val="20"/>
          <w:szCs w:val="20"/>
          <w:lang w:bidi="ar-EG"/>
        </w:rPr>
        <w:t xml:space="preserve"> from baseline</w:t>
      </w:r>
      <w:r w:rsidR="003A5333" w:rsidRPr="00F0550C">
        <w:rPr>
          <w:sz w:val="20"/>
          <w:szCs w:val="20"/>
          <w:lang w:bidi="ar-EG"/>
        </w:rPr>
        <w:t xml:space="preserve"> BMD</w:t>
      </w:r>
      <w:r w:rsidR="00B17F9D" w:rsidRPr="00F0550C">
        <w:rPr>
          <w:sz w:val="20"/>
          <w:szCs w:val="20"/>
          <w:lang w:bidi="ar-EG"/>
        </w:rPr>
        <w:t xml:space="preserve"> at 12 months for group A, LS was -1.9% and +4.8 for group B</w:t>
      </w:r>
      <w:r w:rsidR="003A5333" w:rsidRPr="00F0550C">
        <w:rPr>
          <w:sz w:val="20"/>
          <w:szCs w:val="20"/>
          <w:lang w:bidi="ar-EG"/>
        </w:rPr>
        <w:t>,</w:t>
      </w:r>
      <w:r w:rsidR="006723EA" w:rsidRPr="00F0550C">
        <w:rPr>
          <w:sz w:val="20"/>
          <w:szCs w:val="20"/>
          <w:lang w:bidi="ar-EG"/>
        </w:rPr>
        <w:t xml:space="preserve"> </w:t>
      </w:r>
      <w:r w:rsidR="003A5333" w:rsidRPr="00F0550C">
        <w:rPr>
          <w:sz w:val="20"/>
          <w:szCs w:val="20"/>
          <w:lang w:bidi="ar-EG"/>
        </w:rPr>
        <w:t>with significant absolute difference of 6.7%</w:t>
      </w:r>
      <w:r w:rsidR="00F0550C">
        <w:rPr>
          <w:rFonts w:eastAsiaTheme="minorEastAsia" w:hint="eastAsia"/>
          <w:sz w:val="20"/>
          <w:szCs w:val="20"/>
          <w:lang w:eastAsia="zh-CN" w:bidi="ar-EG"/>
        </w:rPr>
        <w:t xml:space="preserve"> </w:t>
      </w:r>
      <w:r w:rsidR="003A5333" w:rsidRPr="00F0550C">
        <w:rPr>
          <w:sz w:val="20"/>
          <w:szCs w:val="20"/>
          <w:lang w:bidi="ar-EG"/>
        </w:rPr>
        <w:t>(</w:t>
      </w:r>
      <w:r w:rsidR="003A5333" w:rsidRPr="00F0550C">
        <w:rPr>
          <w:i/>
          <w:iCs/>
          <w:sz w:val="20"/>
          <w:szCs w:val="20"/>
          <w:lang w:bidi="ar-EG"/>
        </w:rPr>
        <w:t>P</w:t>
      </w:r>
      <w:r w:rsidR="003A5333" w:rsidRPr="00F0550C">
        <w:rPr>
          <w:sz w:val="20"/>
          <w:szCs w:val="20"/>
          <w:lang w:bidi="ar-EG"/>
        </w:rPr>
        <w:t>&lt;0.02).</w:t>
      </w:r>
      <w:r w:rsidR="00F0550C">
        <w:rPr>
          <w:rFonts w:eastAsiaTheme="minorEastAsia" w:hint="eastAsia"/>
          <w:sz w:val="20"/>
          <w:szCs w:val="20"/>
          <w:lang w:eastAsia="zh-CN" w:bidi="ar-EG"/>
        </w:rPr>
        <w:t xml:space="preserve"> </w:t>
      </w:r>
      <w:r w:rsidR="0013491F" w:rsidRPr="00F0550C">
        <w:rPr>
          <w:sz w:val="20"/>
          <w:szCs w:val="20"/>
          <w:lang w:bidi="ar-EG"/>
        </w:rPr>
        <w:t>Similarly, the</w:t>
      </w:r>
      <w:r w:rsidR="00F0550C">
        <w:rPr>
          <w:sz w:val="20"/>
          <w:szCs w:val="20"/>
          <w:lang w:bidi="ar-EG"/>
        </w:rPr>
        <w:t xml:space="preserve"> </w:t>
      </w:r>
      <w:r w:rsidR="003A5333" w:rsidRPr="00F0550C">
        <w:rPr>
          <w:sz w:val="20"/>
          <w:szCs w:val="20"/>
          <w:lang w:bidi="ar-EG"/>
        </w:rPr>
        <w:t>percentage change from baseline</w:t>
      </w:r>
      <w:r w:rsidR="00A036B5" w:rsidRPr="00F0550C">
        <w:rPr>
          <w:sz w:val="20"/>
          <w:szCs w:val="20"/>
          <w:lang w:bidi="ar-EG"/>
        </w:rPr>
        <w:t xml:space="preserve"> BMD</w:t>
      </w:r>
      <w:r w:rsidR="003A5333" w:rsidRPr="00F0550C">
        <w:rPr>
          <w:sz w:val="20"/>
          <w:szCs w:val="20"/>
          <w:lang w:bidi="ar-EG"/>
        </w:rPr>
        <w:t xml:space="preserve"> at 12 months for group A, </w:t>
      </w:r>
      <w:r w:rsidR="00A036B5" w:rsidRPr="00F0550C">
        <w:rPr>
          <w:sz w:val="20"/>
          <w:szCs w:val="20"/>
          <w:lang w:bidi="ar-EG"/>
        </w:rPr>
        <w:t>TH</w:t>
      </w:r>
      <w:r w:rsidR="003A5333" w:rsidRPr="00F0550C">
        <w:rPr>
          <w:sz w:val="20"/>
          <w:szCs w:val="20"/>
          <w:lang w:bidi="ar-EG"/>
        </w:rPr>
        <w:t xml:space="preserve"> was -</w:t>
      </w:r>
      <w:r w:rsidR="00A036B5" w:rsidRPr="00F0550C">
        <w:rPr>
          <w:sz w:val="20"/>
          <w:szCs w:val="20"/>
          <w:lang w:bidi="ar-EG"/>
        </w:rPr>
        <w:t>0.9</w:t>
      </w:r>
      <w:r w:rsidR="003A5333" w:rsidRPr="00F0550C">
        <w:rPr>
          <w:sz w:val="20"/>
          <w:szCs w:val="20"/>
          <w:lang w:bidi="ar-EG"/>
        </w:rPr>
        <w:t>% and +</w:t>
      </w:r>
      <w:r w:rsidR="00A036B5" w:rsidRPr="00F0550C">
        <w:rPr>
          <w:sz w:val="20"/>
          <w:szCs w:val="20"/>
          <w:lang w:bidi="ar-EG"/>
        </w:rPr>
        <w:t>2.6</w:t>
      </w:r>
      <w:r w:rsidR="003A5333" w:rsidRPr="00F0550C">
        <w:rPr>
          <w:sz w:val="20"/>
          <w:szCs w:val="20"/>
          <w:lang w:bidi="ar-EG"/>
        </w:rPr>
        <w:t xml:space="preserve"> for group B,</w:t>
      </w:r>
      <w:r w:rsidR="006723EA" w:rsidRPr="00F0550C">
        <w:rPr>
          <w:sz w:val="20"/>
          <w:szCs w:val="20"/>
          <w:lang w:bidi="ar-EG"/>
        </w:rPr>
        <w:t xml:space="preserve"> </w:t>
      </w:r>
      <w:r w:rsidR="003A5333" w:rsidRPr="00F0550C">
        <w:rPr>
          <w:sz w:val="20"/>
          <w:szCs w:val="20"/>
          <w:lang w:bidi="ar-EG"/>
        </w:rPr>
        <w:t xml:space="preserve">with significant absolute difference of </w:t>
      </w:r>
      <w:r w:rsidR="00A036B5" w:rsidRPr="00F0550C">
        <w:rPr>
          <w:sz w:val="20"/>
          <w:szCs w:val="20"/>
          <w:lang w:bidi="ar-EG"/>
        </w:rPr>
        <w:t>3.5</w:t>
      </w:r>
      <w:r w:rsidR="003A5333" w:rsidRPr="00F0550C">
        <w:rPr>
          <w:sz w:val="20"/>
          <w:szCs w:val="20"/>
          <w:lang w:bidi="ar-EG"/>
        </w:rPr>
        <w:t>%</w:t>
      </w:r>
      <w:r w:rsidR="00F0550C">
        <w:rPr>
          <w:rFonts w:eastAsiaTheme="minorEastAsia" w:hint="eastAsia"/>
          <w:sz w:val="20"/>
          <w:szCs w:val="20"/>
          <w:lang w:eastAsia="zh-CN" w:bidi="ar-EG"/>
        </w:rPr>
        <w:t xml:space="preserve"> </w:t>
      </w:r>
      <w:r w:rsidR="00F0550C">
        <w:rPr>
          <w:sz w:val="20"/>
          <w:szCs w:val="20"/>
          <w:lang w:bidi="ar-EG"/>
        </w:rPr>
        <w:t>(</w:t>
      </w:r>
      <w:r w:rsidR="001855DE" w:rsidRPr="00F0550C">
        <w:rPr>
          <w:i/>
          <w:iCs/>
          <w:sz w:val="20"/>
          <w:szCs w:val="20"/>
          <w:lang w:bidi="ar-EG"/>
        </w:rPr>
        <w:t>P</w:t>
      </w:r>
      <w:r w:rsidR="001855DE" w:rsidRPr="00F0550C">
        <w:rPr>
          <w:sz w:val="20"/>
          <w:szCs w:val="20"/>
          <w:lang w:bidi="ar-EG"/>
        </w:rPr>
        <w:t xml:space="preserve"> &lt;</w:t>
      </w:r>
      <w:r w:rsidR="0021376F" w:rsidRPr="00F0550C">
        <w:rPr>
          <w:sz w:val="20"/>
          <w:szCs w:val="20"/>
          <w:lang w:bidi="ar-EG"/>
        </w:rPr>
        <w:t>0.064), Table</w:t>
      </w:r>
      <w:r w:rsidR="001855DE" w:rsidRPr="00F0550C">
        <w:rPr>
          <w:sz w:val="20"/>
          <w:szCs w:val="20"/>
          <w:lang w:bidi="ar-EG"/>
        </w:rPr>
        <w:t xml:space="preserve"> </w:t>
      </w:r>
      <w:r w:rsidR="00192335" w:rsidRPr="00F0550C">
        <w:rPr>
          <w:sz w:val="20"/>
          <w:szCs w:val="20"/>
          <w:lang w:bidi="ar-EG"/>
        </w:rPr>
        <w:t>(2</w:t>
      </w:r>
      <w:r w:rsidR="001855DE" w:rsidRPr="00F0550C">
        <w:rPr>
          <w:sz w:val="20"/>
          <w:szCs w:val="20"/>
          <w:lang w:bidi="ar-EG"/>
        </w:rPr>
        <w:t>).</w:t>
      </w:r>
    </w:p>
    <w:p w:rsidR="001855DE" w:rsidRPr="00F0550C" w:rsidRDefault="001855DE" w:rsidP="00E17342">
      <w:pPr>
        <w:bidi w:val="0"/>
        <w:adjustRightInd w:val="0"/>
        <w:snapToGrid w:val="0"/>
        <w:ind w:firstLine="425"/>
        <w:jc w:val="both"/>
        <w:rPr>
          <w:sz w:val="20"/>
          <w:szCs w:val="20"/>
          <w:lang w:bidi="ar-EG"/>
        </w:rPr>
      </w:pPr>
      <w:r w:rsidRPr="00F0550C">
        <w:rPr>
          <w:sz w:val="20"/>
          <w:szCs w:val="20"/>
          <w:lang w:bidi="ar-EG"/>
        </w:rPr>
        <w:t>The percentage change from baseline BMD at 24 months for group A, LS was -3.9% and +5.2</w:t>
      </w:r>
      <w:r w:rsidR="00F0550C">
        <w:rPr>
          <w:rFonts w:eastAsiaTheme="minorEastAsia" w:hint="eastAsia"/>
          <w:sz w:val="20"/>
          <w:szCs w:val="20"/>
          <w:lang w:eastAsia="zh-CN" w:bidi="ar-EG"/>
        </w:rPr>
        <w:t xml:space="preserve"> </w:t>
      </w:r>
      <w:r w:rsidRPr="00F0550C">
        <w:rPr>
          <w:sz w:val="20"/>
          <w:szCs w:val="20"/>
          <w:lang w:bidi="ar-EG"/>
        </w:rPr>
        <w:t>for group B,</w:t>
      </w:r>
      <w:r w:rsidR="00F0550C">
        <w:rPr>
          <w:rFonts w:eastAsiaTheme="minorEastAsia" w:hint="eastAsia"/>
          <w:sz w:val="20"/>
          <w:szCs w:val="20"/>
          <w:lang w:eastAsia="zh-CN" w:bidi="ar-EG"/>
        </w:rPr>
        <w:t xml:space="preserve"> </w:t>
      </w:r>
      <w:r w:rsidRPr="00F0550C">
        <w:rPr>
          <w:sz w:val="20"/>
          <w:szCs w:val="20"/>
          <w:lang w:bidi="ar-EG"/>
        </w:rPr>
        <w:t>with significant absolute difference of 9.2%</w:t>
      </w:r>
      <w:r w:rsidR="00F0550C">
        <w:rPr>
          <w:rFonts w:eastAsiaTheme="minorEastAsia" w:hint="eastAsia"/>
          <w:sz w:val="20"/>
          <w:szCs w:val="20"/>
          <w:lang w:eastAsia="zh-CN" w:bidi="ar-EG"/>
        </w:rPr>
        <w:t xml:space="preserve"> </w:t>
      </w:r>
      <w:r w:rsidRPr="00F0550C">
        <w:rPr>
          <w:sz w:val="20"/>
          <w:szCs w:val="20"/>
          <w:lang w:bidi="ar-EG"/>
        </w:rPr>
        <w:t>(</w:t>
      </w:r>
      <w:r w:rsidRPr="00F0550C">
        <w:rPr>
          <w:i/>
          <w:iCs/>
          <w:sz w:val="20"/>
          <w:szCs w:val="20"/>
          <w:lang w:bidi="ar-EG"/>
        </w:rPr>
        <w:t>P</w:t>
      </w:r>
      <w:r w:rsidRPr="00F0550C">
        <w:rPr>
          <w:sz w:val="20"/>
          <w:szCs w:val="20"/>
          <w:lang w:bidi="ar-EG"/>
        </w:rPr>
        <w:t>&lt;0.004)</w:t>
      </w:r>
      <w:r w:rsidR="00F0550C">
        <w:rPr>
          <w:sz w:val="20"/>
          <w:szCs w:val="20"/>
          <w:lang w:bidi="ar-EG"/>
        </w:rPr>
        <w:t>.</w:t>
      </w:r>
      <w:r w:rsidR="00F0550C">
        <w:rPr>
          <w:rFonts w:eastAsiaTheme="minorEastAsia" w:hint="eastAsia"/>
          <w:sz w:val="20"/>
          <w:szCs w:val="20"/>
          <w:lang w:eastAsia="zh-CN" w:bidi="ar-EG"/>
        </w:rPr>
        <w:t xml:space="preserve"> </w:t>
      </w:r>
      <w:r w:rsidR="0013491F" w:rsidRPr="00F0550C">
        <w:rPr>
          <w:sz w:val="20"/>
          <w:szCs w:val="20"/>
          <w:lang w:bidi="ar-EG"/>
        </w:rPr>
        <w:t>Similarly, the</w:t>
      </w:r>
      <w:r w:rsidR="00F0550C">
        <w:rPr>
          <w:sz w:val="20"/>
          <w:szCs w:val="20"/>
          <w:lang w:bidi="ar-EG"/>
        </w:rPr>
        <w:t xml:space="preserve"> </w:t>
      </w:r>
      <w:r w:rsidRPr="00F0550C">
        <w:rPr>
          <w:sz w:val="20"/>
          <w:szCs w:val="20"/>
          <w:lang w:bidi="ar-EG"/>
        </w:rPr>
        <w:t>percentage change from baseline BMD at 24 months for group A, TH was -1.5% and +3.9 for group B,</w:t>
      </w:r>
      <w:r w:rsidR="00FF47A2" w:rsidRPr="00F0550C">
        <w:rPr>
          <w:sz w:val="20"/>
          <w:szCs w:val="20"/>
          <w:lang w:bidi="ar-EG"/>
        </w:rPr>
        <w:t xml:space="preserve"> </w:t>
      </w:r>
      <w:r w:rsidRPr="00F0550C">
        <w:rPr>
          <w:sz w:val="20"/>
          <w:szCs w:val="20"/>
          <w:lang w:bidi="ar-EG"/>
        </w:rPr>
        <w:t>with significant absolute difference of 5.4%</w:t>
      </w:r>
      <w:r w:rsidR="00F0550C">
        <w:rPr>
          <w:rFonts w:eastAsiaTheme="minorEastAsia" w:hint="eastAsia"/>
          <w:sz w:val="20"/>
          <w:szCs w:val="20"/>
          <w:lang w:eastAsia="zh-CN" w:bidi="ar-EG"/>
        </w:rPr>
        <w:t xml:space="preserve"> </w:t>
      </w:r>
      <w:r w:rsidR="00F0550C">
        <w:rPr>
          <w:sz w:val="20"/>
          <w:szCs w:val="20"/>
          <w:lang w:bidi="ar-EG"/>
        </w:rPr>
        <w:t>(</w:t>
      </w:r>
      <w:r w:rsidR="00B1555D" w:rsidRPr="00F0550C">
        <w:rPr>
          <w:i/>
          <w:iCs/>
          <w:sz w:val="20"/>
          <w:szCs w:val="20"/>
          <w:lang w:bidi="ar-EG"/>
        </w:rPr>
        <w:t>P</w:t>
      </w:r>
      <w:r w:rsidR="00B1555D" w:rsidRPr="00F0550C">
        <w:rPr>
          <w:sz w:val="20"/>
          <w:szCs w:val="20"/>
          <w:lang w:bidi="ar-EG"/>
        </w:rPr>
        <w:t>&lt;0.02)</w:t>
      </w:r>
      <w:r w:rsidR="0021376F" w:rsidRPr="00F0550C">
        <w:rPr>
          <w:sz w:val="20"/>
          <w:szCs w:val="20"/>
          <w:lang w:bidi="ar-EG"/>
        </w:rPr>
        <w:t>, Table</w:t>
      </w:r>
      <w:r w:rsidR="00B1555D" w:rsidRPr="00F0550C">
        <w:rPr>
          <w:sz w:val="20"/>
          <w:szCs w:val="20"/>
          <w:lang w:bidi="ar-EG"/>
        </w:rPr>
        <w:t xml:space="preserve"> </w:t>
      </w:r>
      <w:r w:rsidR="0021376F" w:rsidRPr="00F0550C">
        <w:rPr>
          <w:sz w:val="20"/>
          <w:szCs w:val="20"/>
          <w:lang w:bidi="ar-EG"/>
        </w:rPr>
        <w:t>(2</w:t>
      </w:r>
      <w:r w:rsidR="00B1555D" w:rsidRPr="00F0550C">
        <w:rPr>
          <w:sz w:val="20"/>
          <w:szCs w:val="20"/>
          <w:lang w:bidi="ar-EG"/>
        </w:rPr>
        <w:t>).</w:t>
      </w:r>
    </w:p>
    <w:p w:rsidR="00B1555D" w:rsidRPr="00F0550C" w:rsidRDefault="00B1555D" w:rsidP="00E17342">
      <w:pPr>
        <w:bidi w:val="0"/>
        <w:adjustRightInd w:val="0"/>
        <w:snapToGrid w:val="0"/>
        <w:ind w:firstLine="425"/>
        <w:jc w:val="both"/>
        <w:rPr>
          <w:sz w:val="20"/>
          <w:szCs w:val="20"/>
          <w:lang w:bidi="ar-EG"/>
        </w:rPr>
      </w:pPr>
      <w:r w:rsidRPr="00F0550C">
        <w:rPr>
          <w:sz w:val="20"/>
          <w:szCs w:val="20"/>
          <w:lang w:bidi="ar-EG"/>
        </w:rPr>
        <w:t>Correlation between BMD shift at 12 months evaluation and age there were more patients with decline in BMD with age ≥65,</w:t>
      </w:r>
      <w:r w:rsidR="00F0550C">
        <w:rPr>
          <w:sz w:val="20"/>
          <w:szCs w:val="20"/>
          <w:lang w:bidi="ar-EG"/>
        </w:rPr>
        <w:t xml:space="preserve"> </w:t>
      </w:r>
      <w:r w:rsidRPr="00F0550C">
        <w:rPr>
          <w:sz w:val="20"/>
          <w:szCs w:val="20"/>
          <w:lang w:bidi="ar-EG"/>
        </w:rPr>
        <w:t xml:space="preserve">71.4% versus 69.2% and 33.3% versus 16.2% for arm 1 and 2 respectively. Such differences had on statistic significance </w:t>
      </w:r>
      <w:r w:rsidR="00F0550C">
        <w:rPr>
          <w:sz w:val="20"/>
          <w:szCs w:val="20"/>
          <w:lang w:bidi="ar-EG"/>
        </w:rPr>
        <w:t>(</w:t>
      </w:r>
      <w:r w:rsidRPr="00F0550C">
        <w:rPr>
          <w:i/>
          <w:iCs/>
          <w:sz w:val="20"/>
          <w:szCs w:val="20"/>
          <w:lang w:bidi="ar-EG"/>
        </w:rPr>
        <w:t>p</w:t>
      </w:r>
      <w:r w:rsidRPr="00F0550C">
        <w:rPr>
          <w:sz w:val="20"/>
          <w:szCs w:val="20"/>
          <w:lang w:bidi="ar-EG"/>
        </w:rPr>
        <w:t>= 0.77</w:t>
      </w:r>
      <w:r w:rsidR="00F0550C">
        <w:rPr>
          <w:rFonts w:eastAsiaTheme="minorEastAsia" w:hint="eastAsia"/>
          <w:sz w:val="20"/>
          <w:szCs w:val="20"/>
          <w:lang w:eastAsia="zh-CN" w:bidi="ar-EG"/>
        </w:rPr>
        <w:t xml:space="preserve"> </w:t>
      </w:r>
      <w:r w:rsidRPr="00F0550C">
        <w:rPr>
          <w:sz w:val="20"/>
          <w:szCs w:val="20"/>
          <w:lang w:bidi="ar-EG"/>
        </w:rPr>
        <w:t>&amp;</w:t>
      </w:r>
      <w:r w:rsidR="00F0550C">
        <w:rPr>
          <w:rFonts w:eastAsiaTheme="minorEastAsia" w:hint="eastAsia"/>
          <w:sz w:val="20"/>
          <w:szCs w:val="20"/>
          <w:lang w:eastAsia="zh-CN" w:bidi="ar-EG"/>
        </w:rPr>
        <w:t xml:space="preserve"> </w:t>
      </w:r>
      <w:r w:rsidRPr="00F0550C">
        <w:rPr>
          <w:sz w:val="20"/>
          <w:szCs w:val="20"/>
          <w:lang w:bidi="ar-EG"/>
        </w:rPr>
        <w:t>0.48</w:t>
      </w:r>
      <w:r w:rsidR="00630F71" w:rsidRPr="00F0550C">
        <w:rPr>
          <w:sz w:val="20"/>
          <w:szCs w:val="20"/>
          <w:lang w:bidi="ar-EG"/>
        </w:rPr>
        <w:t xml:space="preserve">), Table </w:t>
      </w:r>
      <w:r w:rsidR="00F0550C">
        <w:rPr>
          <w:sz w:val="20"/>
          <w:szCs w:val="20"/>
          <w:lang w:bidi="ar-EG"/>
        </w:rPr>
        <w:t>(</w:t>
      </w:r>
      <w:r w:rsidR="00192335" w:rsidRPr="00F0550C">
        <w:rPr>
          <w:sz w:val="20"/>
          <w:szCs w:val="20"/>
          <w:lang w:bidi="ar-EG"/>
        </w:rPr>
        <w:t>3</w:t>
      </w:r>
      <w:r w:rsidR="00F0550C">
        <w:rPr>
          <w:sz w:val="20"/>
          <w:szCs w:val="20"/>
          <w:lang w:bidi="ar-EG"/>
        </w:rPr>
        <w:t>)</w:t>
      </w:r>
      <w:r w:rsidR="00630F71" w:rsidRPr="00F0550C">
        <w:rPr>
          <w:sz w:val="20"/>
          <w:szCs w:val="20"/>
          <w:lang w:bidi="ar-EG"/>
        </w:rPr>
        <w:t>.</w:t>
      </w:r>
    </w:p>
    <w:p w:rsidR="006A0E85" w:rsidRPr="00F0550C" w:rsidRDefault="00B1555D" w:rsidP="00E17342">
      <w:pPr>
        <w:bidi w:val="0"/>
        <w:adjustRightInd w:val="0"/>
        <w:snapToGrid w:val="0"/>
        <w:ind w:firstLine="425"/>
        <w:jc w:val="both"/>
        <w:rPr>
          <w:sz w:val="20"/>
          <w:szCs w:val="20"/>
          <w:lang w:bidi="ar-EG"/>
        </w:rPr>
      </w:pPr>
      <w:r w:rsidRPr="00F0550C">
        <w:rPr>
          <w:sz w:val="20"/>
          <w:szCs w:val="20"/>
          <w:lang w:bidi="ar-EG"/>
        </w:rPr>
        <w:t>Correlation between BMD shift at 12 months evaluation and</w:t>
      </w:r>
      <w:r w:rsidR="006A0E85" w:rsidRPr="00F0550C">
        <w:rPr>
          <w:sz w:val="20"/>
          <w:szCs w:val="20"/>
          <w:lang w:bidi="ar-EG"/>
        </w:rPr>
        <w:t xml:space="preserve"> early menopause (≤ 45y)</w:t>
      </w:r>
      <w:r w:rsidR="00F0550C">
        <w:rPr>
          <w:rFonts w:eastAsia="Calibri"/>
          <w:sz w:val="20"/>
          <w:szCs w:val="20"/>
        </w:rPr>
        <w:t>,</w:t>
      </w:r>
      <w:r w:rsidR="00F0550C">
        <w:rPr>
          <w:rFonts w:eastAsiaTheme="minorEastAsia" w:hint="eastAsia"/>
          <w:sz w:val="20"/>
          <w:szCs w:val="20"/>
          <w:lang w:eastAsia="zh-CN"/>
        </w:rPr>
        <w:t xml:space="preserve"> </w:t>
      </w:r>
      <w:r w:rsidR="006A0E85" w:rsidRPr="00F0550C">
        <w:rPr>
          <w:sz w:val="20"/>
          <w:szCs w:val="20"/>
          <w:lang w:bidi="ar-EG"/>
        </w:rPr>
        <w:t xml:space="preserve">patients of arm 1 show more decline in BMD in those without early menopause 68% versus 62.5% for those with early menopause, in arm 2 it was reported for those with early menopause 33.33% versus 20% for those without early menopause. The differences had no statistic significance </w:t>
      </w:r>
      <w:r w:rsidR="0021376F" w:rsidRPr="00F0550C">
        <w:rPr>
          <w:sz w:val="20"/>
          <w:szCs w:val="20"/>
          <w:lang w:bidi="ar-EG"/>
        </w:rPr>
        <w:t>(p</w:t>
      </w:r>
      <w:r w:rsidR="006A0E85" w:rsidRPr="00F0550C">
        <w:rPr>
          <w:sz w:val="20"/>
          <w:szCs w:val="20"/>
          <w:lang w:bidi="ar-EG"/>
        </w:rPr>
        <w:t>= 0.1 &amp;</w:t>
      </w:r>
      <w:r w:rsidR="00E17342">
        <w:rPr>
          <w:rFonts w:eastAsiaTheme="minorEastAsia" w:hint="eastAsia"/>
          <w:sz w:val="20"/>
          <w:szCs w:val="20"/>
          <w:lang w:eastAsia="zh-CN" w:bidi="ar-EG"/>
        </w:rPr>
        <w:t xml:space="preserve"> </w:t>
      </w:r>
      <w:r w:rsidR="006A0E85" w:rsidRPr="00F0550C">
        <w:rPr>
          <w:sz w:val="20"/>
          <w:szCs w:val="20"/>
          <w:lang w:bidi="ar-EG"/>
        </w:rPr>
        <w:t>0.39</w:t>
      </w:r>
      <w:r w:rsidR="00630F71" w:rsidRPr="00F0550C">
        <w:rPr>
          <w:sz w:val="20"/>
          <w:szCs w:val="20"/>
          <w:lang w:bidi="ar-EG"/>
        </w:rPr>
        <w:t xml:space="preserve">), Table </w:t>
      </w:r>
      <w:r w:rsidR="0021376F" w:rsidRPr="00F0550C">
        <w:rPr>
          <w:sz w:val="20"/>
          <w:szCs w:val="20"/>
          <w:lang w:bidi="ar-EG"/>
        </w:rPr>
        <w:t>(3)</w:t>
      </w:r>
      <w:r w:rsidR="00630F71" w:rsidRPr="00F0550C">
        <w:rPr>
          <w:sz w:val="20"/>
          <w:szCs w:val="20"/>
          <w:lang w:bidi="ar-EG"/>
        </w:rPr>
        <w:t>.</w:t>
      </w:r>
    </w:p>
    <w:p w:rsidR="0083252D" w:rsidRPr="00F0550C" w:rsidRDefault="006A0E85" w:rsidP="00E17342">
      <w:pPr>
        <w:bidi w:val="0"/>
        <w:adjustRightInd w:val="0"/>
        <w:snapToGrid w:val="0"/>
        <w:ind w:firstLine="425"/>
        <w:jc w:val="both"/>
        <w:rPr>
          <w:bCs/>
          <w:sz w:val="20"/>
          <w:szCs w:val="20"/>
          <w:lang w:bidi="ar-EG"/>
        </w:rPr>
      </w:pPr>
      <w:r w:rsidRPr="00F0550C">
        <w:rPr>
          <w:sz w:val="20"/>
          <w:szCs w:val="20"/>
          <w:lang w:bidi="ar-EG"/>
        </w:rPr>
        <w:t>Correlation between BMD shift at 12 months evaluation and</w:t>
      </w:r>
      <w:r w:rsidRPr="00F0550C">
        <w:rPr>
          <w:bCs/>
          <w:sz w:val="20"/>
          <w:szCs w:val="20"/>
        </w:rPr>
        <w:t xml:space="preserve"> </w:t>
      </w:r>
      <w:r w:rsidRPr="00F0550C">
        <w:rPr>
          <w:bCs/>
          <w:sz w:val="20"/>
          <w:szCs w:val="20"/>
          <w:lang w:bidi="ar-EG"/>
        </w:rPr>
        <w:t>previous chemotherapy,</w:t>
      </w:r>
      <w:r w:rsidR="0088258C" w:rsidRPr="00F0550C">
        <w:rPr>
          <w:bCs/>
          <w:sz w:val="20"/>
          <w:szCs w:val="20"/>
        </w:rPr>
        <w:t xml:space="preserve"> </w:t>
      </w:r>
      <w:r w:rsidR="0088258C" w:rsidRPr="00F0550C">
        <w:rPr>
          <w:bCs/>
          <w:sz w:val="20"/>
          <w:szCs w:val="20"/>
          <w:lang w:bidi="ar-EG"/>
        </w:rPr>
        <w:t xml:space="preserve">there were more BMD decline in arm 2 for previous </w:t>
      </w:r>
      <w:r w:rsidR="0021376F" w:rsidRPr="00F0550C">
        <w:rPr>
          <w:bCs/>
          <w:sz w:val="20"/>
          <w:szCs w:val="20"/>
          <w:lang w:bidi="ar-EG"/>
        </w:rPr>
        <w:t>chemotherapy administration</w:t>
      </w:r>
      <w:r w:rsidR="0088258C" w:rsidRPr="00F0550C">
        <w:rPr>
          <w:bCs/>
          <w:sz w:val="20"/>
          <w:szCs w:val="20"/>
          <w:lang w:bidi="ar-EG"/>
        </w:rPr>
        <w:t xml:space="preserve"> 27.8% versus 10</w:t>
      </w:r>
      <w:r w:rsidR="0021376F" w:rsidRPr="00F0550C">
        <w:rPr>
          <w:bCs/>
          <w:sz w:val="20"/>
          <w:szCs w:val="20"/>
          <w:lang w:bidi="ar-EG"/>
        </w:rPr>
        <w:t>% for</w:t>
      </w:r>
      <w:r w:rsidR="0088258C" w:rsidRPr="00F0550C">
        <w:rPr>
          <w:bCs/>
          <w:sz w:val="20"/>
          <w:szCs w:val="20"/>
          <w:lang w:bidi="ar-EG"/>
        </w:rPr>
        <w:t xml:space="preserve"> those without previous </w:t>
      </w:r>
      <w:r w:rsidR="0021376F" w:rsidRPr="00F0550C">
        <w:rPr>
          <w:bCs/>
          <w:sz w:val="20"/>
          <w:szCs w:val="20"/>
          <w:lang w:bidi="ar-EG"/>
        </w:rPr>
        <w:t>chemotherapy, in</w:t>
      </w:r>
      <w:r w:rsidR="0088258C" w:rsidRPr="00F0550C">
        <w:rPr>
          <w:bCs/>
          <w:sz w:val="20"/>
          <w:szCs w:val="20"/>
          <w:lang w:bidi="ar-EG"/>
        </w:rPr>
        <w:t xml:space="preserve"> patients of arm 1 the decline was more in those without previous chemotherapy 82.4% versus 58.6% for those with previous chemotherapy. The difference had no statistic significance (</w:t>
      </w:r>
      <w:r w:rsidR="0088258C" w:rsidRPr="00F0550C">
        <w:rPr>
          <w:bCs/>
          <w:i/>
          <w:iCs/>
          <w:sz w:val="20"/>
          <w:szCs w:val="20"/>
          <w:lang w:bidi="ar-EG"/>
        </w:rPr>
        <w:t>p</w:t>
      </w:r>
      <w:r w:rsidR="0088258C" w:rsidRPr="00F0550C">
        <w:rPr>
          <w:bCs/>
          <w:sz w:val="20"/>
          <w:szCs w:val="20"/>
          <w:lang w:bidi="ar-EG"/>
        </w:rPr>
        <w:t>= 0.24 &amp; 0.38</w:t>
      </w:r>
      <w:r w:rsidR="00630F71" w:rsidRPr="00F0550C">
        <w:rPr>
          <w:bCs/>
          <w:sz w:val="20"/>
          <w:szCs w:val="20"/>
          <w:lang w:bidi="ar-EG"/>
        </w:rPr>
        <w:t>),</w:t>
      </w:r>
      <w:r w:rsidR="00630F71" w:rsidRPr="00F0550C">
        <w:rPr>
          <w:sz w:val="20"/>
          <w:szCs w:val="20"/>
          <w:lang w:bidi="ar-EG"/>
        </w:rPr>
        <w:t xml:space="preserve"> </w:t>
      </w:r>
      <w:r w:rsidR="00630F71" w:rsidRPr="00F0550C">
        <w:rPr>
          <w:bCs/>
          <w:sz w:val="20"/>
          <w:szCs w:val="20"/>
          <w:lang w:bidi="ar-EG"/>
        </w:rPr>
        <w:t xml:space="preserve">Table </w:t>
      </w:r>
      <w:r w:rsidR="0021376F" w:rsidRPr="00F0550C">
        <w:rPr>
          <w:bCs/>
          <w:sz w:val="20"/>
          <w:szCs w:val="20"/>
          <w:lang w:bidi="ar-EG"/>
        </w:rPr>
        <w:t>(3)</w:t>
      </w:r>
      <w:r w:rsidR="00630F71" w:rsidRPr="00F0550C">
        <w:rPr>
          <w:bCs/>
          <w:sz w:val="20"/>
          <w:szCs w:val="20"/>
          <w:lang w:bidi="ar-EG"/>
        </w:rPr>
        <w:t>.</w:t>
      </w:r>
    </w:p>
    <w:p w:rsidR="00275931" w:rsidRPr="00F0550C" w:rsidRDefault="0083252D" w:rsidP="00E17342">
      <w:pPr>
        <w:bidi w:val="0"/>
        <w:adjustRightInd w:val="0"/>
        <w:snapToGrid w:val="0"/>
        <w:ind w:firstLine="425"/>
        <w:jc w:val="both"/>
        <w:rPr>
          <w:bCs/>
          <w:sz w:val="20"/>
          <w:szCs w:val="20"/>
          <w:lang w:bidi="ar-EG"/>
        </w:rPr>
      </w:pPr>
      <w:r w:rsidRPr="00F0550C">
        <w:rPr>
          <w:bCs/>
          <w:sz w:val="20"/>
          <w:szCs w:val="20"/>
          <w:lang w:bidi="ar-EG"/>
        </w:rPr>
        <w:t>Toxicity was analyzed according to the NCI-Common Toxicity Criteria scale. The toxicity pattern was generally tolerable, no cases of grade 3-4 toxicity, no treatment related deaths, 26%</w:t>
      </w:r>
      <w:r w:rsidR="00E17342">
        <w:rPr>
          <w:rFonts w:eastAsiaTheme="minorEastAsia" w:hint="eastAsia"/>
          <w:bCs/>
          <w:sz w:val="20"/>
          <w:szCs w:val="20"/>
          <w:lang w:eastAsia="zh-CN" w:bidi="ar-EG"/>
        </w:rPr>
        <w:t xml:space="preserve"> </w:t>
      </w:r>
      <w:r w:rsidRPr="00F0550C">
        <w:rPr>
          <w:bCs/>
          <w:sz w:val="20"/>
          <w:szCs w:val="20"/>
          <w:lang w:bidi="ar-EG"/>
        </w:rPr>
        <w:t xml:space="preserve">of patients in Group A </w:t>
      </w:r>
      <w:proofErr w:type="spellStart"/>
      <w:r w:rsidRPr="00F0550C">
        <w:rPr>
          <w:bCs/>
          <w:sz w:val="20"/>
          <w:szCs w:val="20"/>
          <w:lang w:bidi="ar-EG"/>
        </w:rPr>
        <w:t>vs</w:t>
      </w:r>
      <w:proofErr w:type="spellEnd"/>
      <w:r w:rsidRPr="00F0550C">
        <w:rPr>
          <w:bCs/>
          <w:sz w:val="20"/>
          <w:szCs w:val="20"/>
          <w:lang w:bidi="ar-EG"/>
        </w:rPr>
        <w:t xml:space="preserve"> 36% of patients in Group B had grade 1-2 </w:t>
      </w:r>
      <w:proofErr w:type="spellStart"/>
      <w:r w:rsidRPr="00F0550C">
        <w:rPr>
          <w:bCs/>
          <w:sz w:val="20"/>
          <w:szCs w:val="20"/>
          <w:lang w:bidi="ar-EG"/>
        </w:rPr>
        <w:t>artharalgia</w:t>
      </w:r>
      <w:proofErr w:type="spellEnd"/>
      <w:r w:rsidRPr="00F0550C">
        <w:rPr>
          <w:bCs/>
          <w:sz w:val="20"/>
          <w:szCs w:val="20"/>
          <w:lang w:bidi="ar-EG"/>
        </w:rPr>
        <w:t>, 20%</w:t>
      </w:r>
      <w:r w:rsidR="00E17342">
        <w:rPr>
          <w:rFonts w:eastAsiaTheme="minorEastAsia" w:hint="eastAsia"/>
          <w:bCs/>
          <w:sz w:val="20"/>
          <w:szCs w:val="20"/>
          <w:lang w:eastAsia="zh-CN" w:bidi="ar-EG"/>
        </w:rPr>
        <w:t xml:space="preserve"> </w:t>
      </w:r>
      <w:r w:rsidRPr="00F0550C">
        <w:rPr>
          <w:bCs/>
          <w:sz w:val="20"/>
          <w:szCs w:val="20"/>
          <w:lang w:bidi="ar-EG"/>
        </w:rPr>
        <w:t xml:space="preserve">of patients in Group A </w:t>
      </w:r>
      <w:proofErr w:type="spellStart"/>
      <w:r w:rsidRPr="00F0550C">
        <w:rPr>
          <w:bCs/>
          <w:sz w:val="20"/>
          <w:szCs w:val="20"/>
          <w:lang w:bidi="ar-EG"/>
        </w:rPr>
        <w:t>vs</w:t>
      </w:r>
      <w:proofErr w:type="spellEnd"/>
      <w:r w:rsidRPr="00F0550C">
        <w:rPr>
          <w:bCs/>
          <w:sz w:val="20"/>
          <w:szCs w:val="20"/>
          <w:lang w:bidi="ar-EG"/>
        </w:rPr>
        <w:t xml:space="preserve"> 58% of patients in Group B had grade 1-2 bone pain, 22%</w:t>
      </w:r>
      <w:r w:rsidR="00E17342">
        <w:rPr>
          <w:rFonts w:eastAsiaTheme="minorEastAsia" w:hint="eastAsia"/>
          <w:bCs/>
          <w:sz w:val="20"/>
          <w:szCs w:val="20"/>
          <w:lang w:eastAsia="zh-CN" w:bidi="ar-EG"/>
        </w:rPr>
        <w:t xml:space="preserve"> </w:t>
      </w:r>
      <w:r w:rsidRPr="00F0550C">
        <w:rPr>
          <w:bCs/>
          <w:sz w:val="20"/>
          <w:szCs w:val="20"/>
          <w:lang w:bidi="ar-EG"/>
        </w:rPr>
        <w:t xml:space="preserve">of patients in Group A </w:t>
      </w:r>
      <w:proofErr w:type="spellStart"/>
      <w:r w:rsidRPr="00F0550C">
        <w:rPr>
          <w:bCs/>
          <w:sz w:val="20"/>
          <w:szCs w:val="20"/>
          <w:lang w:bidi="ar-EG"/>
        </w:rPr>
        <w:t>vs</w:t>
      </w:r>
      <w:proofErr w:type="spellEnd"/>
      <w:r w:rsidRPr="00F0550C">
        <w:rPr>
          <w:bCs/>
          <w:sz w:val="20"/>
          <w:szCs w:val="20"/>
          <w:lang w:bidi="ar-EG"/>
        </w:rPr>
        <w:t xml:space="preserve"> 20% of patients in Group B had grade 1-2 </w:t>
      </w:r>
      <w:proofErr w:type="spellStart"/>
      <w:r w:rsidRPr="00F0550C">
        <w:rPr>
          <w:bCs/>
          <w:sz w:val="20"/>
          <w:szCs w:val="20"/>
          <w:lang w:bidi="ar-EG"/>
        </w:rPr>
        <w:t>myalgia</w:t>
      </w:r>
      <w:proofErr w:type="spellEnd"/>
      <w:r w:rsidRPr="00F0550C">
        <w:rPr>
          <w:bCs/>
          <w:sz w:val="20"/>
          <w:szCs w:val="20"/>
          <w:lang w:bidi="ar-EG"/>
        </w:rPr>
        <w:t>, 34%</w:t>
      </w:r>
      <w:r w:rsidR="00E17342">
        <w:rPr>
          <w:rFonts w:eastAsiaTheme="minorEastAsia" w:hint="eastAsia"/>
          <w:bCs/>
          <w:sz w:val="20"/>
          <w:szCs w:val="20"/>
          <w:lang w:eastAsia="zh-CN" w:bidi="ar-EG"/>
        </w:rPr>
        <w:t xml:space="preserve"> </w:t>
      </w:r>
      <w:r w:rsidRPr="00F0550C">
        <w:rPr>
          <w:bCs/>
          <w:sz w:val="20"/>
          <w:szCs w:val="20"/>
          <w:lang w:bidi="ar-EG"/>
        </w:rPr>
        <w:t xml:space="preserve">of patients in Group A </w:t>
      </w:r>
      <w:proofErr w:type="spellStart"/>
      <w:r w:rsidRPr="00F0550C">
        <w:rPr>
          <w:bCs/>
          <w:sz w:val="20"/>
          <w:szCs w:val="20"/>
          <w:lang w:bidi="ar-EG"/>
        </w:rPr>
        <w:t>vs</w:t>
      </w:r>
      <w:proofErr w:type="spellEnd"/>
      <w:r w:rsidRPr="00F0550C">
        <w:rPr>
          <w:bCs/>
          <w:sz w:val="20"/>
          <w:szCs w:val="20"/>
          <w:lang w:bidi="ar-EG"/>
        </w:rPr>
        <w:t xml:space="preserve"> 40% of patients in Group B had grade 1-2 </w:t>
      </w:r>
      <w:r w:rsidR="00BC3F6D" w:rsidRPr="00F0550C">
        <w:rPr>
          <w:bCs/>
          <w:sz w:val="20"/>
          <w:szCs w:val="20"/>
          <w:lang w:bidi="ar-EG"/>
        </w:rPr>
        <w:t>fatigue, 8%</w:t>
      </w:r>
      <w:r w:rsidR="00E17342">
        <w:rPr>
          <w:rFonts w:eastAsiaTheme="minorEastAsia" w:hint="eastAsia"/>
          <w:bCs/>
          <w:sz w:val="20"/>
          <w:szCs w:val="20"/>
          <w:lang w:eastAsia="zh-CN" w:bidi="ar-EG"/>
        </w:rPr>
        <w:t xml:space="preserve"> </w:t>
      </w:r>
      <w:r w:rsidR="00BC3F6D" w:rsidRPr="00F0550C">
        <w:rPr>
          <w:bCs/>
          <w:sz w:val="20"/>
          <w:szCs w:val="20"/>
          <w:lang w:bidi="ar-EG"/>
        </w:rPr>
        <w:t xml:space="preserve">of patients in Group A </w:t>
      </w:r>
      <w:proofErr w:type="spellStart"/>
      <w:r w:rsidR="00BC3F6D" w:rsidRPr="00F0550C">
        <w:rPr>
          <w:bCs/>
          <w:sz w:val="20"/>
          <w:szCs w:val="20"/>
          <w:lang w:bidi="ar-EG"/>
        </w:rPr>
        <w:t>vs</w:t>
      </w:r>
      <w:proofErr w:type="spellEnd"/>
      <w:r w:rsidR="00BC3F6D" w:rsidRPr="00F0550C">
        <w:rPr>
          <w:bCs/>
          <w:sz w:val="20"/>
          <w:szCs w:val="20"/>
          <w:lang w:bidi="ar-EG"/>
        </w:rPr>
        <w:t xml:space="preserve"> 26% of patients in Group B had grade 1-2 fever, 26%</w:t>
      </w:r>
      <w:r w:rsidR="00E17342">
        <w:rPr>
          <w:rFonts w:eastAsiaTheme="minorEastAsia" w:hint="eastAsia"/>
          <w:bCs/>
          <w:sz w:val="20"/>
          <w:szCs w:val="20"/>
          <w:lang w:eastAsia="zh-CN" w:bidi="ar-EG"/>
        </w:rPr>
        <w:t xml:space="preserve"> </w:t>
      </w:r>
      <w:r w:rsidR="00BC3F6D" w:rsidRPr="00F0550C">
        <w:rPr>
          <w:bCs/>
          <w:sz w:val="20"/>
          <w:szCs w:val="20"/>
          <w:lang w:bidi="ar-EG"/>
        </w:rPr>
        <w:t xml:space="preserve">of patients in Group A </w:t>
      </w:r>
      <w:proofErr w:type="spellStart"/>
      <w:r w:rsidR="00BC3F6D" w:rsidRPr="00F0550C">
        <w:rPr>
          <w:bCs/>
          <w:sz w:val="20"/>
          <w:szCs w:val="20"/>
          <w:lang w:bidi="ar-EG"/>
        </w:rPr>
        <w:t>vs</w:t>
      </w:r>
      <w:proofErr w:type="spellEnd"/>
      <w:r w:rsidR="00BC3F6D" w:rsidRPr="00F0550C">
        <w:rPr>
          <w:bCs/>
          <w:sz w:val="20"/>
          <w:szCs w:val="20"/>
          <w:lang w:bidi="ar-EG"/>
        </w:rPr>
        <w:t xml:space="preserve"> 14% of patients in Group B had grade 1-2 headache, 8%</w:t>
      </w:r>
      <w:r w:rsidR="00E17342">
        <w:rPr>
          <w:rFonts w:eastAsiaTheme="minorEastAsia" w:hint="eastAsia"/>
          <w:bCs/>
          <w:sz w:val="20"/>
          <w:szCs w:val="20"/>
          <w:lang w:eastAsia="zh-CN" w:bidi="ar-EG"/>
        </w:rPr>
        <w:t xml:space="preserve"> </w:t>
      </w:r>
      <w:r w:rsidR="00BC3F6D" w:rsidRPr="00F0550C">
        <w:rPr>
          <w:bCs/>
          <w:sz w:val="20"/>
          <w:szCs w:val="20"/>
          <w:lang w:bidi="ar-EG"/>
        </w:rPr>
        <w:t xml:space="preserve">of patients in Group A </w:t>
      </w:r>
      <w:proofErr w:type="spellStart"/>
      <w:r w:rsidR="00BC3F6D" w:rsidRPr="00F0550C">
        <w:rPr>
          <w:bCs/>
          <w:sz w:val="20"/>
          <w:szCs w:val="20"/>
          <w:lang w:bidi="ar-EG"/>
        </w:rPr>
        <w:t>vs</w:t>
      </w:r>
      <w:proofErr w:type="spellEnd"/>
      <w:r w:rsidR="00BC3F6D" w:rsidRPr="00F0550C">
        <w:rPr>
          <w:bCs/>
          <w:sz w:val="20"/>
          <w:szCs w:val="20"/>
          <w:lang w:bidi="ar-EG"/>
        </w:rPr>
        <w:t xml:space="preserve"> 10% of patients in Group B had grade 1 nausea &amp;vomiting, with </w:t>
      </w:r>
      <w:proofErr w:type="spellStart"/>
      <w:r w:rsidR="00BC3F6D" w:rsidRPr="00F0550C">
        <w:rPr>
          <w:bCs/>
          <w:sz w:val="20"/>
          <w:szCs w:val="20"/>
          <w:lang w:bidi="ar-EG"/>
        </w:rPr>
        <w:t>on</w:t>
      </w:r>
      <w:proofErr w:type="spellEnd"/>
      <w:r w:rsidR="00BC3F6D" w:rsidRPr="00F0550C">
        <w:rPr>
          <w:bCs/>
          <w:sz w:val="20"/>
          <w:szCs w:val="20"/>
          <w:lang w:bidi="ar-EG"/>
        </w:rPr>
        <w:t xml:space="preserve"> significant difference between both groups ex</w:t>
      </w:r>
      <w:r w:rsidR="00E17342">
        <w:rPr>
          <w:rFonts w:eastAsiaTheme="minorEastAsia" w:hint="eastAsia"/>
          <w:bCs/>
          <w:sz w:val="20"/>
          <w:szCs w:val="20"/>
          <w:lang w:eastAsia="zh-CN" w:bidi="ar-EG"/>
        </w:rPr>
        <w:t>c</w:t>
      </w:r>
      <w:r w:rsidR="00BC3F6D" w:rsidRPr="00F0550C">
        <w:rPr>
          <w:bCs/>
          <w:sz w:val="20"/>
          <w:szCs w:val="20"/>
          <w:lang w:bidi="ar-EG"/>
        </w:rPr>
        <w:t xml:space="preserve">ept for fever </w:t>
      </w:r>
      <w:r w:rsidR="00F0550C">
        <w:rPr>
          <w:bCs/>
          <w:sz w:val="20"/>
          <w:szCs w:val="20"/>
          <w:lang w:bidi="ar-EG"/>
        </w:rPr>
        <w:t>(</w:t>
      </w:r>
      <w:r w:rsidR="00630F71" w:rsidRPr="00F0550C">
        <w:rPr>
          <w:bCs/>
          <w:i/>
          <w:iCs/>
          <w:sz w:val="20"/>
          <w:szCs w:val="20"/>
          <w:lang w:bidi="ar-EG"/>
        </w:rPr>
        <w:t>P</w:t>
      </w:r>
      <w:r w:rsidR="00630F71" w:rsidRPr="00F0550C">
        <w:rPr>
          <w:bCs/>
          <w:sz w:val="20"/>
          <w:szCs w:val="20"/>
          <w:lang w:bidi="ar-EG"/>
        </w:rPr>
        <w:t>&lt;0.01),</w:t>
      </w:r>
      <w:r w:rsidR="00630F71" w:rsidRPr="00F0550C">
        <w:rPr>
          <w:sz w:val="20"/>
          <w:szCs w:val="20"/>
          <w:lang w:bidi="ar-EG"/>
        </w:rPr>
        <w:t xml:space="preserve"> </w:t>
      </w:r>
      <w:r w:rsidR="00630F71" w:rsidRPr="00F0550C">
        <w:rPr>
          <w:bCs/>
          <w:sz w:val="20"/>
          <w:szCs w:val="20"/>
          <w:lang w:bidi="ar-EG"/>
        </w:rPr>
        <w:t>Table (</w:t>
      </w:r>
      <w:r w:rsidR="00192335" w:rsidRPr="00F0550C">
        <w:rPr>
          <w:bCs/>
          <w:sz w:val="20"/>
          <w:szCs w:val="20"/>
          <w:lang w:bidi="ar-EG"/>
        </w:rPr>
        <w:t>4</w:t>
      </w:r>
      <w:r w:rsidR="00630F71" w:rsidRPr="00F0550C">
        <w:rPr>
          <w:bCs/>
          <w:sz w:val="20"/>
          <w:szCs w:val="20"/>
          <w:lang w:bidi="ar-EG"/>
        </w:rPr>
        <w:t>).</w:t>
      </w:r>
    </w:p>
    <w:p w:rsidR="006803B0" w:rsidRPr="00F0550C" w:rsidRDefault="006803B0" w:rsidP="00E17342">
      <w:pPr>
        <w:bidi w:val="0"/>
        <w:adjustRightInd w:val="0"/>
        <w:snapToGrid w:val="0"/>
        <w:ind w:firstLine="425"/>
        <w:jc w:val="both"/>
        <w:rPr>
          <w:bCs/>
          <w:sz w:val="20"/>
          <w:szCs w:val="20"/>
          <w:lang w:bidi="ar-EG"/>
        </w:rPr>
        <w:sectPr w:rsidR="006803B0" w:rsidRPr="00F0550C" w:rsidSect="00F0550C">
          <w:headerReference w:type="default" r:id="rId13"/>
          <w:footerReference w:type="default" r:id="rId14"/>
          <w:type w:val="continuous"/>
          <w:pgSz w:w="12242" w:h="15842" w:code="1"/>
          <w:pgMar w:top="1440" w:right="1440" w:bottom="1440" w:left="1440" w:header="720" w:footer="720" w:gutter="0"/>
          <w:cols w:num="2" w:space="576"/>
          <w:docGrid w:linePitch="360"/>
        </w:sectPr>
      </w:pPr>
    </w:p>
    <w:p w:rsidR="004D04E7" w:rsidRPr="00F0550C" w:rsidRDefault="004D04E7" w:rsidP="00E17342">
      <w:pPr>
        <w:bidi w:val="0"/>
        <w:adjustRightInd w:val="0"/>
        <w:snapToGrid w:val="0"/>
        <w:jc w:val="center"/>
        <w:rPr>
          <w:b/>
          <w:sz w:val="20"/>
          <w:szCs w:val="20"/>
        </w:rPr>
      </w:pPr>
      <w:r w:rsidRPr="00F0550C">
        <w:rPr>
          <w:b/>
          <w:sz w:val="20"/>
          <w:szCs w:val="20"/>
        </w:rPr>
        <w:lastRenderedPageBreak/>
        <w:t>Table (</w:t>
      </w:r>
      <w:r w:rsidR="0021376F" w:rsidRPr="00F0550C">
        <w:rPr>
          <w:b/>
          <w:sz w:val="20"/>
          <w:szCs w:val="20"/>
        </w:rPr>
        <w:t>1)</w:t>
      </w:r>
      <w:r w:rsidRPr="00F0550C">
        <w:rPr>
          <w:b/>
          <w:sz w:val="20"/>
          <w:szCs w:val="20"/>
        </w:rPr>
        <w:t xml:space="preserve">: </w:t>
      </w:r>
      <w:proofErr w:type="spellStart"/>
      <w:r w:rsidRPr="00F0550C">
        <w:rPr>
          <w:b/>
          <w:sz w:val="20"/>
          <w:szCs w:val="20"/>
        </w:rPr>
        <w:t>Clinico</w:t>
      </w:r>
      <w:proofErr w:type="spellEnd"/>
      <w:r w:rsidRPr="00F0550C">
        <w:rPr>
          <w:b/>
          <w:sz w:val="20"/>
          <w:szCs w:val="20"/>
        </w:rPr>
        <w:t>-pathological characteristics of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29" w:type="dxa"/>
          <w:right w:w="115" w:type="dxa"/>
        </w:tblCellMar>
        <w:tblLook w:val="00A0"/>
      </w:tblPr>
      <w:tblGrid>
        <w:gridCol w:w="3077"/>
        <w:gridCol w:w="2748"/>
        <w:gridCol w:w="2748"/>
        <w:gridCol w:w="933"/>
      </w:tblGrid>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b/>
                <w:color w:val="000000"/>
                <w:sz w:val="20"/>
                <w:szCs w:val="20"/>
              </w:rPr>
            </w:pPr>
            <w:r w:rsidRPr="00F0550C">
              <w:rPr>
                <w:b/>
                <w:color w:val="000000"/>
                <w:sz w:val="20"/>
                <w:szCs w:val="20"/>
              </w:rPr>
              <w:t>Patient characteristics</w:t>
            </w:r>
          </w:p>
        </w:tc>
        <w:tc>
          <w:tcPr>
            <w:tcW w:w="1445" w:type="pct"/>
            <w:vAlign w:val="center"/>
          </w:tcPr>
          <w:p w:rsidR="004D04E7" w:rsidRPr="00F0550C" w:rsidRDefault="004D04E7" w:rsidP="00E17342">
            <w:pPr>
              <w:pStyle w:val="NoSpacing"/>
              <w:bidi w:val="0"/>
              <w:adjustRightInd w:val="0"/>
              <w:snapToGrid w:val="0"/>
              <w:jc w:val="both"/>
              <w:rPr>
                <w:b/>
                <w:color w:val="000000"/>
                <w:sz w:val="20"/>
                <w:szCs w:val="20"/>
              </w:rPr>
            </w:pPr>
            <w:r w:rsidRPr="00F0550C">
              <w:rPr>
                <w:b/>
                <w:color w:val="000000"/>
                <w:sz w:val="20"/>
                <w:szCs w:val="20"/>
              </w:rPr>
              <w:t>Arm-1</w:t>
            </w:r>
            <w:r w:rsidR="00F0550C">
              <w:rPr>
                <w:b/>
                <w:color w:val="000000"/>
                <w:sz w:val="20"/>
                <w:szCs w:val="20"/>
              </w:rPr>
              <w:t xml:space="preserve"> </w:t>
            </w:r>
            <w:r w:rsidRPr="00F0550C">
              <w:rPr>
                <w:b/>
                <w:color w:val="000000"/>
                <w:sz w:val="20"/>
                <w:szCs w:val="20"/>
              </w:rPr>
              <w:t>No (%)</w:t>
            </w:r>
            <w:r w:rsidR="00E17342">
              <w:rPr>
                <w:rFonts w:eastAsiaTheme="minorEastAsia" w:hint="eastAsia"/>
                <w:b/>
                <w:color w:val="000000"/>
                <w:sz w:val="20"/>
                <w:szCs w:val="20"/>
                <w:lang w:eastAsia="zh-CN"/>
              </w:rPr>
              <w:t xml:space="preserve"> </w:t>
            </w:r>
            <w:r w:rsidRPr="00F0550C">
              <w:rPr>
                <w:b/>
                <w:color w:val="000000"/>
                <w:sz w:val="20"/>
                <w:szCs w:val="20"/>
              </w:rPr>
              <w:t>50</w:t>
            </w:r>
            <w:r w:rsidR="00E17342">
              <w:rPr>
                <w:rFonts w:eastAsiaTheme="minorEastAsia" w:hint="eastAsia"/>
                <w:b/>
                <w:color w:val="000000"/>
                <w:sz w:val="20"/>
                <w:szCs w:val="20"/>
                <w:lang w:eastAsia="zh-CN"/>
              </w:rPr>
              <w:t xml:space="preserve"> </w:t>
            </w:r>
            <w:r w:rsidRPr="00F0550C">
              <w:rPr>
                <w:b/>
                <w:color w:val="000000"/>
                <w:sz w:val="20"/>
                <w:szCs w:val="20"/>
              </w:rPr>
              <w:t>(100%)</w:t>
            </w:r>
          </w:p>
        </w:tc>
        <w:tc>
          <w:tcPr>
            <w:tcW w:w="1445" w:type="pct"/>
            <w:vAlign w:val="center"/>
          </w:tcPr>
          <w:p w:rsidR="004D04E7" w:rsidRPr="00F0550C" w:rsidRDefault="004D04E7" w:rsidP="00E17342">
            <w:pPr>
              <w:pStyle w:val="NoSpacing"/>
              <w:bidi w:val="0"/>
              <w:adjustRightInd w:val="0"/>
              <w:snapToGrid w:val="0"/>
              <w:jc w:val="both"/>
              <w:rPr>
                <w:b/>
                <w:color w:val="000000"/>
                <w:sz w:val="20"/>
                <w:szCs w:val="20"/>
              </w:rPr>
            </w:pPr>
            <w:r w:rsidRPr="00F0550C">
              <w:rPr>
                <w:b/>
                <w:color w:val="000000"/>
                <w:sz w:val="20"/>
                <w:szCs w:val="20"/>
              </w:rPr>
              <w:t>Arm-2</w:t>
            </w:r>
            <w:r w:rsidR="00F0550C">
              <w:rPr>
                <w:b/>
                <w:color w:val="000000"/>
                <w:sz w:val="20"/>
                <w:szCs w:val="20"/>
              </w:rPr>
              <w:t xml:space="preserve"> </w:t>
            </w:r>
            <w:r w:rsidRPr="00F0550C">
              <w:rPr>
                <w:b/>
                <w:color w:val="000000"/>
                <w:sz w:val="20"/>
                <w:szCs w:val="20"/>
              </w:rPr>
              <w:t>No (%)</w:t>
            </w:r>
            <w:r w:rsidR="00E17342">
              <w:rPr>
                <w:rFonts w:eastAsiaTheme="minorEastAsia" w:hint="eastAsia"/>
                <w:b/>
                <w:color w:val="000000"/>
                <w:sz w:val="20"/>
                <w:szCs w:val="20"/>
                <w:lang w:eastAsia="zh-CN"/>
              </w:rPr>
              <w:t xml:space="preserve"> </w:t>
            </w:r>
            <w:r w:rsidRPr="00F0550C">
              <w:rPr>
                <w:b/>
                <w:color w:val="000000"/>
                <w:sz w:val="20"/>
                <w:szCs w:val="20"/>
              </w:rPr>
              <w:t>50</w:t>
            </w:r>
            <w:r w:rsidR="00E17342">
              <w:rPr>
                <w:rFonts w:eastAsiaTheme="minorEastAsia" w:hint="eastAsia"/>
                <w:b/>
                <w:color w:val="000000"/>
                <w:sz w:val="20"/>
                <w:szCs w:val="20"/>
                <w:lang w:eastAsia="zh-CN"/>
              </w:rPr>
              <w:t xml:space="preserve"> </w:t>
            </w:r>
            <w:r w:rsidRPr="00F0550C">
              <w:rPr>
                <w:b/>
                <w:color w:val="000000"/>
                <w:sz w:val="20"/>
                <w:szCs w:val="20"/>
              </w:rPr>
              <w:t>(100%)</w:t>
            </w:r>
          </w:p>
        </w:tc>
        <w:tc>
          <w:tcPr>
            <w:tcW w:w="491" w:type="pct"/>
            <w:vAlign w:val="center"/>
          </w:tcPr>
          <w:p w:rsidR="004D04E7" w:rsidRPr="00F0550C" w:rsidRDefault="004D04E7" w:rsidP="00E17342">
            <w:pPr>
              <w:pStyle w:val="NoSpacing"/>
              <w:bidi w:val="0"/>
              <w:adjustRightInd w:val="0"/>
              <w:snapToGrid w:val="0"/>
              <w:jc w:val="both"/>
              <w:rPr>
                <w:b/>
                <w:color w:val="000000"/>
                <w:sz w:val="20"/>
                <w:szCs w:val="20"/>
              </w:rPr>
            </w:pPr>
            <w:r w:rsidRPr="00F0550C">
              <w:rPr>
                <w:b/>
                <w:i/>
                <w:iCs/>
                <w:color w:val="000000"/>
                <w:sz w:val="20"/>
                <w:szCs w:val="20"/>
              </w:rPr>
              <w:t>P</w:t>
            </w:r>
            <w:r w:rsidRPr="00F0550C">
              <w:rPr>
                <w:b/>
                <w:color w:val="000000"/>
                <w:sz w:val="20"/>
                <w:szCs w:val="20"/>
              </w:rPr>
              <w:t>-value</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Age</w:t>
            </w:r>
            <w:r w:rsidR="00F0550C">
              <w:rPr>
                <w:color w:val="000000"/>
                <w:sz w:val="20"/>
                <w:szCs w:val="20"/>
              </w:rPr>
              <w:t xml:space="preserve">    </w:t>
            </w:r>
            <w:r w:rsidRPr="00F0550C">
              <w:rPr>
                <w:color w:val="000000"/>
                <w:sz w:val="20"/>
                <w:szCs w:val="20"/>
              </w:rPr>
              <w:t xml:space="preserve">                    Mean ± SD</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Median</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Range</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56.3±8.4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57</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49-76</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57.1±9.3</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58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49-79</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0.91</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Early menopause        ≤ 45y</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10(20%)</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8(16%)</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0.5</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Pathology type            IDC</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ILC</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42(86%)</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8(16%)</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44(88%)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6(12%)</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0.56</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lang w:val="de-LI"/>
              </w:rPr>
            </w:pPr>
            <w:r w:rsidRPr="00F0550C">
              <w:rPr>
                <w:color w:val="000000"/>
                <w:sz w:val="20"/>
                <w:szCs w:val="20"/>
                <w:lang w:val="de-LI"/>
              </w:rPr>
              <w:t>Tumer size(T)              T1</w:t>
            </w:r>
          </w:p>
          <w:p w:rsidR="004D04E7" w:rsidRPr="00F0550C" w:rsidRDefault="004D04E7" w:rsidP="00E17342">
            <w:pPr>
              <w:pStyle w:val="NoSpacing"/>
              <w:bidi w:val="0"/>
              <w:adjustRightInd w:val="0"/>
              <w:snapToGrid w:val="0"/>
              <w:jc w:val="both"/>
              <w:rPr>
                <w:color w:val="000000"/>
                <w:sz w:val="20"/>
                <w:szCs w:val="20"/>
                <w:lang w:val="de-LI"/>
              </w:rPr>
            </w:pPr>
            <w:r w:rsidRPr="00F0550C">
              <w:rPr>
                <w:color w:val="000000"/>
                <w:sz w:val="20"/>
                <w:szCs w:val="20"/>
                <w:lang w:val="de-LI"/>
              </w:rPr>
              <w:t>T2</w:t>
            </w:r>
          </w:p>
          <w:p w:rsidR="004D04E7" w:rsidRPr="00F0550C" w:rsidRDefault="004D04E7" w:rsidP="00E17342">
            <w:pPr>
              <w:pStyle w:val="NoSpacing"/>
              <w:bidi w:val="0"/>
              <w:adjustRightInd w:val="0"/>
              <w:snapToGrid w:val="0"/>
              <w:jc w:val="both"/>
              <w:rPr>
                <w:color w:val="000000"/>
                <w:sz w:val="20"/>
                <w:szCs w:val="20"/>
                <w:lang w:val="de-LI"/>
              </w:rPr>
            </w:pPr>
            <w:r w:rsidRPr="00F0550C">
              <w:rPr>
                <w:color w:val="000000"/>
                <w:sz w:val="20"/>
                <w:szCs w:val="20"/>
                <w:lang w:val="de-LI"/>
              </w:rPr>
              <w:t>T3</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20(40%)</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28(56%)</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19(38%)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29(58%)</w:t>
            </w:r>
          </w:p>
        </w:tc>
        <w:tc>
          <w:tcPr>
            <w:tcW w:w="491" w:type="pct"/>
            <w:vAlign w:val="center"/>
          </w:tcPr>
          <w:p w:rsidR="004D04E7" w:rsidRPr="00E17342" w:rsidRDefault="004D04E7" w:rsidP="00E17342">
            <w:pPr>
              <w:pStyle w:val="NoSpacing"/>
              <w:bidi w:val="0"/>
              <w:adjustRightInd w:val="0"/>
              <w:snapToGrid w:val="0"/>
              <w:jc w:val="both"/>
              <w:rPr>
                <w:rFonts w:eastAsiaTheme="minorEastAsia" w:hint="eastAsia"/>
                <w:color w:val="000000"/>
                <w:sz w:val="20"/>
                <w:szCs w:val="20"/>
                <w:lang w:eastAsia="zh-CN"/>
              </w:rPr>
            </w:pPr>
            <w:r w:rsidRPr="00F0550C">
              <w:rPr>
                <w:color w:val="000000"/>
                <w:sz w:val="20"/>
                <w:szCs w:val="20"/>
              </w:rPr>
              <w:t>0.97</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lang w:val="pt-BR"/>
              </w:rPr>
            </w:pPr>
            <w:r w:rsidRPr="00F0550C">
              <w:rPr>
                <w:color w:val="000000"/>
                <w:sz w:val="20"/>
                <w:szCs w:val="20"/>
                <w:lang w:val="pt-BR"/>
              </w:rPr>
              <w:t>Nodal state(N)             N0</w:t>
            </w:r>
          </w:p>
          <w:p w:rsidR="004D04E7" w:rsidRPr="00F0550C" w:rsidRDefault="004D04E7" w:rsidP="00E17342">
            <w:pPr>
              <w:pStyle w:val="NoSpacing"/>
              <w:bidi w:val="0"/>
              <w:adjustRightInd w:val="0"/>
              <w:snapToGrid w:val="0"/>
              <w:jc w:val="both"/>
              <w:rPr>
                <w:color w:val="000000"/>
                <w:sz w:val="20"/>
                <w:szCs w:val="20"/>
                <w:lang w:val="pt-BR"/>
              </w:rPr>
            </w:pPr>
            <w:r w:rsidRPr="00F0550C">
              <w:rPr>
                <w:color w:val="000000"/>
                <w:sz w:val="20"/>
                <w:szCs w:val="20"/>
                <w:lang w:val="pt-BR"/>
              </w:rPr>
              <w:t>N1</w:t>
            </w:r>
          </w:p>
          <w:p w:rsidR="004D04E7" w:rsidRPr="00F0550C" w:rsidRDefault="004D04E7" w:rsidP="00E17342">
            <w:pPr>
              <w:pStyle w:val="NoSpacing"/>
              <w:bidi w:val="0"/>
              <w:adjustRightInd w:val="0"/>
              <w:snapToGrid w:val="0"/>
              <w:jc w:val="both"/>
              <w:rPr>
                <w:color w:val="000000"/>
                <w:sz w:val="20"/>
                <w:szCs w:val="20"/>
                <w:lang w:val="pt-BR"/>
              </w:rPr>
            </w:pPr>
            <w:r w:rsidRPr="00F0550C">
              <w:rPr>
                <w:color w:val="000000"/>
                <w:sz w:val="20"/>
                <w:szCs w:val="20"/>
                <w:lang w:val="pt-BR"/>
              </w:rPr>
              <w:t>N2</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17(34%)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12(24%)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21(42%)</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14(28%)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15(30%)</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21(42%)</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0.73</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Grade (G)                    G1</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G2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G3</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3(6%)</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42(84%)</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5(10%)</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43(86%)</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3(6%)</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0.72</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Hormone receptor</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ER</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 xml:space="preserve">+ </w:t>
            </w:r>
            <w:r w:rsidRPr="00F0550C">
              <w:rPr>
                <w:color w:val="000000"/>
                <w:sz w:val="20"/>
                <w:szCs w:val="20"/>
              </w:rPr>
              <w:tab/>
              <w:t xml:space="preserve">               ++</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w:t>
            </w: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PR</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21(42%)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16(32%)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13(26%)</w:t>
            </w: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26(52%)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15(30%)</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9(18%)</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19(38%)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16(32%)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15(30%)</w:t>
            </w: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19(38%)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14(28%)</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17(34%)</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0.58</w:t>
            </w: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0.19</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 xml:space="preserve">Her-2 </w:t>
            </w:r>
            <w:proofErr w:type="spellStart"/>
            <w:r w:rsidRPr="00F0550C">
              <w:rPr>
                <w:color w:val="000000"/>
                <w:sz w:val="20"/>
                <w:szCs w:val="20"/>
              </w:rPr>
              <w:t>neu</w:t>
            </w:r>
            <w:proofErr w:type="spellEnd"/>
            <w:r w:rsidRPr="00F0550C">
              <w:rPr>
                <w:color w:val="000000"/>
                <w:sz w:val="20"/>
                <w:szCs w:val="20"/>
              </w:rPr>
              <w:t xml:space="preserve">                  (+)</w:t>
            </w:r>
            <w:r w:rsidR="00E17342">
              <w:rPr>
                <w:rFonts w:eastAsiaTheme="minorEastAsia" w:hint="eastAsia"/>
                <w:color w:val="000000"/>
                <w:sz w:val="20"/>
                <w:szCs w:val="20"/>
                <w:lang w:eastAsia="zh-CN"/>
              </w:rPr>
              <w:t xml:space="preserve"> </w:t>
            </w:r>
            <w:proofErr w:type="spellStart"/>
            <w:r w:rsidRPr="00F0550C">
              <w:rPr>
                <w:color w:val="000000"/>
                <w:sz w:val="20"/>
                <w:szCs w:val="20"/>
              </w:rPr>
              <w:t>ve</w:t>
            </w:r>
            <w:proofErr w:type="spellEnd"/>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w:t>
            </w:r>
            <w:r w:rsidR="006D2C3E">
              <w:rPr>
                <w:rFonts w:eastAsiaTheme="minorEastAsia" w:hint="eastAsia"/>
                <w:color w:val="000000"/>
                <w:sz w:val="20"/>
                <w:szCs w:val="20"/>
                <w:lang w:eastAsia="zh-CN"/>
              </w:rPr>
              <w:t xml:space="preserve"> </w:t>
            </w:r>
            <w:proofErr w:type="spellStart"/>
            <w:r w:rsidRPr="00F0550C">
              <w:rPr>
                <w:color w:val="000000"/>
                <w:sz w:val="20"/>
                <w:szCs w:val="20"/>
              </w:rPr>
              <w:t>ve</w:t>
            </w:r>
            <w:proofErr w:type="spellEnd"/>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21(42%)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29(58%)</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11(22%)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39(78%)</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0.03*</w:t>
            </w:r>
          </w:p>
        </w:tc>
      </w:tr>
      <w:tr w:rsidR="004D04E7" w:rsidRPr="00F0550C" w:rsidTr="001215AB">
        <w:trPr>
          <w:cantSplit/>
          <w:jc w:val="center"/>
        </w:trPr>
        <w:tc>
          <w:tcPr>
            <w:tcW w:w="1618"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Previous chemotherapy    Yes</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No</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33(67%)</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17(34%)</w:t>
            </w:r>
          </w:p>
        </w:tc>
        <w:tc>
          <w:tcPr>
            <w:tcW w:w="1445"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36(72%)</w:t>
            </w:r>
          </w:p>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14(28%)</w:t>
            </w:r>
          </w:p>
        </w:tc>
        <w:tc>
          <w:tcPr>
            <w:tcW w:w="491" w:type="pct"/>
            <w:vAlign w:val="center"/>
          </w:tcPr>
          <w:p w:rsidR="004D04E7" w:rsidRPr="00F0550C" w:rsidRDefault="004D04E7" w:rsidP="00E17342">
            <w:pPr>
              <w:pStyle w:val="NoSpacing"/>
              <w:bidi w:val="0"/>
              <w:adjustRightInd w:val="0"/>
              <w:snapToGrid w:val="0"/>
              <w:jc w:val="both"/>
              <w:rPr>
                <w:color w:val="000000"/>
                <w:sz w:val="20"/>
                <w:szCs w:val="20"/>
              </w:rPr>
            </w:pPr>
            <w:r w:rsidRPr="00F0550C">
              <w:rPr>
                <w:color w:val="000000"/>
                <w:sz w:val="20"/>
                <w:szCs w:val="20"/>
              </w:rPr>
              <w:t>0.51</w:t>
            </w:r>
          </w:p>
        </w:tc>
      </w:tr>
    </w:tbl>
    <w:p w:rsidR="004D04E7" w:rsidRPr="00F0550C" w:rsidRDefault="004D04E7" w:rsidP="00E17342">
      <w:pPr>
        <w:bidi w:val="0"/>
        <w:adjustRightInd w:val="0"/>
        <w:snapToGrid w:val="0"/>
        <w:jc w:val="center"/>
        <w:rPr>
          <w:sz w:val="20"/>
          <w:szCs w:val="20"/>
        </w:rPr>
      </w:pPr>
    </w:p>
    <w:p w:rsidR="004D04E7" w:rsidRPr="00F0550C" w:rsidRDefault="004D04E7" w:rsidP="00E17342">
      <w:pPr>
        <w:bidi w:val="0"/>
        <w:adjustRightInd w:val="0"/>
        <w:snapToGrid w:val="0"/>
        <w:jc w:val="center"/>
        <w:rPr>
          <w:b/>
          <w:sz w:val="20"/>
          <w:szCs w:val="20"/>
        </w:rPr>
      </w:pPr>
      <w:r w:rsidRPr="00F0550C">
        <w:rPr>
          <w:b/>
          <w:sz w:val="20"/>
          <w:szCs w:val="20"/>
        </w:rPr>
        <w:t xml:space="preserve">Table </w:t>
      </w:r>
      <w:r w:rsidR="0021376F" w:rsidRPr="00F0550C">
        <w:rPr>
          <w:b/>
          <w:sz w:val="20"/>
          <w:szCs w:val="20"/>
        </w:rPr>
        <w:t>(2)</w:t>
      </w:r>
      <w:r w:rsidRPr="00F0550C">
        <w:rPr>
          <w:b/>
          <w:sz w:val="20"/>
          <w:szCs w:val="20"/>
        </w:rPr>
        <w:t>: BMD characteristics at baseline, 12 month and 24 month: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110" w:type="dxa"/>
          <w:right w:w="115" w:type="dxa"/>
        </w:tblCellMar>
        <w:tblLook w:val="00A0"/>
      </w:tblPr>
      <w:tblGrid>
        <w:gridCol w:w="1467"/>
        <w:gridCol w:w="2500"/>
        <w:gridCol w:w="2161"/>
        <w:gridCol w:w="2161"/>
        <w:gridCol w:w="1298"/>
      </w:tblGrid>
      <w:tr w:rsidR="004D04E7" w:rsidRPr="00F0550C" w:rsidTr="001215AB">
        <w:trPr>
          <w:cantSplit/>
          <w:jc w:val="center"/>
        </w:trPr>
        <w:tc>
          <w:tcPr>
            <w:tcW w:w="2069" w:type="pct"/>
            <w:gridSpan w:val="2"/>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BMD</w:t>
            </w:r>
          </w:p>
        </w:tc>
        <w:tc>
          <w:tcPr>
            <w:tcW w:w="1127"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 1</w:t>
            </w:r>
            <w:r w:rsidR="00682EFD" w:rsidRPr="00F0550C">
              <w:rPr>
                <w:b/>
                <w:bCs/>
                <w:color w:val="000000"/>
                <w:sz w:val="20"/>
                <w:szCs w:val="20"/>
              </w:rPr>
              <w:t xml:space="preserve"> </w:t>
            </w:r>
            <w:r w:rsidRPr="00F0550C">
              <w:rPr>
                <w:b/>
                <w:bCs/>
                <w:color w:val="000000"/>
                <w:sz w:val="20"/>
                <w:szCs w:val="20"/>
              </w:rPr>
              <w:t>No</w:t>
            </w:r>
            <w:r w:rsidR="00E17342">
              <w:rPr>
                <w:rFonts w:eastAsiaTheme="minorEastAsia" w:hint="eastAsia"/>
                <w:b/>
                <w:bCs/>
                <w:color w:val="000000"/>
                <w:sz w:val="20"/>
                <w:szCs w:val="20"/>
                <w:lang w:eastAsia="zh-CN"/>
              </w:rPr>
              <w:t xml:space="preserve"> </w:t>
            </w:r>
            <w:r w:rsidRPr="00F0550C">
              <w:rPr>
                <w:b/>
                <w:bCs/>
                <w:color w:val="000000"/>
                <w:sz w:val="20"/>
                <w:szCs w:val="20"/>
              </w:rPr>
              <w:t>(%)</w:t>
            </w:r>
          </w:p>
        </w:tc>
        <w:tc>
          <w:tcPr>
            <w:tcW w:w="1127"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 2</w:t>
            </w:r>
            <w:r w:rsidR="00682EFD" w:rsidRPr="00F0550C">
              <w:rPr>
                <w:b/>
                <w:bCs/>
                <w:color w:val="000000"/>
                <w:sz w:val="20"/>
                <w:szCs w:val="20"/>
              </w:rPr>
              <w:t xml:space="preserve"> </w:t>
            </w:r>
            <w:r w:rsidRPr="00F0550C">
              <w:rPr>
                <w:b/>
                <w:bCs/>
                <w:color w:val="000000"/>
                <w:sz w:val="20"/>
                <w:szCs w:val="20"/>
              </w:rPr>
              <w:t>No</w:t>
            </w:r>
            <w:r w:rsidR="00E17342">
              <w:rPr>
                <w:rFonts w:eastAsiaTheme="minorEastAsia" w:hint="eastAsia"/>
                <w:b/>
                <w:bCs/>
                <w:color w:val="000000"/>
                <w:sz w:val="20"/>
                <w:szCs w:val="20"/>
                <w:lang w:eastAsia="zh-CN"/>
              </w:rPr>
              <w:t xml:space="preserve"> </w:t>
            </w:r>
            <w:r w:rsidRPr="00F0550C">
              <w:rPr>
                <w:b/>
                <w:bCs/>
                <w:color w:val="000000"/>
                <w:sz w:val="20"/>
                <w:szCs w:val="20"/>
              </w:rPr>
              <w:t>(%)</w:t>
            </w:r>
          </w:p>
        </w:tc>
        <w:tc>
          <w:tcPr>
            <w:tcW w:w="678" w:type="pct"/>
            <w:vAlign w:val="center"/>
          </w:tcPr>
          <w:p w:rsidR="004D04E7" w:rsidRPr="00F0550C" w:rsidRDefault="004D04E7" w:rsidP="00E17342">
            <w:pPr>
              <w:bidi w:val="0"/>
              <w:adjustRightInd w:val="0"/>
              <w:snapToGrid w:val="0"/>
              <w:jc w:val="both"/>
              <w:rPr>
                <w:b/>
                <w:bCs/>
                <w:color w:val="000000"/>
                <w:sz w:val="20"/>
                <w:szCs w:val="20"/>
              </w:rPr>
            </w:pPr>
            <w:r w:rsidRPr="00F0550C">
              <w:rPr>
                <w:b/>
                <w:bCs/>
                <w:i/>
                <w:iCs/>
                <w:color w:val="000000"/>
                <w:sz w:val="20"/>
                <w:szCs w:val="20"/>
              </w:rPr>
              <w:t>P</w:t>
            </w:r>
            <w:r w:rsidRPr="00F0550C">
              <w:rPr>
                <w:b/>
                <w:bCs/>
                <w:color w:val="000000"/>
                <w:sz w:val="20"/>
                <w:szCs w:val="20"/>
              </w:rPr>
              <w:t>-value</w:t>
            </w:r>
          </w:p>
        </w:tc>
      </w:tr>
      <w:tr w:rsidR="004D04E7" w:rsidRPr="00F0550C" w:rsidTr="001215AB">
        <w:trPr>
          <w:cantSplit/>
          <w:jc w:val="center"/>
        </w:trPr>
        <w:tc>
          <w:tcPr>
            <w:tcW w:w="76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Base line</w:t>
            </w:r>
          </w:p>
        </w:tc>
        <w:tc>
          <w:tcPr>
            <w:tcW w:w="1303"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Normal</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MMO</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(n=50)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17(34%)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33(66%)</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(n=50)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16(32%)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34(68%)</w:t>
            </w:r>
          </w:p>
        </w:tc>
        <w:tc>
          <w:tcPr>
            <w:tcW w:w="678"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0.83</w:t>
            </w:r>
          </w:p>
        </w:tc>
      </w:tr>
      <w:tr w:rsidR="004D04E7" w:rsidRPr="00F0550C" w:rsidTr="001215AB">
        <w:trPr>
          <w:cantSplit/>
          <w:jc w:val="center"/>
        </w:trPr>
        <w:tc>
          <w:tcPr>
            <w:tcW w:w="76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12 month</w:t>
            </w:r>
          </w:p>
        </w:tc>
        <w:tc>
          <w:tcPr>
            <w:tcW w:w="1303"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Normal to MMO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MMO to SO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Osteoporosis</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MMO to normal</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Normal to SO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Kept without shift</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(n=46)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12(26%)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9(20%)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7(15%)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3(7%)</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13(28%)</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(n=46)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4(9%)</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2(4.5%)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3(6.5%)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9(19.5%)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27 (57.5%)</w:t>
            </w:r>
          </w:p>
        </w:tc>
        <w:tc>
          <w:tcPr>
            <w:tcW w:w="678"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0.001**</w:t>
            </w:r>
          </w:p>
        </w:tc>
      </w:tr>
      <w:tr w:rsidR="004D04E7" w:rsidRPr="00F0550C" w:rsidTr="001215AB">
        <w:trPr>
          <w:cantSplit/>
          <w:jc w:val="center"/>
        </w:trPr>
        <w:tc>
          <w:tcPr>
            <w:tcW w:w="76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24 month</w:t>
            </w:r>
          </w:p>
        </w:tc>
        <w:tc>
          <w:tcPr>
            <w:tcW w:w="1303"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Normal to MMO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MMO to SO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Osteoporosis</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MMO to normal</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Normal to SO</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Kept without shift</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SO to MMO</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(n=23)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 (5%)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5(21%)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4(17%)</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12(51%)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w:t>
            </w:r>
          </w:p>
        </w:tc>
        <w:tc>
          <w:tcPr>
            <w:tcW w:w="1127"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(n=40)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3(7.5%)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 (22.5%)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22(55%)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3(7.5%)</w:t>
            </w:r>
          </w:p>
        </w:tc>
        <w:tc>
          <w:tcPr>
            <w:tcW w:w="678"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0.06</w:t>
            </w:r>
          </w:p>
        </w:tc>
      </w:tr>
    </w:tbl>
    <w:p w:rsidR="00F0550C" w:rsidRPr="00F0550C" w:rsidRDefault="00F0550C" w:rsidP="00E17342">
      <w:pPr>
        <w:bidi w:val="0"/>
        <w:adjustRightInd w:val="0"/>
        <w:snapToGrid w:val="0"/>
        <w:rPr>
          <w:rFonts w:eastAsiaTheme="minorEastAsia" w:hint="eastAsia"/>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110" w:type="dxa"/>
          <w:right w:w="115" w:type="dxa"/>
        </w:tblCellMar>
        <w:tblLook w:val="00A0"/>
      </w:tblPr>
      <w:tblGrid>
        <w:gridCol w:w="1195"/>
        <w:gridCol w:w="3958"/>
        <w:gridCol w:w="1685"/>
        <w:gridCol w:w="1687"/>
        <w:gridCol w:w="1062"/>
      </w:tblGrid>
      <w:tr w:rsidR="004D04E7" w:rsidRPr="00F0550C" w:rsidTr="001215AB">
        <w:trPr>
          <w:jc w:val="center"/>
        </w:trPr>
        <w:tc>
          <w:tcPr>
            <w:tcW w:w="2687" w:type="pct"/>
            <w:gridSpan w:val="2"/>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Mean % of change from base line</w:t>
            </w:r>
          </w:p>
        </w:tc>
        <w:tc>
          <w:tcPr>
            <w:tcW w:w="879"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 1</w:t>
            </w:r>
          </w:p>
        </w:tc>
        <w:tc>
          <w:tcPr>
            <w:tcW w:w="880"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 2</w:t>
            </w:r>
          </w:p>
        </w:tc>
        <w:tc>
          <w:tcPr>
            <w:tcW w:w="554" w:type="pct"/>
            <w:vAlign w:val="center"/>
          </w:tcPr>
          <w:p w:rsidR="004D04E7" w:rsidRPr="00F0550C" w:rsidRDefault="004D04E7" w:rsidP="00E17342">
            <w:pPr>
              <w:bidi w:val="0"/>
              <w:adjustRightInd w:val="0"/>
              <w:snapToGrid w:val="0"/>
              <w:jc w:val="both"/>
              <w:rPr>
                <w:b/>
                <w:bCs/>
                <w:i/>
                <w:iCs/>
                <w:color w:val="000000"/>
                <w:sz w:val="20"/>
                <w:szCs w:val="20"/>
              </w:rPr>
            </w:pPr>
            <w:r w:rsidRPr="00F0550C">
              <w:rPr>
                <w:b/>
                <w:bCs/>
                <w:i/>
                <w:iCs/>
                <w:color w:val="000000"/>
                <w:sz w:val="20"/>
                <w:szCs w:val="20"/>
              </w:rPr>
              <w:t>P</w:t>
            </w:r>
          </w:p>
        </w:tc>
      </w:tr>
      <w:tr w:rsidR="004D04E7" w:rsidRPr="00F0550C" w:rsidTr="001215AB">
        <w:trPr>
          <w:jc w:val="center"/>
        </w:trPr>
        <w:tc>
          <w:tcPr>
            <w:tcW w:w="623" w:type="pct"/>
            <w:vMerge w:val="restar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12 month</w:t>
            </w:r>
          </w:p>
        </w:tc>
        <w:tc>
          <w:tcPr>
            <w:tcW w:w="2064" w:type="pct"/>
            <w:vAlign w:val="center"/>
          </w:tcPr>
          <w:p w:rsidR="004D04E7" w:rsidRPr="00F0550C" w:rsidRDefault="004D04E7" w:rsidP="001215AB">
            <w:pPr>
              <w:bidi w:val="0"/>
              <w:adjustRightInd w:val="0"/>
              <w:snapToGrid w:val="0"/>
              <w:jc w:val="both"/>
              <w:rPr>
                <w:color w:val="000000"/>
                <w:sz w:val="20"/>
                <w:szCs w:val="20"/>
              </w:rPr>
            </w:pPr>
            <w:r w:rsidRPr="00F0550C">
              <w:rPr>
                <w:color w:val="000000"/>
                <w:sz w:val="20"/>
                <w:szCs w:val="20"/>
              </w:rPr>
              <w:t>LS                                             TH</w:t>
            </w:r>
          </w:p>
        </w:tc>
        <w:tc>
          <w:tcPr>
            <w:tcW w:w="879"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(n=50)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-1.9</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-0.9</w:t>
            </w:r>
          </w:p>
        </w:tc>
        <w:tc>
          <w:tcPr>
            <w:tcW w:w="880"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(n=50)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+2.6</w:t>
            </w:r>
          </w:p>
        </w:tc>
        <w:tc>
          <w:tcPr>
            <w:tcW w:w="554" w:type="pct"/>
            <w:vAlign w:val="center"/>
          </w:tcPr>
          <w:p w:rsidR="004D04E7" w:rsidRPr="00F0550C" w:rsidRDefault="004D04E7" w:rsidP="00E17342">
            <w:pPr>
              <w:bidi w:val="0"/>
              <w:adjustRightInd w:val="0"/>
              <w:snapToGrid w:val="0"/>
              <w:jc w:val="both"/>
              <w:rPr>
                <w:b/>
                <w:bCs/>
                <w:color w:val="000000"/>
                <w:sz w:val="20"/>
                <w:szCs w:val="20"/>
              </w:rPr>
            </w:pPr>
          </w:p>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0.06</w:t>
            </w:r>
          </w:p>
        </w:tc>
      </w:tr>
      <w:tr w:rsidR="004D04E7" w:rsidRPr="00F0550C" w:rsidTr="001215AB">
        <w:trPr>
          <w:jc w:val="center"/>
        </w:trPr>
        <w:tc>
          <w:tcPr>
            <w:tcW w:w="623" w:type="pct"/>
            <w:vMerge/>
            <w:vAlign w:val="center"/>
          </w:tcPr>
          <w:p w:rsidR="004D04E7" w:rsidRPr="00F0550C" w:rsidRDefault="004D04E7" w:rsidP="00E17342">
            <w:pPr>
              <w:bidi w:val="0"/>
              <w:adjustRightInd w:val="0"/>
              <w:snapToGrid w:val="0"/>
              <w:jc w:val="both"/>
              <w:rPr>
                <w:color w:val="000000"/>
                <w:sz w:val="20"/>
                <w:szCs w:val="20"/>
              </w:rPr>
            </w:pPr>
          </w:p>
        </w:tc>
        <w:tc>
          <w:tcPr>
            <w:tcW w:w="2064"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Difference LS</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TH</w:t>
            </w:r>
          </w:p>
        </w:tc>
        <w:tc>
          <w:tcPr>
            <w:tcW w:w="1759" w:type="pct"/>
            <w:gridSpan w:val="2"/>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6.7</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3.5</w:t>
            </w:r>
          </w:p>
        </w:tc>
        <w:tc>
          <w:tcPr>
            <w:tcW w:w="554"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0.31</w:t>
            </w:r>
          </w:p>
        </w:tc>
      </w:tr>
      <w:tr w:rsidR="004D04E7" w:rsidRPr="00F0550C" w:rsidTr="001215AB">
        <w:trPr>
          <w:jc w:val="center"/>
        </w:trPr>
        <w:tc>
          <w:tcPr>
            <w:tcW w:w="623" w:type="pct"/>
            <w:vMerge w:val="restar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24 month</w:t>
            </w:r>
          </w:p>
        </w:tc>
        <w:tc>
          <w:tcPr>
            <w:tcW w:w="2064" w:type="pct"/>
            <w:vAlign w:val="center"/>
          </w:tcPr>
          <w:p w:rsidR="004D04E7" w:rsidRPr="00F0550C" w:rsidRDefault="004D04E7" w:rsidP="001215AB">
            <w:pPr>
              <w:bidi w:val="0"/>
              <w:adjustRightInd w:val="0"/>
              <w:snapToGrid w:val="0"/>
              <w:jc w:val="both"/>
              <w:rPr>
                <w:color w:val="000000"/>
                <w:sz w:val="20"/>
                <w:szCs w:val="20"/>
              </w:rPr>
            </w:pPr>
            <w:r w:rsidRPr="00F0550C">
              <w:rPr>
                <w:color w:val="000000"/>
                <w:sz w:val="20"/>
                <w:szCs w:val="20"/>
              </w:rPr>
              <w:t>LS                                             TH</w:t>
            </w:r>
          </w:p>
        </w:tc>
        <w:tc>
          <w:tcPr>
            <w:tcW w:w="879"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(n=26)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-3.9</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-1.5</w:t>
            </w:r>
          </w:p>
        </w:tc>
        <w:tc>
          <w:tcPr>
            <w:tcW w:w="880"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(n=47)</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+5.2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+3.9</w:t>
            </w:r>
          </w:p>
        </w:tc>
        <w:tc>
          <w:tcPr>
            <w:tcW w:w="554" w:type="pct"/>
            <w:vAlign w:val="center"/>
          </w:tcPr>
          <w:p w:rsidR="004D04E7" w:rsidRPr="00F0550C" w:rsidRDefault="004D04E7" w:rsidP="00E17342">
            <w:pPr>
              <w:bidi w:val="0"/>
              <w:adjustRightInd w:val="0"/>
              <w:snapToGrid w:val="0"/>
              <w:jc w:val="both"/>
              <w:rPr>
                <w:b/>
                <w:bCs/>
                <w:color w:val="000000"/>
                <w:sz w:val="20"/>
                <w:szCs w:val="20"/>
              </w:rPr>
            </w:pPr>
          </w:p>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0.004**</w:t>
            </w:r>
          </w:p>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0.02*</w:t>
            </w:r>
          </w:p>
        </w:tc>
      </w:tr>
      <w:tr w:rsidR="004D04E7" w:rsidRPr="00F0550C" w:rsidTr="001215AB">
        <w:trPr>
          <w:jc w:val="center"/>
        </w:trPr>
        <w:tc>
          <w:tcPr>
            <w:tcW w:w="623" w:type="pct"/>
            <w:vMerge/>
            <w:vAlign w:val="center"/>
          </w:tcPr>
          <w:p w:rsidR="004D04E7" w:rsidRPr="00F0550C" w:rsidRDefault="004D04E7" w:rsidP="00E17342">
            <w:pPr>
              <w:bidi w:val="0"/>
              <w:adjustRightInd w:val="0"/>
              <w:snapToGrid w:val="0"/>
              <w:jc w:val="both"/>
              <w:rPr>
                <w:color w:val="000000"/>
                <w:sz w:val="20"/>
                <w:szCs w:val="20"/>
              </w:rPr>
            </w:pPr>
          </w:p>
        </w:tc>
        <w:tc>
          <w:tcPr>
            <w:tcW w:w="2064"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Difference LS</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TH</w:t>
            </w:r>
          </w:p>
        </w:tc>
        <w:tc>
          <w:tcPr>
            <w:tcW w:w="1759" w:type="pct"/>
            <w:gridSpan w:val="2"/>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9.2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5.4</w:t>
            </w:r>
          </w:p>
        </w:tc>
        <w:tc>
          <w:tcPr>
            <w:tcW w:w="554"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0.31</w:t>
            </w:r>
          </w:p>
        </w:tc>
      </w:tr>
    </w:tbl>
    <w:p w:rsidR="004D04E7" w:rsidRPr="00F0550C" w:rsidRDefault="004D04E7" w:rsidP="00E17342">
      <w:pPr>
        <w:bidi w:val="0"/>
        <w:adjustRightInd w:val="0"/>
        <w:snapToGrid w:val="0"/>
        <w:jc w:val="both"/>
        <w:rPr>
          <w:bCs/>
          <w:i/>
          <w:iCs/>
          <w:sz w:val="20"/>
          <w:szCs w:val="20"/>
        </w:rPr>
      </w:pPr>
      <w:r w:rsidRPr="00F0550C">
        <w:rPr>
          <w:b/>
          <w:i/>
          <w:iCs/>
          <w:sz w:val="20"/>
          <w:szCs w:val="20"/>
        </w:rPr>
        <w:t xml:space="preserve">BMD= </w:t>
      </w:r>
      <w:r w:rsidRPr="00F0550C">
        <w:rPr>
          <w:i/>
          <w:iCs/>
          <w:sz w:val="20"/>
          <w:szCs w:val="20"/>
        </w:rPr>
        <w:t>bone mineral density</w:t>
      </w:r>
      <w:r w:rsidRPr="00F0550C">
        <w:rPr>
          <w:b/>
          <w:i/>
          <w:iCs/>
          <w:sz w:val="20"/>
          <w:szCs w:val="20"/>
        </w:rPr>
        <w:t xml:space="preserve"> </w:t>
      </w:r>
      <w:r w:rsidR="000C6C2F" w:rsidRPr="00F0550C">
        <w:rPr>
          <w:bCs/>
          <w:i/>
          <w:iCs/>
          <w:sz w:val="20"/>
          <w:szCs w:val="20"/>
        </w:rPr>
        <w:tab/>
      </w:r>
      <w:r w:rsidRPr="00F0550C">
        <w:rPr>
          <w:b/>
          <w:i/>
          <w:iCs/>
          <w:sz w:val="20"/>
          <w:szCs w:val="20"/>
        </w:rPr>
        <w:t xml:space="preserve">Normal BMD= </w:t>
      </w:r>
      <w:r w:rsidRPr="00F0550C">
        <w:rPr>
          <w:i/>
          <w:iCs/>
          <w:sz w:val="20"/>
          <w:szCs w:val="20"/>
        </w:rPr>
        <w:t>T-score &gt; -1</w:t>
      </w:r>
    </w:p>
    <w:p w:rsidR="004D04E7" w:rsidRPr="00F0550C" w:rsidRDefault="004D04E7" w:rsidP="00E17342">
      <w:pPr>
        <w:bidi w:val="0"/>
        <w:adjustRightInd w:val="0"/>
        <w:snapToGrid w:val="0"/>
        <w:jc w:val="both"/>
        <w:rPr>
          <w:i/>
          <w:iCs/>
          <w:sz w:val="20"/>
          <w:szCs w:val="20"/>
        </w:rPr>
      </w:pPr>
      <w:r w:rsidRPr="00F0550C">
        <w:rPr>
          <w:b/>
          <w:i/>
          <w:iCs/>
          <w:sz w:val="20"/>
          <w:szCs w:val="20"/>
        </w:rPr>
        <w:t>MMO=</w:t>
      </w:r>
      <w:r w:rsidRPr="00F0550C">
        <w:rPr>
          <w:i/>
          <w:iCs/>
          <w:sz w:val="20"/>
          <w:szCs w:val="20"/>
        </w:rPr>
        <w:t>mild</w:t>
      </w:r>
      <w:r w:rsidRPr="00F0550C">
        <w:rPr>
          <w:b/>
          <w:i/>
          <w:iCs/>
          <w:sz w:val="20"/>
          <w:szCs w:val="20"/>
        </w:rPr>
        <w:t xml:space="preserve"> </w:t>
      </w:r>
      <w:r w:rsidRPr="00F0550C">
        <w:rPr>
          <w:i/>
          <w:iCs/>
          <w:sz w:val="20"/>
          <w:szCs w:val="20"/>
        </w:rPr>
        <w:t xml:space="preserve">to moderate </w:t>
      </w:r>
      <w:proofErr w:type="spellStart"/>
      <w:r w:rsidRPr="00F0550C">
        <w:rPr>
          <w:i/>
          <w:iCs/>
          <w:sz w:val="20"/>
          <w:szCs w:val="20"/>
        </w:rPr>
        <w:t>osteopenia</w:t>
      </w:r>
      <w:proofErr w:type="spellEnd"/>
      <w:r w:rsidRPr="00F0550C">
        <w:rPr>
          <w:i/>
          <w:iCs/>
          <w:sz w:val="20"/>
          <w:szCs w:val="20"/>
        </w:rPr>
        <w:t xml:space="preserve"> (T-score between -1 and -2)</w:t>
      </w:r>
    </w:p>
    <w:p w:rsidR="004D04E7" w:rsidRPr="00F0550C" w:rsidRDefault="004D04E7" w:rsidP="00E17342">
      <w:pPr>
        <w:bidi w:val="0"/>
        <w:adjustRightInd w:val="0"/>
        <w:snapToGrid w:val="0"/>
        <w:jc w:val="both"/>
        <w:rPr>
          <w:i/>
          <w:iCs/>
          <w:sz w:val="20"/>
          <w:szCs w:val="20"/>
        </w:rPr>
      </w:pPr>
      <w:r w:rsidRPr="00F0550C">
        <w:rPr>
          <w:b/>
          <w:i/>
          <w:iCs/>
          <w:sz w:val="20"/>
          <w:szCs w:val="20"/>
        </w:rPr>
        <w:t xml:space="preserve">SO= </w:t>
      </w:r>
      <w:r w:rsidRPr="00F0550C">
        <w:rPr>
          <w:i/>
          <w:iCs/>
          <w:sz w:val="20"/>
          <w:szCs w:val="20"/>
        </w:rPr>
        <w:t xml:space="preserve">sever </w:t>
      </w:r>
      <w:proofErr w:type="spellStart"/>
      <w:r w:rsidRPr="00F0550C">
        <w:rPr>
          <w:i/>
          <w:iCs/>
          <w:sz w:val="20"/>
          <w:szCs w:val="20"/>
        </w:rPr>
        <w:t>osteopenia</w:t>
      </w:r>
      <w:proofErr w:type="spellEnd"/>
      <w:r w:rsidRPr="00F0550C">
        <w:rPr>
          <w:i/>
          <w:iCs/>
          <w:sz w:val="20"/>
          <w:szCs w:val="20"/>
        </w:rPr>
        <w:t xml:space="preserve"> (T-score less than -2 but more than -2.5</w:t>
      </w:r>
      <w:r w:rsidRPr="00F0550C">
        <w:rPr>
          <w:b/>
          <w:i/>
          <w:iCs/>
          <w:sz w:val="20"/>
          <w:szCs w:val="20"/>
        </w:rPr>
        <w:t xml:space="preserve"> </w:t>
      </w:r>
      <w:r w:rsidR="000C6C2F" w:rsidRPr="00F0550C">
        <w:rPr>
          <w:i/>
          <w:iCs/>
          <w:sz w:val="20"/>
          <w:szCs w:val="20"/>
        </w:rPr>
        <w:tab/>
      </w:r>
      <w:r w:rsidRPr="00F0550C">
        <w:rPr>
          <w:b/>
          <w:i/>
          <w:iCs/>
          <w:sz w:val="20"/>
          <w:szCs w:val="20"/>
        </w:rPr>
        <w:t>Osteoporosis=</w:t>
      </w:r>
      <w:r w:rsidRPr="00F0550C">
        <w:rPr>
          <w:i/>
          <w:iCs/>
          <w:sz w:val="20"/>
          <w:szCs w:val="20"/>
        </w:rPr>
        <w:t>T score ≤ -2.5</w:t>
      </w:r>
    </w:p>
    <w:p w:rsidR="004D04E7" w:rsidRPr="00F0550C" w:rsidRDefault="004D04E7" w:rsidP="00E17342">
      <w:pPr>
        <w:bidi w:val="0"/>
        <w:adjustRightInd w:val="0"/>
        <w:snapToGrid w:val="0"/>
        <w:jc w:val="both"/>
        <w:rPr>
          <w:i/>
          <w:iCs/>
          <w:sz w:val="20"/>
          <w:szCs w:val="20"/>
        </w:rPr>
      </w:pPr>
      <w:r w:rsidRPr="00F0550C">
        <w:rPr>
          <w:b/>
          <w:i/>
          <w:iCs/>
          <w:sz w:val="20"/>
          <w:szCs w:val="20"/>
        </w:rPr>
        <w:t>T-score =</w:t>
      </w:r>
      <w:r w:rsidRPr="00F0550C">
        <w:rPr>
          <w:i/>
          <w:iCs/>
          <w:sz w:val="20"/>
          <w:szCs w:val="20"/>
        </w:rPr>
        <w:t>difference</w:t>
      </w:r>
      <w:r w:rsidRPr="00F0550C">
        <w:rPr>
          <w:b/>
          <w:i/>
          <w:iCs/>
          <w:sz w:val="20"/>
          <w:szCs w:val="20"/>
        </w:rPr>
        <w:t xml:space="preserve"> </w:t>
      </w:r>
      <w:r w:rsidRPr="00F0550C">
        <w:rPr>
          <w:i/>
          <w:iCs/>
          <w:sz w:val="20"/>
          <w:szCs w:val="20"/>
        </w:rPr>
        <w:t>in the number of standard deviations between an</w:t>
      </w:r>
      <w:r w:rsidRPr="00F0550C">
        <w:rPr>
          <w:b/>
          <w:i/>
          <w:iCs/>
          <w:sz w:val="20"/>
          <w:szCs w:val="20"/>
        </w:rPr>
        <w:t xml:space="preserve"> </w:t>
      </w:r>
      <w:proofErr w:type="spellStart"/>
      <w:r w:rsidRPr="00F0550C">
        <w:rPr>
          <w:i/>
          <w:iCs/>
          <w:sz w:val="20"/>
          <w:szCs w:val="20"/>
        </w:rPr>
        <w:t>individuals</w:t>
      </w:r>
      <w:proofErr w:type="spellEnd"/>
      <w:r w:rsidRPr="00F0550C">
        <w:rPr>
          <w:i/>
          <w:iCs/>
          <w:sz w:val="20"/>
          <w:szCs w:val="20"/>
        </w:rPr>
        <w:t xml:space="preserve"> BMD and the mean for a group of young healthy women.</w:t>
      </w:r>
    </w:p>
    <w:p w:rsidR="006803B0" w:rsidRDefault="006803B0" w:rsidP="00E17342">
      <w:pPr>
        <w:bidi w:val="0"/>
        <w:adjustRightInd w:val="0"/>
        <w:snapToGrid w:val="0"/>
        <w:jc w:val="center"/>
        <w:rPr>
          <w:rFonts w:eastAsiaTheme="minorEastAsia" w:hint="eastAsia"/>
          <w:b/>
          <w:sz w:val="20"/>
          <w:szCs w:val="20"/>
          <w:lang w:eastAsia="zh-CN"/>
        </w:rPr>
      </w:pPr>
    </w:p>
    <w:p w:rsidR="006D2C3E" w:rsidRPr="00F0550C" w:rsidRDefault="006D2C3E" w:rsidP="006D2C3E">
      <w:pPr>
        <w:bidi w:val="0"/>
        <w:adjustRightInd w:val="0"/>
        <w:snapToGrid w:val="0"/>
        <w:jc w:val="center"/>
        <w:rPr>
          <w:rFonts w:eastAsiaTheme="minorEastAsia"/>
          <w:b/>
          <w:sz w:val="20"/>
          <w:szCs w:val="20"/>
          <w:lang w:eastAsia="zh-CN"/>
        </w:rPr>
      </w:pPr>
    </w:p>
    <w:p w:rsidR="004D04E7" w:rsidRPr="00F0550C" w:rsidRDefault="004D04E7" w:rsidP="00E17342">
      <w:pPr>
        <w:bidi w:val="0"/>
        <w:adjustRightInd w:val="0"/>
        <w:snapToGrid w:val="0"/>
        <w:jc w:val="both"/>
        <w:rPr>
          <w:b/>
          <w:sz w:val="20"/>
          <w:szCs w:val="20"/>
        </w:rPr>
      </w:pPr>
      <w:r w:rsidRPr="00F0550C">
        <w:rPr>
          <w:b/>
          <w:sz w:val="20"/>
          <w:szCs w:val="20"/>
        </w:rPr>
        <w:t xml:space="preserve">Table </w:t>
      </w:r>
      <w:r w:rsidR="0021376F" w:rsidRPr="00F0550C">
        <w:rPr>
          <w:b/>
          <w:sz w:val="20"/>
          <w:szCs w:val="20"/>
        </w:rPr>
        <w:t>(3)</w:t>
      </w:r>
      <w:r w:rsidRPr="00F0550C">
        <w:rPr>
          <w:b/>
          <w:sz w:val="20"/>
          <w:szCs w:val="20"/>
        </w:rPr>
        <w:t>: Relation between BMD shift at 12 months evaluation and age, early menopause and previous chemotherapy: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1440"/>
        <w:gridCol w:w="1516"/>
        <w:gridCol w:w="1254"/>
        <w:gridCol w:w="1338"/>
        <w:gridCol w:w="1298"/>
        <w:gridCol w:w="938"/>
      </w:tblGrid>
      <w:tr w:rsidR="004D04E7" w:rsidRPr="00F0550C" w:rsidTr="001215AB">
        <w:trPr>
          <w:jc w:val="center"/>
        </w:trPr>
        <w:tc>
          <w:tcPr>
            <w:tcW w:w="4532" w:type="dxa"/>
            <w:gridSpan w:val="3"/>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Variable</w:t>
            </w:r>
          </w:p>
        </w:tc>
        <w:tc>
          <w:tcPr>
            <w:tcW w:w="1254" w:type="dxa"/>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Improve</w:t>
            </w:r>
          </w:p>
        </w:tc>
        <w:tc>
          <w:tcPr>
            <w:tcW w:w="1338" w:type="dxa"/>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Decline</w:t>
            </w:r>
          </w:p>
        </w:tc>
        <w:tc>
          <w:tcPr>
            <w:tcW w:w="1298" w:type="dxa"/>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Stable</w:t>
            </w:r>
          </w:p>
        </w:tc>
        <w:tc>
          <w:tcPr>
            <w:tcW w:w="938" w:type="dxa"/>
          </w:tcPr>
          <w:p w:rsidR="004D04E7" w:rsidRPr="00F0550C" w:rsidRDefault="004D04E7" w:rsidP="00E17342">
            <w:pPr>
              <w:bidi w:val="0"/>
              <w:adjustRightInd w:val="0"/>
              <w:snapToGrid w:val="0"/>
              <w:jc w:val="both"/>
              <w:rPr>
                <w:b/>
                <w:bCs/>
                <w:i/>
                <w:iCs/>
                <w:color w:val="000000"/>
                <w:sz w:val="20"/>
                <w:szCs w:val="20"/>
              </w:rPr>
            </w:pPr>
            <w:r w:rsidRPr="00F0550C">
              <w:rPr>
                <w:b/>
                <w:bCs/>
                <w:i/>
                <w:iCs/>
                <w:color w:val="000000"/>
                <w:sz w:val="20"/>
                <w:szCs w:val="20"/>
              </w:rPr>
              <w:t>P</w:t>
            </w:r>
          </w:p>
        </w:tc>
      </w:tr>
      <w:tr w:rsidR="004D04E7" w:rsidRPr="00F0550C" w:rsidTr="001215AB">
        <w:trPr>
          <w:jc w:val="center"/>
        </w:trPr>
        <w:tc>
          <w:tcPr>
            <w:tcW w:w="1576" w:type="dxa"/>
            <w:vMerge w:val="restart"/>
          </w:tcPr>
          <w:p w:rsidR="004D04E7" w:rsidRPr="001215AB" w:rsidRDefault="004D04E7" w:rsidP="00E17342">
            <w:pPr>
              <w:bidi w:val="0"/>
              <w:adjustRightInd w:val="0"/>
              <w:snapToGrid w:val="0"/>
              <w:jc w:val="both"/>
              <w:rPr>
                <w:rFonts w:eastAsiaTheme="minorEastAsia" w:hint="eastAsia"/>
                <w:color w:val="000000"/>
                <w:sz w:val="20"/>
                <w:szCs w:val="20"/>
                <w:lang w:eastAsia="zh-CN"/>
              </w:rPr>
            </w:pPr>
            <w:r w:rsidRPr="00F0550C">
              <w:rPr>
                <w:color w:val="000000"/>
                <w:sz w:val="20"/>
                <w:szCs w:val="20"/>
              </w:rPr>
              <w:t>Age</w:t>
            </w: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1</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≥65y (n=7)</w:t>
            </w:r>
          </w:p>
          <w:p w:rsidR="004D04E7" w:rsidRPr="00F0550C" w:rsidRDefault="004D04E7" w:rsidP="00E17342">
            <w:pPr>
              <w:bidi w:val="0"/>
              <w:adjustRightInd w:val="0"/>
              <w:snapToGrid w:val="0"/>
              <w:jc w:val="both"/>
              <w:rPr>
                <w:bCs/>
                <w:color w:val="000000"/>
                <w:sz w:val="20"/>
                <w:szCs w:val="20"/>
              </w:rPr>
            </w:pPr>
            <w:r w:rsidRPr="00F0550C">
              <w:rPr>
                <w:color w:val="000000"/>
                <w:sz w:val="20"/>
                <w:szCs w:val="20"/>
              </w:rPr>
              <w:t>&lt; 65y (n=39)</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 (14.3%)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 (7.7%)</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5 (71.4%)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27(69.2%)</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 (14.3%)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 (23.1%)</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0.77</w:t>
            </w:r>
          </w:p>
        </w:tc>
      </w:tr>
      <w:tr w:rsidR="004D04E7" w:rsidRPr="00F0550C" w:rsidTr="001215AB">
        <w:trPr>
          <w:trHeight w:val="70"/>
          <w:jc w:val="center"/>
        </w:trPr>
        <w:tc>
          <w:tcPr>
            <w:tcW w:w="1576" w:type="dxa"/>
            <w:vMerge/>
          </w:tcPr>
          <w:p w:rsidR="004D04E7" w:rsidRPr="00F0550C" w:rsidRDefault="004D04E7" w:rsidP="00E17342">
            <w:pPr>
              <w:bidi w:val="0"/>
              <w:adjustRightInd w:val="0"/>
              <w:snapToGrid w:val="0"/>
              <w:jc w:val="both"/>
              <w:rPr>
                <w:color w:val="000000"/>
                <w:sz w:val="20"/>
                <w:szCs w:val="20"/>
              </w:rPr>
            </w:pP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2</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≥65y (n=9)</w:t>
            </w:r>
          </w:p>
          <w:p w:rsidR="004D04E7" w:rsidRPr="00F0550C" w:rsidRDefault="004D04E7" w:rsidP="00E17342">
            <w:pPr>
              <w:bidi w:val="0"/>
              <w:adjustRightInd w:val="0"/>
              <w:snapToGrid w:val="0"/>
              <w:jc w:val="both"/>
              <w:rPr>
                <w:bCs/>
                <w:color w:val="000000"/>
                <w:sz w:val="20"/>
                <w:szCs w:val="20"/>
              </w:rPr>
            </w:pPr>
            <w:r w:rsidRPr="00F0550C">
              <w:rPr>
                <w:color w:val="000000"/>
                <w:sz w:val="20"/>
                <w:szCs w:val="20"/>
              </w:rPr>
              <w:t>&lt; 65y (n=37)</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 (11.1%)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7 (18.9%)</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 (33.3%)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6 (16.2%)</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5 (55.6%)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24 (64.9%)</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0.48</w:t>
            </w:r>
          </w:p>
        </w:tc>
      </w:tr>
      <w:tr w:rsidR="004D04E7" w:rsidRPr="00F0550C" w:rsidTr="001215AB">
        <w:trPr>
          <w:trHeight w:val="70"/>
          <w:jc w:val="center"/>
        </w:trPr>
        <w:tc>
          <w:tcPr>
            <w:tcW w:w="1576" w:type="dxa"/>
            <w:vMerge w:val="restart"/>
          </w:tcPr>
          <w:p w:rsidR="004D04E7" w:rsidRPr="001215AB" w:rsidRDefault="004D04E7" w:rsidP="00E17342">
            <w:pPr>
              <w:bidi w:val="0"/>
              <w:adjustRightInd w:val="0"/>
              <w:snapToGrid w:val="0"/>
              <w:jc w:val="both"/>
              <w:rPr>
                <w:rFonts w:eastAsiaTheme="minorEastAsia" w:hint="eastAsia"/>
                <w:bCs/>
                <w:color w:val="000000"/>
                <w:sz w:val="20"/>
                <w:szCs w:val="20"/>
                <w:lang w:eastAsia="zh-CN"/>
              </w:rPr>
            </w:pPr>
            <w:r w:rsidRPr="00F0550C">
              <w:rPr>
                <w:bCs/>
                <w:color w:val="000000"/>
                <w:sz w:val="20"/>
                <w:szCs w:val="20"/>
              </w:rPr>
              <w:t>Early menopause</w:t>
            </w: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1</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Yes (n=9)</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 (n=37)</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 (22.2%)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 (5.3%)</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5 (55.6%)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26 (68.4%)</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 (22.2%)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10(26.3%)</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0.1</w:t>
            </w:r>
          </w:p>
        </w:tc>
      </w:tr>
      <w:tr w:rsidR="004D04E7" w:rsidRPr="00F0550C" w:rsidTr="001215AB">
        <w:trPr>
          <w:trHeight w:val="70"/>
          <w:jc w:val="center"/>
        </w:trPr>
        <w:tc>
          <w:tcPr>
            <w:tcW w:w="1576" w:type="dxa"/>
            <w:vMerge/>
          </w:tcPr>
          <w:p w:rsidR="004D04E7" w:rsidRPr="00F0550C" w:rsidRDefault="004D04E7" w:rsidP="00E17342">
            <w:pPr>
              <w:bidi w:val="0"/>
              <w:adjustRightInd w:val="0"/>
              <w:snapToGrid w:val="0"/>
              <w:jc w:val="both"/>
              <w:rPr>
                <w:color w:val="000000"/>
                <w:sz w:val="20"/>
                <w:szCs w:val="20"/>
              </w:rPr>
            </w:pP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2</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Yes (n=6)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 (n=40)</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 (33.3%)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7 (17.5%)</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 (33.3%)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8 (20%)</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2 (33.3%)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25 (62.5%)</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0.39</w:t>
            </w:r>
          </w:p>
        </w:tc>
      </w:tr>
      <w:tr w:rsidR="004D04E7" w:rsidRPr="00F0550C" w:rsidTr="001215AB">
        <w:trPr>
          <w:trHeight w:val="70"/>
          <w:jc w:val="center"/>
        </w:trPr>
        <w:tc>
          <w:tcPr>
            <w:tcW w:w="1576" w:type="dxa"/>
            <w:vMerge w:val="restart"/>
          </w:tcPr>
          <w:p w:rsidR="004D04E7" w:rsidRPr="001215AB" w:rsidRDefault="004D04E7" w:rsidP="00E17342">
            <w:pPr>
              <w:bidi w:val="0"/>
              <w:adjustRightInd w:val="0"/>
              <w:snapToGrid w:val="0"/>
              <w:jc w:val="both"/>
              <w:rPr>
                <w:rFonts w:eastAsiaTheme="minorEastAsia" w:hint="eastAsia"/>
                <w:color w:val="000000"/>
                <w:sz w:val="20"/>
                <w:szCs w:val="20"/>
                <w:lang w:eastAsia="zh-CN"/>
              </w:rPr>
            </w:pPr>
            <w:r w:rsidRPr="00F0550C">
              <w:rPr>
                <w:color w:val="000000"/>
                <w:sz w:val="20"/>
                <w:szCs w:val="20"/>
              </w:rPr>
              <w:t>Previous chemotherapy</w:t>
            </w: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1</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Yes (n=29)</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 (n=17)</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 (10.3%)</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 (5.8%)</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17 (58.6%)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14 (82.4%)</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9 (31.1%)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 (11.8%)</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0.24</w:t>
            </w:r>
          </w:p>
        </w:tc>
      </w:tr>
      <w:tr w:rsidR="004D04E7" w:rsidRPr="00F0550C" w:rsidTr="001215AB">
        <w:trPr>
          <w:trHeight w:val="70"/>
          <w:jc w:val="center"/>
        </w:trPr>
        <w:tc>
          <w:tcPr>
            <w:tcW w:w="1576" w:type="dxa"/>
            <w:vMerge/>
          </w:tcPr>
          <w:p w:rsidR="004D04E7" w:rsidRPr="00F0550C" w:rsidRDefault="004D04E7" w:rsidP="00E17342">
            <w:pPr>
              <w:bidi w:val="0"/>
              <w:adjustRightInd w:val="0"/>
              <w:snapToGrid w:val="0"/>
              <w:jc w:val="both"/>
              <w:rPr>
                <w:color w:val="000000"/>
                <w:sz w:val="20"/>
                <w:szCs w:val="20"/>
              </w:rPr>
            </w:pPr>
          </w:p>
        </w:tc>
        <w:tc>
          <w:tcPr>
            <w:tcW w:w="1440"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Arm 2</w:t>
            </w:r>
          </w:p>
        </w:tc>
        <w:tc>
          <w:tcPr>
            <w:tcW w:w="1516"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Yes (n=36)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No (n=10)</w:t>
            </w:r>
          </w:p>
        </w:tc>
        <w:tc>
          <w:tcPr>
            <w:tcW w:w="1254"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9 (25%)</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 (20%)</w:t>
            </w:r>
          </w:p>
        </w:tc>
        <w:tc>
          <w:tcPr>
            <w:tcW w:w="13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10 (27.8%)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 (10%)</w:t>
            </w:r>
          </w:p>
        </w:tc>
        <w:tc>
          <w:tcPr>
            <w:tcW w:w="129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17 (47.2%)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7 (70%)</w:t>
            </w:r>
          </w:p>
        </w:tc>
        <w:tc>
          <w:tcPr>
            <w:tcW w:w="938" w:type="dxa"/>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0.38</w:t>
            </w:r>
          </w:p>
        </w:tc>
      </w:tr>
    </w:tbl>
    <w:p w:rsidR="004D04E7" w:rsidRDefault="004D04E7" w:rsidP="00E17342">
      <w:pPr>
        <w:bidi w:val="0"/>
        <w:adjustRightInd w:val="0"/>
        <w:snapToGrid w:val="0"/>
        <w:jc w:val="center"/>
        <w:rPr>
          <w:rFonts w:eastAsiaTheme="minorEastAsia" w:hint="eastAsia"/>
          <w:sz w:val="20"/>
          <w:szCs w:val="20"/>
          <w:lang w:eastAsia="zh-CN"/>
        </w:rPr>
      </w:pPr>
    </w:p>
    <w:p w:rsidR="006D2C3E" w:rsidRPr="006D2C3E" w:rsidRDefault="006D2C3E" w:rsidP="006D2C3E">
      <w:pPr>
        <w:bidi w:val="0"/>
        <w:adjustRightInd w:val="0"/>
        <w:snapToGrid w:val="0"/>
        <w:jc w:val="center"/>
        <w:rPr>
          <w:rFonts w:eastAsiaTheme="minorEastAsia" w:hint="eastAsia"/>
          <w:sz w:val="20"/>
          <w:szCs w:val="20"/>
          <w:lang w:eastAsia="zh-CN"/>
        </w:rPr>
      </w:pPr>
    </w:p>
    <w:p w:rsidR="004D04E7" w:rsidRPr="00F0550C" w:rsidRDefault="004D04E7" w:rsidP="00E17342">
      <w:pPr>
        <w:bidi w:val="0"/>
        <w:adjustRightInd w:val="0"/>
        <w:snapToGrid w:val="0"/>
        <w:jc w:val="center"/>
        <w:rPr>
          <w:b/>
          <w:sz w:val="20"/>
          <w:szCs w:val="20"/>
        </w:rPr>
      </w:pPr>
      <w:r w:rsidRPr="00F0550C">
        <w:rPr>
          <w:b/>
          <w:sz w:val="20"/>
          <w:szCs w:val="20"/>
        </w:rPr>
        <w:t xml:space="preserve">Table </w:t>
      </w:r>
      <w:r w:rsidR="0021376F" w:rsidRPr="00F0550C">
        <w:rPr>
          <w:b/>
          <w:sz w:val="20"/>
          <w:szCs w:val="20"/>
        </w:rPr>
        <w:t>(4</w:t>
      </w:r>
      <w:r w:rsidRPr="00F0550C">
        <w:rPr>
          <w:b/>
          <w:sz w:val="20"/>
          <w:szCs w:val="20"/>
        </w:rPr>
        <w:t>): Toxicity pattern in both treatment arms: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29" w:type="dxa"/>
          <w:right w:w="0" w:type="dxa"/>
        </w:tblCellMar>
        <w:tblLook w:val="00A0"/>
      </w:tblPr>
      <w:tblGrid>
        <w:gridCol w:w="2483"/>
        <w:gridCol w:w="793"/>
        <w:gridCol w:w="2640"/>
        <w:gridCol w:w="2640"/>
        <w:gridCol w:w="840"/>
      </w:tblGrid>
      <w:tr w:rsidR="004D04E7" w:rsidRPr="00F0550C" w:rsidTr="001215AB">
        <w:trPr>
          <w:tblHeader/>
          <w:jc w:val="center"/>
        </w:trPr>
        <w:tc>
          <w:tcPr>
            <w:tcW w:w="1321" w:type="pct"/>
            <w:vAlign w:val="center"/>
          </w:tcPr>
          <w:p w:rsidR="004D04E7" w:rsidRPr="00F0550C" w:rsidRDefault="004D04E7" w:rsidP="00E17342">
            <w:pPr>
              <w:bidi w:val="0"/>
              <w:adjustRightInd w:val="0"/>
              <w:snapToGrid w:val="0"/>
              <w:jc w:val="both"/>
              <w:rPr>
                <w:color w:val="000000"/>
                <w:sz w:val="20"/>
                <w:szCs w:val="20"/>
              </w:rPr>
            </w:pPr>
          </w:p>
        </w:tc>
        <w:tc>
          <w:tcPr>
            <w:tcW w:w="422"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Grade</w:t>
            </w:r>
          </w:p>
        </w:tc>
        <w:tc>
          <w:tcPr>
            <w:tcW w:w="1405"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w:t>
            </w:r>
            <w:r w:rsidR="006803B0" w:rsidRPr="00F0550C">
              <w:rPr>
                <w:b/>
                <w:bCs/>
                <w:color w:val="000000"/>
                <w:sz w:val="20"/>
                <w:szCs w:val="20"/>
              </w:rPr>
              <w:t xml:space="preserve"> </w:t>
            </w:r>
            <w:r w:rsidRPr="00F0550C">
              <w:rPr>
                <w:b/>
                <w:bCs/>
                <w:color w:val="000000"/>
                <w:sz w:val="20"/>
                <w:szCs w:val="20"/>
              </w:rPr>
              <w:t>1</w:t>
            </w:r>
            <w:r w:rsidR="006803B0" w:rsidRPr="00F0550C">
              <w:rPr>
                <w:b/>
                <w:bCs/>
                <w:color w:val="000000"/>
                <w:sz w:val="20"/>
                <w:szCs w:val="20"/>
              </w:rPr>
              <w:t xml:space="preserve"> </w:t>
            </w:r>
            <w:r w:rsidRPr="00F0550C">
              <w:rPr>
                <w:b/>
                <w:bCs/>
                <w:color w:val="000000"/>
                <w:sz w:val="20"/>
                <w:szCs w:val="20"/>
              </w:rPr>
              <w:t>No</w:t>
            </w:r>
            <w:proofErr w:type="gramStart"/>
            <w:r w:rsidRPr="00F0550C">
              <w:rPr>
                <w:b/>
                <w:bCs/>
                <w:color w:val="000000"/>
                <w:sz w:val="20"/>
                <w:szCs w:val="20"/>
              </w:rPr>
              <w:t>.=</w:t>
            </w:r>
            <w:proofErr w:type="gramEnd"/>
            <w:r w:rsidRPr="00F0550C">
              <w:rPr>
                <w:b/>
                <w:bCs/>
                <w:color w:val="000000"/>
                <w:sz w:val="20"/>
                <w:szCs w:val="20"/>
              </w:rPr>
              <w:t>50No.</w:t>
            </w:r>
            <w:r w:rsidR="006803B0" w:rsidRPr="00F0550C">
              <w:rPr>
                <w:b/>
                <w:bCs/>
                <w:color w:val="000000"/>
                <w:sz w:val="20"/>
                <w:szCs w:val="20"/>
              </w:rPr>
              <w:t xml:space="preserve"> </w:t>
            </w:r>
            <w:r w:rsidRPr="00F0550C">
              <w:rPr>
                <w:b/>
                <w:bCs/>
                <w:color w:val="000000"/>
                <w:sz w:val="20"/>
                <w:szCs w:val="20"/>
              </w:rPr>
              <w:t>(%)</w:t>
            </w:r>
          </w:p>
        </w:tc>
        <w:tc>
          <w:tcPr>
            <w:tcW w:w="1405" w:type="pct"/>
            <w:vAlign w:val="center"/>
          </w:tcPr>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Arm</w:t>
            </w:r>
            <w:r w:rsidR="006803B0" w:rsidRPr="00F0550C">
              <w:rPr>
                <w:b/>
                <w:bCs/>
                <w:color w:val="000000"/>
                <w:sz w:val="20"/>
                <w:szCs w:val="20"/>
              </w:rPr>
              <w:t xml:space="preserve"> </w:t>
            </w:r>
            <w:r w:rsidRPr="00F0550C">
              <w:rPr>
                <w:b/>
                <w:bCs/>
                <w:color w:val="000000"/>
                <w:sz w:val="20"/>
                <w:szCs w:val="20"/>
              </w:rPr>
              <w:t>2</w:t>
            </w:r>
            <w:r w:rsidR="006803B0" w:rsidRPr="00F0550C">
              <w:rPr>
                <w:b/>
                <w:bCs/>
                <w:color w:val="000000"/>
                <w:sz w:val="20"/>
                <w:szCs w:val="20"/>
              </w:rPr>
              <w:t xml:space="preserve"> </w:t>
            </w:r>
            <w:r w:rsidRPr="00F0550C">
              <w:rPr>
                <w:b/>
                <w:bCs/>
                <w:color w:val="000000"/>
                <w:sz w:val="20"/>
                <w:szCs w:val="20"/>
              </w:rPr>
              <w:t>No</w:t>
            </w:r>
            <w:proofErr w:type="gramStart"/>
            <w:r w:rsidRPr="00F0550C">
              <w:rPr>
                <w:b/>
                <w:bCs/>
                <w:color w:val="000000"/>
                <w:sz w:val="20"/>
                <w:szCs w:val="20"/>
              </w:rPr>
              <w:t>.=</w:t>
            </w:r>
            <w:proofErr w:type="gramEnd"/>
            <w:r w:rsidRPr="00F0550C">
              <w:rPr>
                <w:b/>
                <w:bCs/>
                <w:color w:val="000000"/>
                <w:sz w:val="20"/>
                <w:szCs w:val="20"/>
              </w:rPr>
              <w:t>50No.</w:t>
            </w:r>
            <w:r w:rsidR="006803B0" w:rsidRPr="00F0550C">
              <w:rPr>
                <w:b/>
                <w:bCs/>
                <w:color w:val="000000"/>
                <w:sz w:val="20"/>
                <w:szCs w:val="20"/>
              </w:rPr>
              <w:t xml:space="preserve"> </w:t>
            </w:r>
            <w:r w:rsidRPr="00F0550C">
              <w:rPr>
                <w:b/>
                <w:bCs/>
                <w:color w:val="000000"/>
                <w:sz w:val="20"/>
                <w:szCs w:val="20"/>
              </w:rPr>
              <w:t>(%)</w:t>
            </w:r>
          </w:p>
        </w:tc>
        <w:tc>
          <w:tcPr>
            <w:tcW w:w="447" w:type="pct"/>
            <w:vAlign w:val="center"/>
          </w:tcPr>
          <w:p w:rsidR="004D04E7" w:rsidRPr="00F0550C" w:rsidRDefault="004D04E7" w:rsidP="00E17342">
            <w:pPr>
              <w:bidi w:val="0"/>
              <w:adjustRightInd w:val="0"/>
              <w:snapToGrid w:val="0"/>
              <w:jc w:val="both"/>
              <w:rPr>
                <w:color w:val="000000"/>
                <w:sz w:val="20"/>
                <w:szCs w:val="20"/>
              </w:rPr>
            </w:pPr>
            <w:proofErr w:type="spellStart"/>
            <w:r w:rsidRPr="00F0550C">
              <w:rPr>
                <w:b/>
                <w:bCs/>
                <w:i/>
                <w:iCs/>
                <w:color w:val="000000"/>
                <w:sz w:val="20"/>
                <w:szCs w:val="20"/>
              </w:rPr>
              <w:t>P</w:t>
            </w:r>
            <w:r w:rsidRPr="00F0550C">
              <w:rPr>
                <w:b/>
                <w:bCs/>
                <w:color w:val="000000"/>
                <w:sz w:val="20"/>
                <w:szCs w:val="20"/>
              </w:rPr>
              <w:t>value</w:t>
            </w:r>
            <w:proofErr w:type="spellEnd"/>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proofErr w:type="spellStart"/>
            <w:r w:rsidRPr="00F0550C">
              <w:rPr>
                <w:color w:val="000000"/>
                <w:sz w:val="20"/>
                <w:szCs w:val="20"/>
              </w:rPr>
              <w:t>Artharalgia</w:t>
            </w:r>
            <w:proofErr w:type="spellEnd"/>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37</w:t>
            </w:r>
            <w:r w:rsidR="006803B0" w:rsidRPr="00F0550C">
              <w:rPr>
                <w:color w:val="000000"/>
                <w:sz w:val="20"/>
                <w:szCs w:val="20"/>
              </w:rPr>
              <w:tab/>
              <w:t>(</w:t>
            </w:r>
            <w:r w:rsidRPr="00F0550C">
              <w:rPr>
                <w:color w:val="000000"/>
                <w:sz w:val="20"/>
                <w:szCs w:val="20"/>
              </w:rPr>
              <w:t>74%)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8%)</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32</w:t>
            </w:r>
            <w:r w:rsidR="006803B0" w:rsidRPr="00F0550C">
              <w:rPr>
                <w:color w:val="000000"/>
                <w:sz w:val="20"/>
                <w:szCs w:val="20"/>
              </w:rPr>
              <w:tab/>
              <w:t>(</w:t>
            </w:r>
            <w:r w:rsidRPr="00F0550C">
              <w:rPr>
                <w:color w:val="000000"/>
                <w:sz w:val="20"/>
                <w:szCs w:val="20"/>
              </w:rPr>
              <w:t>64%)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w:t>
            </w:r>
            <w:r w:rsidR="006803B0" w:rsidRPr="00F0550C">
              <w:rPr>
                <w:color w:val="000000"/>
                <w:sz w:val="20"/>
                <w:szCs w:val="20"/>
              </w:rPr>
              <w:tab/>
              <w:t>(</w:t>
            </w:r>
            <w:r w:rsidRPr="00F0550C">
              <w:rPr>
                <w:color w:val="000000"/>
                <w:sz w:val="20"/>
                <w:szCs w:val="20"/>
              </w:rPr>
              <w:t>24%)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6</w:t>
            </w:r>
            <w:r w:rsidR="006803B0" w:rsidRPr="00F0550C">
              <w:rPr>
                <w:rFonts w:eastAsiaTheme="minorEastAsia" w:hint="eastAsia"/>
                <w:color w:val="000000"/>
                <w:sz w:val="20"/>
                <w:szCs w:val="20"/>
                <w:lang w:eastAsia="zh-CN"/>
              </w:rPr>
              <w:tab/>
            </w:r>
            <w:r w:rsidRPr="00F0550C">
              <w:rPr>
                <w:color w:val="000000"/>
                <w:sz w:val="20"/>
                <w:szCs w:val="20"/>
              </w:rPr>
              <w:t>(12%)</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0.55</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Bone</w:t>
            </w:r>
            <w:r w:rsidR="006803B0" w:rsidRPr="00F0550C">
              <w:rPr>
                <w:color w:val="000000"/>
                <w:sz w:val="20"/>
                <w:szCs w:val="20"/>
              </w:rPr>
              <w:t xml:space="preserve"> </w:t>
            </w:r>
            <w:r w:rsidRPr="00F0550C">
              <w:rPr>
                <w:color w:val="000000"/>
                <w:sz w:val="20"/>
                <w:szCs w:val="20"/>
              </w:rPr>
              <w:t>pain</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40</w:t>
            </w:r>
            <w:r w:rsidR="006803B0" w:rsidRPr="00F0550C">
              <w:rPr>
                <w:color w:val="000000"/>
                <w:sz w:val="20"/>
                <w:szCs w:val="20"/>
              </w:rPr>
              <w:tab/>
              <w:t>(</w:t>
            </w:r>
            <w:r w:rsidRPr="00F0550C">
              <w:rPr>
                <w:color w:val="000000"/>
                <w:sz w:val="20"/>
                <w:szCs w:val="20"/>
              </w:rPr>
              <w:t>80%)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w:t>
            </w:r>
            <w:r w:rsidR="006803B0" w:rsidRPr="00F0550C">
              <w:rPr>
                <w:color w:val="000000"/>
                <w:sz w:val="20"/>
                <w:szCs w:val="20"/>
              </w:rPr>
              <w:tab/>
              <w:t>(</w:t>
            </w:r>
            <w:r w:rsidRPr="00F0550C">
              <w:rPr>
                <w:color w:val="000000"/>
                <w:sz w:val="20"/>
                <w:szCs w:val="20"/>
              </w:rPr>
              <w:t>18%)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31</w:t>
            </w:r>
            <w:r w:rsidR="006803B0" w:rsidRPr="00F0550C">
              <w:rPr>
                <w:color w:val="000000"/>
                <w:sz w:val="20"/>
                <w:szCs w:val="20"/>
              </w:rPr>
              <w:tab/>
              <w:t>(</w:t>
            </w:r>
            <w:r w:rsidRPr="00F0550C">
              <w:rPr>
                <w:color w:val="000000"/>
                <w:sz w:val="20"/>
                <w:szCs w:val="20"/>
              </w:rPr>
              <w:t>62%)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15</w:t>
            </w:r>
            <w:r w:rsidR="006803B0" w:rsidRPr="00F0550C">
              <w:rPr>
                <w:rFonts w:eastAsiaTheme="minorEastAsia" w:hint="eastAsia"/>
                <w:color w:val="000000"/>
                <w:sz w:val="20"/>
                <w:szCs w:val="20"/>
                <w:lang w:eastAsia="zh-CN"/>
              </w:rPr>
              <w:tab/>
            </w:r>
            <w:r w:rsidR="006803B0" w:rsidRPr="00F0550C">
              <w:rPr>
                <w:color w:val="000000"/>
                <w:sz w:val="20"/>
                <w:szCs w:val="20"/>
              </w:rPr>
              <w:t>(</w:t>
            </w:r>
            <w:r w:rsidRPr="00F0550C">
              <w:rPr>
                <w:color w:val="000000"/>
                <w:sz w:val="20"/>
                <w:szCs w:val="20"/>
              </w:rPr>
              <w:t>50%)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w:t>
            </w:r>
            <w:r w:rsidR="006803B0" w:rsidRPr="00F0550C">
              <w:rPr>
                <w:rFonts w:eastAsiaTheme="minorEastAsia" w:hint="eastAsia"/>
                <w:color w:val="000000"/>
                <w:sz w:val="20"/>
                <w:szCs w:val="20"/>
                <w:lang w:eastAsia="zh-CN"/>
              </w:rPr>
              <w:tab/>
            </w:r>
            <w:r w:rsidRPr="00F0550C">
              <w:rPr>
                <w:color w:val="000000"/>
                <w:sz w:val="20"/>
                <w:szCs w:val="20"/>
              </w:rPr>
              <w:t>(8%)</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0.1</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proofErr w:type="spellStart"/>
            <w:r w:rsidRPr="00F0550C">
              <w:rPr>
                <w:color w:val="000000"/>
                <w:sz w:val="20"/>
                <w:szCs w:val="20"/>
              </w:rPr>
              <w:t>Myalgia</w:t>
            </w:r>
            <w:proofErr w:type="spellEnd"/>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38</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78%)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12</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40</w:t>
            </w:r>
            <w:r w:rsidR="006803B0" w:rsidRPr="00F0550C">
              <w:rPr>
                <w:color w:val="000000"/>
                <w:sz w:val="20"/>
                <w:szCs w:val="20"/>
              </w:rPr>
              <w:tab/>
              <w:t>(</w:t>
            </w:r>
            <w:r w:rsidRPr="00F0550C">
              <w:rPr>
                <w:color w:val="000000"/>
                <w:sz w:val="20"/>
                <w:szCs w:val="20"/>
              </w:rPr>
              <w:t>80%)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w:t>
            </w:r>
            <w:r w:rsidR="006803B0" w:rsidRPr="00F0550C">
              <w:rPr>
                <w:rFonts w:eastAsiaTheme="minorEastAsia" w:hint="eastAsia"/>
                <w:color w:val="000000"/>
                <w:sz w:val="20"/>
                <w:szCs w:val="20"/>
                <w:lang w:eastAsia="zh-CN"/>
              </w:rPr>
              <w:tab/>
            </w:r>
            <w:r w:rsidRPr="00F0550C">
              <w:rPr>
                <w:color w:val="000000"/>
                <w:sz w:val="20"/>
                <w:szCs w:val="20"/>
              </w:rPr>
              <w:t>(18%)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0.47</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Fatigue</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33</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66%)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11</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6</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30</w:t>
            </w:r>
            <w:r w:rsidR="006803B0" w:rsidRPr="00F0550C">
              <w:rPr>
                <w:color w:val="000000"/>
                <w:sz w:val="20"/>
                <w:szCs w:val="20"/>
              </w:rPr>
              <w:tab/>
              <w:t>(</w:t>
            </w:r>
            <w:r w:rsidRPr="00F0550C">
              <w:rPr>
                <w:color w:val="000000"/>
                <w:sz w:val="20"/>
                <w:szCs w:val="20"/>
              </w:rPr>
              <w:t>60%)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14</w:t>
            </w:r>
            <w:r w:rsidR="006803B0" w:rsidRPr="00F0550C">
              <w:rPr>
                <w:color w:val="000000"/>
                <w:sz w:val="20"/>
                <w:szCs w:val="20"/>
              </w:rPr>
              <w:tab/>
              <w:t>(</w:t>
            </w:r>
            <w:r w:rsidRPr="00F0550C">
              <w:rPr>
                <w:color w:val="000000"/>
                <w:sz w:val="20"/>
                <w:szCs w:val="20"/>
              </w:rPr>
              <w:t>28%)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6</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12%)</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0.77</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Fever</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46</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92%)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w:t>
            </w:r>
            <w:r w:rsidR="006803B0" w:rsidRPr="00F0550C">
              <w:rPr>
                <w:color w:val="000000"/>
                <w:sz w:val="20"/>
                <w:szCs w:val="20"/>
              </w:rPr>
              <w:t xml:space="preserve"> </w:t>
            </w:r>
            <w:r w:rsidR="006803B0" w:rsidRPr="00F0550C">
              <w:rPr>
                <w:rFonts w:eastAsiaTheme="minorEastAsia" w:hint="eastAsia"/>
                <w:color w:val="000000"/>
                <w:sz w:val="20"/>
                <w:szCs w:val="20"/>
                <w:lang w:eastAsia="zh-CN"/>
              </w:rPr>
              <w:tab/>
            </w:r>
            <w:r w:rsidR="006803B0" w:rsidRPr="00F0550C">
              <w:rPr>
                <w:color w:val="000000"/>
                <w:sz w:val="20"/>
                <w:szCs w:val="20"/>
              </w:rPr>
              <w:t>(</w:t>
            </w:r>
            <w:r w:rsidRPr="00F0550C">
              <w:rPr>
                <w:color w:val="000000"/>
                <w:sz w:val="20"/>
                <w:szCs w:val="20"/>
              </w:rPr>
              <w:t>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37</w:t>
            </w:r>
            <w:r w:rsidR="006803B0" w:rsidRPr="00F0550C">
              <w:rPr>
                <w:rFonts w:eastAsiaTheme="minorEastAsia" w:hint="eastAsia"/>
                <w:color w:val="000000"/>
                <w:sz w:val="20"/>
                <w:szCs w:val="20"/>
                <w:lang w:eastAsia="zh-CN"/>
              </w:rPr>
              <w:tab/>
            </w:r>
            <w:r w:rsidRPr="00F0550C">
              <w:rPr>
                <w:color w:val="000000"/>
                <w:sz w:val="20"/>
                <w:szCs w:val="20"/>
              </w:rPr>
              <w:t>(74%)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13</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b/>
                <w:bCs/>
                <w:color w:val="000000"/>
                <w:sz w:val="20"/>
                <w:szCs w:val="20"/>
              </w:rPr>
            </w:pPr>
            <w:r w:rsidRPr="00F0550C">
              <w:rPr>
                <w:b/>
                <w:bCs/>
                <w:color w:val="000000"/>
                <w:sz w:val="20"/>
                <w:szCs w:val="20"/>
              </w:rPr>
              <w:t>0.01*</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lastRenderedPageBreak/>
              <w:t>Morning</w:t>
            </w:r>
            <w:r w:rsidR="006803B0" w:rsidRPr="00F0550C">
              <w:rPr>
                <w:color w:val="000000"/>
                <w:sz w:val="20"/>
                <w:szCs w:val="20"/>
              </w:rPr>
              <w:t xml:space="preserve"> </w:t>
            </w:r>
            <w:r w:rsidRPr="00F0550C">
              <w:rPr>
                <w:color w:val="000000"/>
                <w:sz w:val="20"/>
                <w:szCs w:val="20"/>
              </w:rPr>
              <w:t>stiffness</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42</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84%)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8</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46</w:t>
            </w:r>
            <w:r w:rsidR="006803B0" w:rsidRPr="00F0550C">
              <w:rPr>
                <w:rFonts w:eastAsiaTheme="minorEastAsia" w:hint="eastAsia"/>
                <w:color w:val="000000"/>
                <w:sz w:val="20"/>
                <w:szCs w:val="20"/>
                <w:lang w:eastAsia="zh-CN"/>
              </w:rPr>
              <w:tab/>
            </w:r>
            <w:r w:rsidRPr="00F0550C">
              <w:rPr>
                <w:color w:val="000000"/>
                <w:sz w:val="20"/>
                <w:szCs w:val="20"/>
              </w:rPr>
              <w:t>(92%)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w:t>
            </w:r>
            <w:r w:rsidR="006803B0" w:rsidRPr="00F0550C">
              <w:rPr>
                <w:color w:val="000000"/>
                <w:sz w:val="20"/>
                <w:szCs w:val="20"/>
              </w:rPr>
              <w:tab/>
              <w:t>(</w:t>
            </w:r>
            <w:r w:rsidRPr="00F0550C">
              <w:rPr>
                <w:color w:val="000000"/>
                <w:sz w:val="20"/>
                <w:szCs w:val="20"/>
              </w:rPr>
              <w:t>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0.21</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Peripheral</w:t>
            </w:r>
            <w:r w:rsidR="006803B0" w:rsidRPr="00F0550C">
              <w:rPr>
                <w:color w:val="000000"/>
                <w:sz w:val="20"/>
                <w:szCs w:val="20"/>
              </w:rPr>
              <w:t xml:space="preserve"> </w:t>
            </w:r>
            <w:r w:rsidRPr="00F0550C">
              <w:rPr>
                <w:color w:val="000000"/>
                <w:sz w:val="20"/>
                <w:szCs w:val="20"/>
              </w:rPr>
              <w:t>neuropathy</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42</w:t>
            </w:r>
            <w:r w:rsidR="006803B0" w:rsidRPr="00F0550C">
              <w:rPr>
                <w:rFonts w:eastAsiaTheme="minorEastAsia" w:hint="eastAsia"/>
                <w:color w:val="000000"/>
                <w:sz w:val="20"/>
                <w:szCs w:val="20"/>
                <w:lang w:eastAsia="zh-CN"/>
              </w:rPr>
              <w:tab/>
            </w:r>
            <w:r w:rsidRPr="00F0550C">
              <w:rPr>
                <w:color w:val="000000"/>
                <w:sz w:val="20"/>
                <w:szCs w:val="20"/>
              </w:rPr>
              <w:t>(84%)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8</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41</w:t>
            </w:r>
            <w:r w:rsidR="006803B0" w:rsidRPr="00F0550C">
              <w:rPr>
                <w:color w:val="000000"/>
                <w:sz w:val="20"/>
                <w:szCs w:val="20"/>
              </w:rPr>
              <w:tab/>
              <w:t>(</w:t>
            </w:r>
            <w:r w:rsidRPr="00F0550C">
              <w:rPr>
                <w:color w:val="000000"/>
                <w:sz w:val="20"/>
                <w:szCs w:val="20"/>
              </w:rPr>
              <w:t>82%)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9</w:t>
            </w:r>
            <w:r w:rsidR="006803B0" w:rsidRPr="00F0550C">
              <w:rPr>
                <w:color w:val="000000"/>
                <w:sz w:val="20"/>
                <w:szCs w:val="20"/>
              </w:rPr>
              <w:tab/>
              <w:t>(</w:t>
            </w:r>
            <w:r w:rsidRPr="00F0550C">
              <w:rPr>
                <w:color w:val="000000"/>
                <w:sz w:val="20"/>
                <w:szCs w:val="20"/>
              </w:rPr>
              <w:t>18%)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0.78</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Nausea</w:t>
            </w:r>
            <w:r w:rsidR="006D2C3E">
              <w:rPr>
                <w:rFonts w:eastAsiaTheme="minorEastAsia" w:hint="eastAsia"/>
                <w:color w:val="000000"/>
                <w:sz w:val="20"/>
                <w:szCs w:val="20"/>
                <w:lang w:eastAsia="zh-CN"/>
              </w:rPr>
              <w:t xml:space="preserve"> </w:t>
            </w:r>
            <w:r w:rsidRPr="00F0550C">
              <w:rPr>
                <w:color w:val="000000"/>
                <w:sz w:val="20"/>
                <w:szCs w:val="20"/>
              </w:rPr>
              <w:t>&amp;</w:t>
            </w:r>
            <w:r w:rsidR="006D2C3E">
              <w:rPr>
                <w:rFonts w:eastAsiaTheme="minorEastAsia" w:hint="eastAsia"/>
                <w:color w:val="000000"/>
                <w:sz w:val="20"/>
                <w:szCs w:val="20"/>
                <w:lang w:eastAsia="zh-CN"/>
              </w:rPr>
              <w:t xml:space="preserve"> </w:t>
            </w:r>
            <w:proofErr w:type="spellStart"/>
            <w:r w:rsidRPr="00F0550C">
              <w:rPr>
                <w:color w:val="000000"/>
                <w:sz w:val="20"/>
                <w:szCs w:val="20"/>
              </w:rPr>
              <w:t>vomitting</w:t>
            </w:r>
            <w:proofErr w:type="spellEnd"/>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46</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92%)</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4</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8%)</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45</w:t>
            </w:r>
            <w:r w:rsidR="006803B0" w:rsidRPr="00F0550C">
              <w:rPr>
                <w:color w:val="000000"/>
                <w:sz w:val="20"/>
                <w:szCs w:val="20"/>
              </w:rPr>
              <w:tab/>
              <w:t>(</w:t>
            </w:r>
            <w:r w:rsidRPr="00F0550C">
              <w:rPr>
                <w:color w:val="000000"/>
                <w:sz w:val="20"/>
                <w:szCs w:val="20"/>
              </w:rPr>
              <w:t>90%)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5</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0%)</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0.72</w:t>
            </w:r>
          </w:p>
        </w:tc>
      </w:tr>
      <w:tr w:rsidR="004D04E7" w:rsidRPr="00F0550C" w:rsidTr="001215AB">
        <w:trPr>
          <w:jc w:val="center"/>
        </w:trPr>
        <w:tc>
          <w:tcPr>
            <w:tcW w:w="1321"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Headache</w:t>
            </w:r>
          </w:p>
        </w:tc>
        <w:tc>
          <w:tcPr>
            <w:tcW w:w="422"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37</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74%)</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10</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20%)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3</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6%)</w:t>
            </w:r>
          </w:p>
        </w:tc>
        <w:tc>
          <w:tcPr>
            <w:tcW w:w="1405" w:type="pct"/>
            <w:vAlign w:val="center"/>
          </w:tcPr>
          <w:p w:rsidR="004D04E7" w:rsidRPr="00F0550C" w:rsidRDefault="004D04E7" w:rsidP="00E17342">
            <w:pPr>
              <w:bidi w:val="0"/>
              <w:adjustRightInd w:val="0"/>
              <w:snapToGrid w:val="0"/>
              <w:jc w:val="both"/>
              <w:rPr>
                <w:color w:val="000000"/>
                <w:sz w:val="20"/>
                <w:szCs w:val="20"/>
              </w:rPr>
            </w:pPr>
            <w:r w:rsidRPr="00F0550C">
              <w:rPr>
                <w:color w:val="000000"/>
                <w:sz w:val="20"/>
                <w:szCs w:val="20"/>
              </w:rPr>
              <w:t>43</w:t>
            </w:r>
            <w:r w:rsidR="006803B0" w:rsidRPr="00F0550C">
              <w:rPr>
                <w:color w:val="000000"/>
                <w:sz w:val="20"/>
                <w:szCs w:val="20"/>
              </w:rPr>
              <w:tab/>
              <w:t>(</w:t>
            </w:r>
            <w:r w:rsidRPr="00F0550C">
              <w:rPr>
                <w:color w:val="000000"/>
                <w:sz w:val="20"/>
                <w:szCs w:val="20"/>
              </w:rPr>
              <w:t>86%)</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5</w:t>
            </w:r>
            <w:r w:rsidR="006803B0" w:rsidRPr="00F0550C">
              <w:rPr>
                <w:color w:val="000000"/>
                <w:sz w:val="20"/>
                <w:szCs w:val="20"/>
              </w:rPr>
              <w:t xml:space="preserve"> </w:t>
            </w:r>
            <w:r w:rsidR="006803B0" w:rsidRPr="00F0550C">
              <w:rPr>
                <w:color w:val="000000"/>
                <w:sz w:val="20"/>
                <w:szCs w:val="20"/>
              </w:rPr>
              <w:tab/>
              <w:t>(</w:t>
            </w:r>
            <w:r w:rsidRPr="00F0550C">
              <w:rPr>
                <w:color w:val="000000"/>
                <w:sz w:val="20"/>
                <w:szCs w:val="20"/>
              </w:rPr>
              <w:t>10%)</w:t>
            </w:r>
          </w:p>
          <w:p w:rsidR="004D04E7" w:rsidRPr="00F0550C" w:rsidRDefault="004D04E7" w:rsidP="00E17342">
            <w:pPr>
              <w:bidi w:val="0"/>
              <w:adjustRightInd w:val="0"/>
              <w:snapToGrid w:val="0"/>
              <w:jc w:val="both"/>
              <w:rPr>
                <w:color w:val="000000"/>
                <w:sz w:val="20"/>
                <w:szCs w:val="20"/>
              </w:rPr>
            </w:pPr>
            <w:r w:rsidRPr="00F0550C">
              <w:rPr>
                <w:color w:val="000000"/>
                <w:sz w:val="20"/>
                <w:szCs w:val="20"/>
              </w:rPr>
              <w:t>2</w:t>
            </w:r>
            <w:r w:rsidR="006803B0" w:rsidRPr="00F0550C">
              <w:rPr>
                <w:color w:val="000000"/>
                <w:sz w:val="20"/>
                <w:szCs w:val="20"/>
              </w:rPr>
              <w:tab/>
              <w:t>(</w:t>
            </w:r>
            <w:r w:rsidRPr="00F0550C">
              <w:rPr>
                <w:color w:val="000000"/>
                <w:sz w:val="20"/>
                <w:szCs w:val="20"/>
              </w:rPr>
              <w:t>4%)</w:t>
            </w:r>
          </w:p>
        </w:tc>
        <w:tc>
          <w:tcPr>
            <w:tcW w:w="447" w:type="pct"/>
            <w:vAlign w:val="center"/>
          </w:tcPr>
          <w:p w:rsidR="004D04E7" w:rsidRPr="00F0550C" w:rsidRDefault="004D04E7" w:rsidP="00E17342">
            <w:pPr>
              <w:bidi w:val="0"/>
              <w:adjustRightInd w:val="0"/>
              <w:snapToGrid w:val="0"/>
              <w:jc w:val="both"/>
              <w:rPr>
                <w:color w:val="000000"/>
                <w:sz w:val="20"/>
                <w:szCs w:val="20"/>
              </w:rPr>
            </w:pPr>
          </w:p>
          <w:p w:rsidR="004D04E7" w:rsidRPr="00F0550C" w:rsidRDefault="004D04E7" w:rsidP="00E17342">
            <w:pPr>
              <w:bidi w:val="0"/>
              <w:adjustRightInd w:val="0"/>
              <w:snapToGrid w:val="0"/>
              <w:jc w:val="both"/>
              <w:rPr>
                <w:color w:val="000000"/>
                <w:sz w:val="20"/>
                <w:szCs w:val="20"/>
              </w:rPr>
            </w:pPr>
            <w:r w:rsidRPr="00F0550C">
              <w:rPr>
                <w:color w:val="000000"/>
                <w:sz w:val="20"/>
                <w:szCs w:val="20"/>
              </w:rPr>
              <w:t>0.31</w:t>
            </w:r>
          </w:p>
        </w:tc>
      </w:tr>
    </w:tbl>
    <w:p w:rsidR="006803B0" w:rsidRDefault="006803B0" w:rsidP="00E17342">
      <w:pPr>
        <w:bidi w:val="0"/>
        <w:adjustRightInd w:val="0"/>
        <w:snapToGrid w:val="0"/>
        <w:ind w:firstLine="425"/>
        <w:jc w:val="both"/>
        <w:rPr>
          <w:rFonts w:eastAsiaTheme="minorEastAsia" w:hint="eastAsia"/>
          <w:b/>
          <w:bCs/>
          <w:sz w:val="20"/>
          <w:szCs w:val="20"/>
          <w:lang w:eastAsia="zh-CN" w:bidi="ar-EG"/>
        </w:rPr>
      </w:pPr>
    </w:p>
    <w:p w:rsidR="006D2C3E" w:rsidRPr="006D2C3E" w:rsidRDefault="006D2C3E" w:rsidP="006D2C3E">
      <w:pPr>
        <w:bidi w:val="0"/>
        <w:adjustRightInd w:val="0"/>
        <w:snapToGrid w:val="0"/>
        <w:ind w:firstLine="425"/>
        <w:jc w:val="both"/>
        <w:rPr>
          <w:rFonts w:eastAsiaTheme="minorEastAsia" w:hint="eastAsia"/>
          <w:b/>
          <w:bCs/>
          <w:sz w:val="20"/>
          <w:szCs w:val="20"/>
          <w:lang w:eastAsia="zh-CN" w:bidi="ar-EG"/>
        </w:rPr>
      </w:pPr>
    </w:p>
    <w:p w:rsidR="006803B0" w:rsidRPr="00F0550C" w:rsidRDefault="006803B0" w:rsidP="00E17342">
      <w:pPr>
        <w:bidi w:val="0"/>
        <w:adjustRightInd w:val="0"/>
        <w:snapToGrid w:val="0"/>
        <w:ind w:firstLine="425"/>
        <w:jc w:val="both"/>
        <w:rPr>
          <w:b/>
          <w:bCs/>
          <w:sz w:val="20"/>
          <w:szCs w:val="20"/>
          <w:lang w:bidi="ar-EG"/>
        </w:rPr>
        <w:sectPr w:rsidR="006803B0" w:rsidRPr="00F0550C" w:rsidSect="00F870DA">
          <w:headerReference w:type="default" r:id="rId15"/>
          <w:footerReference w:type="default" r:id="rId16"/>
          <w:type w:val="continuous"/>
          <w:pgSz w:w="12242" w:h="15842" w:code="1"/>
          <w:pgMar w:top="1440" w:right="1440" w:bottom="1440" w:left="1440" w:header="720" w:footer="720" w:gutter="0"/>
          <w:cols w:space="540"/>
          <w:docGrid w:linePitch="360"/>
        </w:sectPr>
      </w:pPr>
    </w:p>
    <w:p w:rsidR="00143D79" w:rsidRPr="00F0550C" w:rsidRDefault="000C6C2F" w:rsidP="00E17342">
      <w:pPr>
        <w:bidi w:val="0"/>
        <w:adjustRightInd w:val="0"/>
        <w:snapToGrid w:val="0"/>
        <w:jc w:val="both"/>
        <w:rPr>
          <w:b/>
          <w:bCs/>
          <w:sz w:val="20"/>
          <w:szCs w:val="20"/>
          <w:lang w:bidi="ar-EG"/>
        </w:rPr>
      </w:pPr>
      <w:r w:rsidRPr="00F0550C">
        <w:rPr>
          <w:b/>
          <w:bCs/>
          <w:sz w:val="20"/>
          <w:szCs w:val="20"/>
          <w:lang w:bidi="ar-EG"/>
        </w:rPr>
        <w:lastRenderedPageBreak/>
        <w:t>4. Discussion</w:t>
      </w:r>
    </w:p>
    <w:p w:rsidR="00320E02" w:rsidRPr="00F0550C" w:rsidRDefault="00320E02" w:rsidP="00E17342">
      <w:pPr>
        <w:bidi w:val="0"/>
        <w:adjustRightInd w:val="0"/>
        <w:snapToGrid w:val="0"/>
        <w:ind w:firstLine="425"/>
        <w:jc w:val="both"/>
        <w:rPr>
          <w:sz w:val="20"/>
          <w:szCs w:val="20"/>
          <w:lang w:bidi="ar-EG"/>
        </w:rPr>
      </w:pPr>
      <w:r w:rsidRPr="00F0550C">
        <w:rPr>
          <w:sz w:val="20"/>
          <w:szCs w:val="20"/>
          <w:lang w:bidi="ar-EG"/>
        </w:rPr>
        <w:t xml:space="preserve">Bone health is clearly an important concern for breast cancer patients and, before the start of treatment, needs to be evaluated by oncologists by using baseline DEXA scanning and known clinical risk factors such as family history, cigarette smoking, and excessive alcohol consumption. Specific guidelines on how to evaluate and manage cancer therapy-induced bone loss were recently published by </w:t>
      </w:r>
      <w:proofErr w:type="spellStart"/>
      <w:r w:rsidRPr="00F0550C">
        <w:rPr>
          <w:sz w:val="20"/>
          <w:szCs w:val="20"/>
          <w:lang w:bidi="ar-EG"/>
        </w:rPr>
        <w:t>Hadji</w:t>
      </w:r>
      <w:proofErr w:type="spellEnd"/>
      <w:r w:rsidRPr="00F0550C">
        <w:rPr>
          <w:sz w:val="20"/>
          <w:szCs w:val="20"/>
          <w:lang w:bidi="ar-EG"/>
        </w:rPr>
        <w:t xml:space="preserve"> and colleagues </w:t>
      </w:r>
      <w:r w:rsidRPr="00F0550C">
        <w:rPr>
          <w:b/>
          <w:bCs/>
          <w:sz w:val="20"/>
          <w:szCs w:val="20"/>
          <w:lang w:bidi="ar-EG"/>
        </w:rPr>
        <w:t>[</w:t>
      </w:r>
      <w:r w:rsidR="001A40DC" w:rsidRPr="00F0550C">
        <w:rPr>
          <w:b/>
          <w:bCs/>
          <w:sz w:val="20"/>
          <w:szCs w:val="20"/>
          <w:lang w:bidi="ar-EG"/>
        </w:rPr>
        <w:t>7</w:t>
      </w:r>
      <w:r w:rsidRPr="00F0550C">
        <w:rPr>
          <w:b/>
          <w:bCs/>
          <w:sz w:val="20"/>
          <w:szCs w:val="20"/>
          <w:lang w:bidi="ar-EG"/>
        </w:rPr>
        <w:t>].</w:t>
      </w:r>
      <w:r w:rsidRPr="00F0550C">
        <w:rPr>
          <w:sz w:val="20"/>
          <w:szCs w:val="20"/>
          <w:lang w:bidi="ar-EG"/>
        </w:rPr>
        <w:t xml:space="preserve"> AI use is a major additional cancer treatment-related risk factor in postmenopausal breast cancer patients. However, our findings along with data from the ATAC study and the Intergroup </w:t>
      </w:r>
      <w:proofErr w:type="spellStart"/>
      <w:r w:rsidRPr="00F0550C">
        <w:rPr>
          <w:sz w:val="20"/>
          <w:szCs w:val="20"/>
          <w:lang w:bidi="ar-EG"/>
        </w:rPr>
        <w:t>Exemestane</w:t>
      </w:r>
      <w:proofErr w:type="spellEnd"/>
      <w:r w:rsidRPr="00F0550C">
        <w:rPr>
          <w:sz w:val="20"/>
          <w:szCs w:val="20"/>
          <w:lang w:bidi="ar-EG"/>
        </w:rPr>
        <w:t xml:space="preserve"> Study (IES) </w:t>
      </w:r>
      <w:r w:rsidRPr="00F0550C">
        <w:rPr>
          <w:b/>
          <w:bCs/>
          <w:sz w:val="20"/>
          <w:szCs w:val="20"/>
          <w:lang w:bidi="ar-EG"/>
        </w:rPr>
        <w:t>[</w:t>
      </w:r>
      <w:r w:rsidR="001A40DC" w:rsidRPr="00F0550C">
        <w:rPr>
          <w:b/>
          <w:bCs/>
          <w:sz w:val="20"/>
          <w:szCs w:val="20"/>
          <w:lang w:bidi="ar-EG"/>
        </w:rPr>
        <w:t>8</w:t>
      </w:r>
      <w:r w:rsidRPr="00F0550C">
        <w:rPr>
          <w:b/>
          <w:bCs/>
          <w:sz w:val="20"/>
          <w:szCs w:val="20"/>
          <w:lang w:bidi="ar-EG"/>
        </w:rPr>
        <w:t>,</w:t>
      </w:r>
      <w:r w:rsidR="001A40DC" w:rsidRPr="00F0550C">
        <w:rPr>
          <w:b/>
          <w:bCs/>
          <w:sz w:val="20"/>
          <w:szCs w:val="20"/>
          <w:lang w:bidi="ar-EG"/>
        </w:rPr>
        <w:t>9</w:t>
      </w:r>
      <w:r w:rsidRPr="00F0550C">
        <w:rPr>
          <w:b/>
          <w:bCs/>
          <w:sz w:val="20"/>
          <w:szCs w:val="20"/>
          <w:lang w:bidi="ar-EG"/>
        </w:rPr>
        <w:t>]</w:t>
      </w:r>
      <w:r w:rsidRPr="00F0550C">
        <w:rPr>
          <w:sz w:val="20"/>
          <w:szCs w:val="20"/>
          <w:lang w:bidi="ar-EG"/>
        </w:rPr>
        <w:t xml:space="preserve"> indicate that women with normal BMD before starting endocrine therapy have a very low risk of developing osteoporosis and that only the use of general preventive measures for maintaining bone health in postmenopausal women seems to be appropriate practice. Nevertheless, a lot of patients will still have established </w:t>
      </w:r>
      <w:proofErr w:type="spellStart"/>
      <w:r w:rsidRPr="00F0550C">
        <w:rPr>
          <w:sz w:val="20"/>
          <w:szCs w:val="20"/>
          <w:lang w:bidi="ar-EG"/>
        </w:rPr>
        <w:t>osteopenia</w:t>
      </w:r>
      <w:proofErr w:type="spellEnd"/>
      <w:r w:rsidRPr="00F0550C">
        <w:rPr>
          <w:sz w:val="20"/>
          <w:szCs w:val="20"/>
          <w:lang w:bidi="ar-EG"/>
        </w:rPr>
        <w:t xml:space="preserve"> or osteoporosis and need some other intervention to minimize their risk of ongoing loss of bone density due to long-term AI treatment.</w:t>
      </w:r>
    </w:p>
    <w:p w:rsidR="00320E02" w:rsidRPr="00F0550C" w:rsidRDefault="00320E02" w:rsidP="00E17342">
      <w:pPr>
        <w:bidi w:val="0"/>
        <w:adjustRightInd w:val="0"/>
        <w:snapToGrid w:val="0"/>
        <w:ind w:firstLine="425"/>
        <w:jc w:val="both"/>
        <w:rPr>
          <w:sz w:val="20"/>
          <w:szCs w:val="20"/>
          <w:lang w:bidi="ar-EG"/>
        </w:rPr>
      </w:pPr>
      <w:r w:rsidRPr="00F0550C">
        <w:rPr>
          <w:sz w:val="20"/>
          <w:szCs w:val="20"/>
          <w:lang w:bidi="ar-EG"/>
        </w:rPr>
        <w:t xml:space="preserve">Prevention of continuously decreasing BMD during endocrine treatment with AIs can be achieved with the appropriate administration of BPs. Several clinical trials demonstrate that the combination of AIs with BPs has a potent effect on BMD, The Austrian Breast and Colorectal Cancer Study Group trial-12 (ABCSG-12) bone </w:t>
      </w:r>
      <w:proofErr w:type="spellStart"/>
      <w:r w:rsidRPr="00F0550C">
        <w:rPr>
          <w:sz w:val="20"/>
          <w:szCs w:val="20"/>
          <w:lang w:bidi="ar-EG"/>
        </w:rPr>
        <w:t>substudy</w:t>
      </w:r>
      <w:proofErr w:type="spellEnd"/>
      <w:r w:rsidRPr="00F0550C">
        <w:rPr>
          <w:sz w:val="20"/>
          <w:szCs w:val="20"/>
          <w:lang w:bidi="ar-EG"/>
        </w:rPr>
        <w:t xml:space="preserve"> assessed </w:t>
      </w:r>
      <w:proofErr w:type="spellStart"/>
      <w:r w:rsidRPr="00F0550C">
        <w:rPr>
          <w:sz w:val="20"/>
          <w:szCs w:val="20"/>
          <w:lang w:bidi="ar-EG"/>
        </w:rPr>
        <w:t>zoledronic</w:t>
      </w:r>
      <w:proofErr w:type="spellEnd"/>
      <w:r w:rsidRPr="00F0550C">
        <w:rPr>
          <w:sz w:val="20"/>
          <w:szCs w:val="20"/>
          <w:lang w:bidi="ar-EG"/>
        </w:rPr>
        <w:t xml:space="preserve"> acid for preventing bone loss during adjuvant endocrine therapy </w:t>
      </w:r>
      <w:r w:rsidRPr="00F0550C">
        <w:rPr>
          <w:b/>
          <w:bCs/>
          <w:sz w:val="20"/>
          <w:szCs w:val="20"/>
          <w:lang w:bidi="ar-EG"/>
        </w:rPr>
        <w:t>[</w:t>
      </w:r>
      <w:r w:rsidR="001A40DC" w:rsidRPr="00F0550C">
        <w:rPr>
          <w:b/>
          <w:bCs/>
          <w:sz w:val="20"/>
          <w:szCs w:val="20"/>
          <w:lang w:bidi="ar-EG"/>
        </w:rPr>
        <w:t>10</w:t>
      </w:r>
      <w:r w:rsidRPr="00F0550C">
        <w:rPr>
          <w:b/>
          <w:bCs/>
          <w:sz w:val="20"/>
          <w:szCs w:val="20"/>
          <w:lang w:bidi="ar-EG"/>
        </w:rPr>
        <w:t>].</w:t>
      </w:r>
      <w:r w:rsidRPr="00F0550C">
        <w:rPr>
          <w:sz w:val="20"/>
          <w:szCs w:val="20"/>
          <w:lang w:bidi="ar-EG"/>
        </w:rPr>
        <w:t xml:space="preserve"> The investigators concluded that hormonal treatment for 3 years without concomitant </w:t>
      </w:r>
      <w:proofErr w:type="spellStart"/>
      <w:r w:rsidRPr="00F0550C">
        <w:rPr>
          <w:sz w:val="20"/>
          <w:szCs w:val="20"/>
          <w:lang w:bidi="ar-EG"/>
        </w:rPr>
        <w:t>zoledronic</w:t>
      </w:r>
      <w:proofErr w:type="spellEnd"/>
      <w:r w:rsidRPr="00F0550C">
        <w:rPr>
          <w:sz w:val="20"/>
          <w:szCs w:val="20"/>
          <w:lang w:bidi="ar-EG"/>
        </w:rPr>
        <w:t xml:space="preserve"> acid caused significant bone loss at the LS and </w:t>
      </w:r>
      <w:proofErr w:type="spellStart"/>
      <w:r w:rsidRPr="00F0550C">
        <w:rPr>
          <w:sz w:val="20"/>
          <w:szCs w:val="20"/>
          <w:lang w:bidi="ar-EG"/>
        </w:rPr>
        <w:t>trochanter</w:t>
      </w:r>
      <w:proofErr w:type="spellEnd"/>
      <w:r w:rsidRPr="00F0550C">
        <w:rPr>
          <w:sz w:val="20"/>
          <w:szCs w:val="20"/>
          <w:lang w:bidi="ar-EG"/>
        </w:rPr>
        <w:t xml:space="preserve"> (-11.3% and -7.3%, respectively) and that the administration of BP improved BMD (LS +4.0% and </w:t>
      </w:r>
      <w:proofErr w:type="spellStart"/>
      <w:r w:rsidRPr="00F0550C">
        <w:rPr>
          <w:sz w:val="20"/>
          <w:szCs w:val="20"/>
          <w:lang w:bidi="ar-EG"/>
        </w:rPr>
        <w:t>trochanter</w:t>
      </w:r>
      <w:proofErr w:type="spellEnd"/>
      <w:r w:rsidRPr="00F0550C">
        <w:rPr>
          <w:sz w:val="20"/>
          <w:szCs w:val="20"/>
          <w:lang w:bidi="ar-EG"/>
        </w:rPr>
        <w:t xml:space="preserve"> +3.9%) compared with baseline at 5 years. In three </w:t>
      </w:r>
      <w:proofErr w:type="spellStart"/>
      <w:r w:rsidRPr="00F0550C">
        <w:rPr>
          <w:sz w:val="20"/>
          <w:szCs w:val="20"/>
          <w:lang w:bidi="ar-EG"/>
        </w:rPr>
        <w:t>Zometa-Femara</w:t>
      </w:r>
      <w:proofErr w:type="spellEnd"/>
      <w:r w:rsidRPr="00F0550C">
        <w:rPr>
          <w:sz w:val="20"/>
          <w:szCs w:val="20"/>
          <w:lang w:bidi="ar-EG"/>
        </w:rPr>
        <w:t xml:space="preserve"> Adjuvant Synergy </w:t>
      </w:r>
      <w:r w:rsidRPr="00F0550C">
        <w:rPr>
          <w:sz w:val="20"/>
          <w:szCs w:val="20"/>
          <w:lang w:bidi="ar-EG"/>
        </w:rPr>
        <w:lastRenderedPageBreak/>
        <w:t xml:space="preserve">Trials (Z-FAST, ZO-FAST, and E-ZO-FAST), patients received </w:t>
      </w:r>
      <w:proofErr w:type="spellStart"/>
      <w:r w:rsidRPr="00F0550C">
        <w:rPr>
          <w:sz w:val="20"/>
          <w:szCs w:val="20"/>
          <w:lang w:bidi="ar-EG"/>
        </w:rPr>
        <w:t>letrozole</w:t>
      </w:r>
      <w:proofErr w:type="spellEnd"/>
      <w:r w:rsidRPr="00F0550C">
        <w:rPr>
          <w:sz w:val="20"/>
          <w:szCs w:val="20"/>
          <w:lang w:bidi="ar-EG"/>
        </w:rPr>
        <w:t xml:space="preserve"> therapy combined with either immediate or delayed (that is, after a fracture or after BMD T-score decreased to -2.0) </w:t>
      </w:r>
      <w:proofErr w:type="spellStart"/>
      <w:r w:rsidRPr="00F0550C">
        <w:rPr>
          <w:sz w:val="20"/>
          <w:szCs w:val="20"/>
          <w:lang w:bidi="ar-EG"/>
        </w:rPr>
        <w:t>zoledronic</w:t>
      </w:r>
      <w:proofErr w:type="spellEnd"/>
      <w:r w:rsidRPr="00F0550C">
        <w:rPr>
          <w:sz w:val="20"/>
          <w:szCs w:val="20"/>
          <w:lang w:bidi="ar-EG"/>
        </w:rPr>
        <w:t xml:space="preserve"> acid treatment </w:t>
      </w:r>
      <w:r w:rsidRPr="00F0550C">
        <w:rPr>
          <w:b/>
          <w:bCs/>
          <w:sz w:val="20"/>
          <w:szCs w:val="20"/>
          <w:lang w:bidi="ar-EG"/>
        </w:rPr>
        <w:t>[</w:t>
      </w:r>
      <w:r w:rsidR="001A40DC" w:rsidRPr="00F0550C">
        <w:rPr>
          <w:b/>
          <w:bCs/>
          <w:sz w:val="20"/>
          <w:szCs w:val="20"/>
          <w:lang w:bidi="ar-EG"/>
        </w:rPr>
        <w:t>11</w:t>
      </w:r>
      <w:r w:rsidRPr="00F0550C">
        <w:rPr>
          <w:b/>
          <w:bCs/>
          <w:sz w:val="20"/>
          <w:szCs w:val="20"/>
          <w:lang w:bidi="ar-EG"/>
        </w:rPr>
        <w:t>-</w:t>
      </w:r>
      <w:r w:rsidR="001A40DC" w:rsidRPr="00F0550C">
        <w:rPr>
          <w:b/>
          <w:bCs/>
          <w:sz w:val="20"/>
          <w:szCs w:val="20"/>
          <w:lang w:bidi="ar-EG"/>
        </w:rPr>
        <w:t>13</w:t>
      </w:r>
      <w:r w:rsidRPr="00F0550C">
        <w:rPr>
          <w:b/>
          <w:bCs/>
          <w:sz w:val="20"/>
          <w:szCs w:val="20"/>
          <w:lang w:bidi="ar-EG"/>
        </w:rPr>
        <w:t>].</w:t>
      </w:r>
      <w:r w:rsidRPr="00F0550C">
        <w:rPr>
          <w:sz w:val="20"/>
          <w:szCs w:val="20"/>
          <w:lang w:bidi="ar-EG"/>
        </w:rPr>
        <w:t xml:space="preserve"> Patients who have been administrated immediately with </w:t>
      </w:r>
      <w:proofErr w:type="spellStart"/>
      <w:r w:rsidRPr="00F0550C">
        <w:rPr>
          <w:sz w:val="20"/>
          <w:szCs w:val="20"/>
          <w:lang w:bidi="ar-EG"/>
        </w:rPr>
        <w:t>zoledronic</w:t>
      </w:r>
      <w:proofErr w:type="spellEnd"/>
      <w:r w:rsidRPr="00F0550C">
        <w:rPr>
          <w:sz w:val="20"/>
          <w:szCs w:val="20"/>
          <w:lang w:bidi="ar-EG"/>
        </w:rPr>
        <w:t xml:space="preserve"> acid treatment had significant increases in BMD and had fewer fractures overall than patients who have delayed treatment (</w:t>
      </w:r>
      <w:r w:rsidRPr="00F0550C">
        <w:rPr>
          <w:i/>
          <w:iCs/>
          <w:sz w:val="20"/>
          <w:szCs w:val="20"/>
          <w:lang w:bidi="ar-EG"/>
        </w:rPr>
        <w:t>P</w:t>
      </w:r>
      <w:r w:rsidRPr="00F0550C">
        <w:rPr>
          <w:sz w:val="20"/>
          <w:szCs w:val="20"/>
          <w:lang w:bidi="ar-EG"/>
        </w:rPr>
        <w:t xml:space="preserve"> &lt; 0.0001 for all).</w:t>
      </w:r>
    </w:p>
    <w:p w:rsidR="00C17584" w:rsidRPr="00F0550C" w:rsidRDefault="002A5088" w:rsidP="00E17342">
      <w:pPr>
        <w:bidi w:val="0"/>
        <w:adjustRightInd w:val="0"/>
        <w:snapToGrid w:val="0"/>
        <w:ind w:firstLine="425"/>
        <w:jc w:val="both"/>
        <w:rPr>
          <w:sz w:val="20"/>
          <w:szCs w:val="20"/>
          <w:lang w:bidi="ar-EG"/>
        </w:rPr>
      </w:pPr>
      <w:r w:rsidRPr="00F0550C">
        <w:rPr>
          <w:sz w:val="20"/>
          <w:szCs w:val="20"/>
          <w:lang w:bidi="ar-EG"/>
        </w:rPr>
        <w:t xml:space="preserve">In our study women who did not receive </w:t>
      </w:r>
      <w:proofErr w:type="spellStart"/>
      <w:r w:rsidRPr="00F0550C">
        <w:rPr>
          <w:sz w:val="20"/>
          <w:szCs w:val="20"/>
          <w:lang w:bidi="ar-EG"/>
        </w:rPr>
        <w:t>zoledronic</w:t>
      </w:r>
      <w:proofErr w:type="spellEnd"/>
      <w:r w:rsidRPr="00F0550C">
        <w:rPr>
          <w:sz w:val="20"/>
          <w:szCs w:val="20"/>
          <w:lang w:bidi="ar-EG"/>
        </w:rPr>
        <w:t xml:space="preserve"> acid experienced decrease in BMD from baseline to month </w:t>
      </w:r>
      <w:smartTag w:uri="urn:schemas-microsoft-com:office:smarttags" w:element="metricconverter">
        <w:smartTagPr>
          <w:attr w:name="ProductID" w:val="12 in"/>
        </w:smartTagPr>
        <w:r w:rsidRPr="00F0550C">
          <w:rPr>
            <w:sz w:val="20"/>
            <w:szCs w:val="20"/>
            <w:lang w:bidi="ar-EG"/>
          </w:rPr>
          <w:t>12 in</w:t>
        </w:r>
      </w:smartTag>
      <w:r w:rsidRPr="00F0550C">
        <w:rPr>
          <w:sz w:val="20"/>
          <w:szCs w:val="20"/>
          <w:lang w:bidi="ar-EG"/>
        </w:rPr>
        <w:t xml:space="preserve"> both the LS &amp;TH with mean % change (- 1.9%) and, (-0.9%) respectively</w:t>
      </w:r>
      <w:r w:rsidR="00F0550C">
        <w:rPr>
          <w:sz w:val="20"/>
          <w:szCs w:val="20"/>
          <w:lang w:bidi="ar-EG"/>
        </w:rPr>
        <w:t>,</w:t>
      </w:r>
      <w:r w:rsidRPr="00F0550C">
        <w:rPr>
          <w:sz w:val="20"/>
          <w:szCs w:val="20"/>
          <w:lang w:bidi="ar-EG"/>
        </w:rPr>
        <w:t xml:space="preserve"> whereas patients who received</w:t>
      </w:r>
      <w:r w:rsidR="00F0550C">
        <w:rPr>
          <w:sz w:val="20"/>
          <w:szCs w:val="20"/>
          <w:lang w:bidi="ar-EG"/>
        </w:rPr>
        <w:t xml:space="preserve"> </w:t>
      </w:r>
      <w:proofErr w:type="spellStart"/>
      <w:r w:rsidRPr="00F0550C">
        <w:rPr>
          <w:sz w:val="20"/>
          <w:szCs w:val="20"/>
          <w:lang w:bidi="ar-EG"/>
        </w:rPr>
        <w:t>zoledronic</w:t>
      </w:r>
      <w:proofErr w:type="spellEnd"/>
      <w:r w:rsidRPr="00F0550C">
        <w:rPr>
          <w:sz w:val="20"/>
          <w:szCs w:val="20"/>
          <w:lang w:bidi="ar-EG"/>
        </w:rPr>
        <w:t xml:space="preserve"> acid experienced increase in BMD of the</w:t>
      </w:r>
      <w:r w:rsidR="00F0550C">
        <w:rPr>
          <w:sz w:val="20"/>
          <w:szCs w:val="20"/>
          <w:lang w:bidi="ar-EG"/>
        </w:rPr>
        <w:t xml:space="preserve"> </w:t>
      </w:r>
      <w:r w:rsidRPr="00F0550C">
        <w:rPr>
          <w:sz w:val="20"/>
          <w:szCs w:val="20"/>
          <w:lang w:bidi="ar-EG"/>
        </w:rPr>
        <w:t>LS</w:t>
      </w:r>
      <w:r w:rsidR="00F0550C">
        <w:rPr>
          <w:sz w:val="20"/>
          <w:szCs w:val="20"/>
          <w:lang w:bidi="ar-EG"/>
        </w:rPr>
        <w:t xml:space="preserve"> </w:t>
      </w:r>
      <w:r w:rsidRPr="00F0550C">
        <w:rPr>
          <w:sz w:val="20"/>
          <w:szCs w:val="20"/>
          <w:lang w:bidi="ar-EG"/>
        </w:rPr>
        <w:t>&amp; TH with mean</w:t>
      </w:r>
      <w:r w:rsidR="00F0550C">
        <w:rPr>
          <w:sz w:val="20"/>
          <w:szCs w:val="20"/>
          <w:lang w:bidi="ar-EG"/>
        </w:rPr>
        <w:t xml:space="preserve"> </w:t>
      </w:r>
      <w:r w:rsidRPr="00F0550C">
        <w:rPr>
          <w:sz w:val="20"/>
          <w:szCs w:val="20"/>
          <w:lang w:bidi="ar-EG"/>
        </w:rPr>
        <w:t xml:space="preserve">% change about </w:t>
      </w:r>
      <w:r w:rsidR="00F0550C">
        <w:rPr>
          <w:sz w:val="20"/>
          <w:szCs w:val="20"/>
          <w:lang w:bidi="ar-EG"/>
        </w:rPr>
        <w:t>(</w:t>
      </w:r>
      <w:r w:rsidRPr="00F0550C">
        <w:rPr>
          <w:sz w:val="20"/>
          <w:szCs w:val="20"/>
          <w:lang w:bidi="ar-EG"/>
        </w:rPr>
        <w:t xml:space="preserve">+4.8%) and </w:t>
      </w:r>
      <w:r w:rsidR="00F0550C">
        <w:rPr>
          <w:sz w:val="20"/>
          <w:szCs w:val="20"/>
          <w:lang w:bidi="ar-EG"/>
        </w:rPr>
        <w:t>(</w:t>
      </w:r>
      <w:r w:rsidRPr="00F0550C">
        <w:rPr>
          <w:sz w:val="20"/>
          <w:szCs w:val="20"/>
          <w:lang w:bidi="ar-EG"/>
        </w:rPr>
        <w:t>+2.6%) from baseline to month 12 (</w:t>
      </w:r>
      <w:r w:rsidRPr="00F0550C">
        <w:rPr>
          <w:i/>
          <w:iCs/>
          <w:sz w:val="20"/>
          <w:szCs w:val="20"/>
          <w:lang w:bidi="ar-EG"/>
        </w:rPr>
        <w:t>P</w:t>
      </w:r>
      <w:r w:rsidRPr="00F0550C">
        <w:rPr>
          <w:sz w:val="20"/>
          <w:szCs w:val="20"/>
          <w:lang w:bidi="ar-EG"/>
        </w:rPr>
        <w:t xml:space="preserve"> &lt; 0.001 for both)</w:t>
      </w:r>
      <w:r w:rsidR="00F0550C">
        <w:rPr>
          <w:sz w:val="20"/>
          <w:szCs w:val="20"/>
          <w:lang w:bidi="ar-EG"/>
        </w:rPr>
        <w:t>,</w:t>
      </w:r>
      <w:r w:rsidRPr="00F0550C">
        <w:rPr>
          <w:sz w:val="20"/>
          <w:szCs w:val="20"/>
          <w:lang w:bidi="ar-EG"/>
        </w:rPr>
        <w:t xml:space="preserve"> with difference</w:t>
      </w:r>
      <w:r w:rsidR="00F0550C">
        <w:rPr>
          <w:sz w:val="20"/>
          <w:szCs w:val="20"/>
          <w:lang w:bidi="ar-EG"/>
        </w:rPr>
        <w:t xml:space="preserve"> </w:t>
      </w:r>
      <w:r w:rsidRPr="00F0550C">
        <w:rPr>
          <w:sz w:val="20"/>
          <w:szCs w:val="20"/>
          <w:lang w:bidi="ar-EG"/>
        </w:rPr>
        <w:t>6.7 % and</w:t>
      </w:r>
      <w:r w:rsidR="00F0550C">
        <w:rPr>
          <w:sz w:val="20"/>
          <w:szCs w:val="20"/>
          <w:lang w:bidi="ar-EG"/>
        </w:rPr>
        <w:t xml:space="preserve"> </w:t>
      </w:r>
      <w:r w:rsidRPr="00F0550C">
        <w:rPr>
          <w:sz w:val="20"/>
          <w:szCs w:val="20"/>
          <w:lang w:bidi="ar-EG"/>
        </w:rPr>
        <w:t xml:space="preserve">3.5 % for both LS and TH respectively. The mean % change of BMD of lumbar spine (LS) with </w:t>
      </w:r>
      <w:proofErr w:type="spellStart"/>
      <w:r w:rsidRPr="00F0550C">
        <w:rPr>
          <w:sz w:val="20"/>
          <w:szCs w:val="20"/>
          <w:lang w:bidi="ar-EG"/>
        </w:rPr>
        <w:t>zoledronic</w:t>
      </w:r>
      <w:proofErr w:type="spellEnd"/>
      <w:r w:rsidRPr="00F0550C">
        <w:rPr>
          <w:sz w:val="20"/>
          <w:szCs w:val="20"/>
          <w:lang w:bidi="ar-EG"/>
        </w:rPr>
        <w:t xml:space="preserve"> acid (+2.6) was in agreement with results of</w:t>
      </w:r>
      <w:r w:rsidRPr="00F0550C">
        <w:rPr>
          <w:b/>
          <w:bCs/>
          <w:sz w:val="20"/>
          <w:szCs w:val="20"/>
          <w:lang w:bidi="ar-EG"/>
        </w:rPr>
        <w:t xml:space="preserve"> </w:t>
      </w:r>
      <w:r w:rsidRPr="00F0550C">
        <w:rPr>
          <w:sz w:val="20"/>
          <w:szCs w:val="20"/>
          <w:lang w:bidi="ar-EG"/>
        </w:rPr>
        <w:t>integrated analysis of the E-Z-FAST and ZO-FAST studies</w:t>
      </w:r>
      <w:r w:rsidR="00F0550C">
        <w:rPr>
          <w:sz w:val="20"/>
          <w:szCs w:val="20"/>
          <w:lang w:bidi="ar-EG"/>
        </w:rPr>
        <w:t xml:space="preserve"> </w:t>
      </w:r>
      <w:r w:rsidRPr="00F0550C">
        <w:rPr>
          <w:sz w:val="20"/>
          <w:szCs w:val="20"/>
          <w:lang w:bidi="ar-EG"/>
        </w:rPr>
        <w:t>which showed that</w:t>
      </w:r>
      <w:r w:rsidR="00F0550C">
        <w:rPr>
          <w:sz w:val="20"/>
          <w:szCs w:val="20"/>
          <w:lang w:bidi="ar-EG"/>
        </w:rPr>
        <w:t xml:space="preserve"> </w:t>
      </w:r>
      <w:r w:rsidRPr="00F0550C">
        <w:rPr>
          <w:sz w:val="20"/>
          <w:szCs w:val="20"/>
          <w:lang w:bidi="ar-EG"/>
        </w:rPr>
        <w:t xml:space="preserve">upfront patients experienced significant increases in LS (+2.72%) and TH (+1.72%) </w:t>
      </w:r>
      <w:proofErr w:type="gramStart"/>
      <w:r w:rsidRPr="00F0550C">
        <w:rPr>
          <w:sz w:val="20"/>
          <w:szCs w:val="20"/>
          <w:lang w:bidi="ar-EG"/>
        </w:rPr>
        <w:t>BMD</w:t>
      </w:r>
      <w:r w:rsidR="001215AB">
        <w:rPr>
          <w:rFonts w:eastAsiaTheme="minorEastAsia" w:hint="eastAsia"/>
          <w:sz w:val="20"/>
          <w:szCs w:val="20"/>
          <w:lang w:eastAsia="zh-CN" w:bidi="ar-EG"/>
        </w:rPr>
        <w:t xml:space="preserve"> </w:t>
      </w:r>
      <w:r w:rsidRPr="00F0550C">
        <w:rPr>
          <w:sz w:val="20"/>
          <w:szCs w:val="20"/>
          <w:lang w:bidi="ar-EG"/>
        </w:rPr>
        <w:t>(</w:t>
      </w:r>
      <w:r w:rsidRPr="00F0550C">
        <w:rPr>
          <w:i/>
          <w:iCs/>
          <w:sz w:val="20"/>
          <w:szCs w:val="20"/>
          <w:lang w:bidi="ar-EG"/>
        </w:rPr>
        <w:t>p</w:t>
      </w:r>
      <w:r w:rsidRPr="00F0550C">
        <w:rPr>
          <w:sz w:val="20"/>
          <w:szCs w:val="20"/>
          <w:lang w:bidi="ar-EG"/>
        </w:rPr>
        <w:t xml:space="preserve"> &lt;0.0001, both BMD sites) </w:t>
      </w:r>
      <w:r w:rsidRPr="00F0550C">
        <w:rPr>
          <w:b/>
          <w:bCs/>
          <w:sz w:val="20"/>
          <w:szCs w:val="20"/>
          <w:lang w:bidi="ar-EG"/>
        </w:rPr>
        <w:t>[</w:t>
      </w:r>
      <w:r w:rsidR="001A40DC" w:rsidRPr="00F0550C">
        <w:rPr>
          <w:b/>
          <w:bCs/>
          <w:sz w:val="20"/>
          <w:szCs w:val="20"/>
          <w:lang w:bidi="ar-EG"/>
        </w:rPr>
        <w:t>11</w:t>
      </w:r>
      <w:r w:rsidRPr="00F0550C">
        <w:rPr>
          <w:b/>
          <w:bCs/>
          <w:sz w:val="20"/>
          <w:szCs w:val="20"/>
          <w:lang w:bidi="ar-EG"/>
        </w:rPr>
        <w:t>]</w:t>
      </w:r>
      <w:r w:rsidRPr="00F0550C">
        <w:rPr>
          <w:sz w:val="20"/>
          <w:szCs w:val="20"/>
          <w:lang w:bidi="ar-EG"/>
        </w:rPr>
        <w:t>.</w:t>
      </w:r>
      <w:proofErr w:type="gramEnd"/>
      <w:r w:rsidR="00C17584" w:rsidRPr="00F0550C">
        <w:rPr>
          <w:sz w:val="20"/>
          <w:szCs w:val="20"/>
          <w:lang w:bidi="ar-EG"/>
        </w:rPr>
        <w:t xml:space="preserve"> Z-FAST and ZO-FAST integrated analysis showed</w:t>
      </w:r>
      <w:r w:rsidR="00F0550C">
        <w:rPr>
          <w:sz w:val="20"/>
          <w:szCs w:val="20"/>
          <w:lang w:bidi="ar-EG"/>
        </w:rPr>
        <w:t xml:space="preserve"> </w:t>
      </w:r>
      <w:r w:rsidR="00C17584" w:rsidRPr="00F0550C">
        <w:rPr>
          <w:sz w:val="20"/>
          <w:szCs w:val="20"/>
          <w:lang w:bidi="ar-EG"/>
        </w:rPr>
        <w:t>difference 5.1% and</w:t>
      </w:r>
      <w:r w:rsidR="00F0550C">
        <w:rPr>
          <w:sz w:val="20"/>
          <w:szCs w:val="20"/>
          <w:lang w:bidi="ar-EG"/>
        </w:rPr>
        <w:t xml:space="preserve"> </w:t>
      </w:r>
      <w:r w:rsidR="00C17584" w:rsidRPr="00F0550C">
        <w:rPr>
          <w:sz w:val="20"/>
          <w:szCs w:val="20"/>
          <w:lang w:bidi="ar-EG"/>
        </w:rPr>
        <w:t>3.4 % for both LS and TH respectively</w:t>
      </w:r>
      <w:r w:rsidR="00F0550C">
        <w:rPr>
          <w:sz w:val="20"/>
          <w:szCs w:val="20"/>
          <w:lang w:bidi="ar-EG"/>
        </w:rPr>
        <w:t xml:space="preserve"> </w:t>
      </w:r>
      <w:r w:rsidR="00C17584" w:rsidRPr="00F0550C">
        <w:rPr>
          <w:sz w:val="20"/>
          <w:szCs w:val="20"/>
          <w:lang w:bidi="ar-EG"/>
        </w:rPr>
        <w:t xml:space="preserve">between immediate versus delayed </w:t>
      </w:r>
      <w:proofErr w:type="spellStart"/>
      <w:r w:rsidR="00C17584" w:rsidRPr="00F0550C">
        <w:rPr>
          <w:sz w:val="20"/>
          <w:szCs w:val="20"/>
          <w:lang w:bidi="ar-EG"/>
        </w:rPr>
        <w:t>zoledronic</w:t>
      </w:r>
      <w:proofErr w:type="spellEnd"/>
      <w:r w:rsidR="00C17584" w:rsidRPr="00F0550C">
        <w:rPr>
          <w:sz w:val="20"/>
          <w:szCs w:val="20"/>
          <w:lang w:bidi="ar-EG"/>
        </w:rPr>
        <w:t xml:space="preserve"> acid</w:t>
      </w:r>
      <w:r w:rsidR="001215AB">
        <w:rPr>
          <w:rFonts w:eastAsiaTheme="minorEastAsia" w:hint="eastAsia"/>
          <w:sz w:val="20"/>
          <w:szCs w:val="20"/>
          <w:lang w:eastAsia="zh-CN" w:bidi="ar-EG"/>
        </w:rPr>
        <w:t xml:space="preserve"> </w:t>
      </w:r>
      <w:r w:rsidR="001A40DC" w:rsidRPr="00F0550C">
        <w:rPr>
          <w:b/>
          <w:bCs/>
          <w:sz w:val="20"/>
          <w:szCs w:val="20"/>
          <w:lang w:bidi="ar-EG"/>
        </w:rPr>
        <w:t>[11</w:t>
      </w:r>
      <w:r w:rsidR="00C17584" w:rsidRPr="00F0550C">
        <w:rPr>
          <w:sz w:val="20"/>
          <w:szCs w:val="20"/>
          <w:lang w:bidi="ar-EG"/>
        </w:rPr>
        <w:t>],</w:t>
      </w:r>
      <w:r w:rsidR="001215AB">
        <w:rPr>
          <w:rFonts w:eastAsiaTheme="minorEastAsia" w:hint="eastAsia"/>
          <w:sz w:val="20"/>
          <w:szCs w:val="20"/>
          <w:lang w:eastAsia="zh-CN" w:bidi="ar-EG"/>
        </w:rPr>
        <w:t xml:space="preserve"> </w:t>
      </w:r>
      <w:r w:rsidR="00C17584" w:rsidRPr="00F0550C">
        <w:rPr>
          <w:sz w:val="20"/>
          <w:szCs w:val="20"/>
          <w:lang w:bidi="ar-EG"/>
        </w:rPr>
        <w:t xml:space="preserve">E-ZO-FAST showed mean% difference 5.4% and 3.3% for both LS and TH respectively between immediate versus delayed </w:t>
      </w:r>
      <w:proofErr w:type="spellStart"/>
      <w:r w:rsidR="00C17584" w:rsidRPr="00F0550C">
        <w:rPr>
          <w:sz w:val="20"/>
          <w:szCs w:val="20"/>
          <w:lang w:bidi="ar-EG"/>
        </w:rPr>
        <w:t>zoledronic</w:t>
      </w:r>
      <w:proofErr w:type="spellEnd"/>
      <w:r w:rsidR="00C17584" w:rsidRPr="00F0550C">
        <w:rPr>
          <w:sz w:val="20"/>
          <w:szCs w:val="20"/>
          <w:lang w:bidi="ar-EG"/>
        </w:rPr>
        <w:t xml:space="preserve"> </w:t>
      </w:r>
      <w:r w:rsidR="00C17584" w:rsidRPr="00F0550C">
        <w:rPr>
          <w:b/>
          <w:bCs/>
          <w:sz w:val="20"/>
          <w:szCs w:val="20"/>
          <w:lang w:bidi="ar-EG"/>
        </w:rPr>
        <w:t>[</w:t>
      </w:r>
      <w:r w:rsidR="001A40DC" w:rsidRPr="00F0550C">
        <w:rPr>
          <w:b/>
          <w:bCs/>
          <w:sz w:val="20"/>
          <w:szCs w:val="20"/>
          <w:lang w:bidi="ar-EG"/>
        </w:rPr>
        <w:t>13</w:t>
      </w:r>
      <w:r w:rsidR="00C17584" w:rsidRPr="00F0550C">
        <w:rPr>
          <w:b/>
          <w:bCs/>
          <w:sz w:val="20"/>
          <w:szCs w:val="20"/>
          <w:lang w:bidi="ar-EG"/>
        </w:rPr>
        <w:t>]</w:t>
      </w:r>
      <w:r w:rsidR="00F0550C">
        <w:rPr>
          <w:sz w:val="20"/>
          <w:szCs w:val="20"/>
          <w:lang w:bidi="ar-EG"/>
        </w:rPr>
        <w:t>,</w:t>
      </w:r>
      <w:r w:rsidR="00F0550C">
        <w:rPr>
          <w:rFonts w:eastAsiaTheme="minorEastAsia" w:hint="eastAsia"/>
          <w:sz w:val="20"/>
          <w:szCs w:val="20"/>
          <w:lang w:eastAsia="zh-CN" w:bidi="ar-EG"/>
        </w:rPr>
        <w:t xml:space="preserve"> </w:t>
      </w:r>
      <w:r w:rsidR="00C17584" w:rsidRPr="00F0550C">
        <w:rPr>
          <w:sz w:val="20"/>
          <w:szCs w:val="20"/>
          <w:lang w:bidi="ar-EG"/>
        </w:rPr>
        <w:t>and our study showed</w:t>
      </w:r>
      <w:r w:rsidR="00F0550C">
        <w:rPr>
          <w:sz w:val="20"/>
          <w:szCs w:val="20"/>
          <w:lang w:bidi="ar-EG"/>
        </w:rPr>
        <w:t xml:space="preserve"> </w:t>
      </w:r>
      <w:r w:rsidR="00C17584" w:rsidRPr="00F0550C">
        <w:rPr>
          <w:sz w:val="20"/>
          <w:szCs w:val="20"/>
          <w:lang w:bidi="ar-EG"/>
        </w:rPr>
        <w:t>difference</w:t>
      </w:r>
      <w:r w:rsidR="00F0550C">
        <w:rPr>
          <w:sz w:val="20"/>
          <w:szCs w:val="20"/>
          <w:lang w:bidi="ar-EG"/>
        </w:rPr>
        <w:t xml:space="preserve"> </w:t>
      </w:r>
      <w:r w:rsidR="00C17584" w:rsidRPr="00F0550C">
        <w:rPr>
          <w:sz w:val="20"/>
          <w:szCs w:val="20"/>
          <w:lang w:bidi="ar-EG"/>
        </w:rPr>
        <w:t>6.7 % and</w:t>
      </w:r>
      <w:r w:rsidR="00F0550C">
        <w:rPr>
          <w:sz w:val="20"/>
          <w:szCs w:val="20"/>
          <w:lang w:bidi="ar-EG"/>
        </w:rPr>
        <w:t xml:space="preserve"> </w:t>
      </w:r>
      <w:r w:rsidR="00C17584" w:rsidRPr="00F0550C">
        <w:rPr>
          <w:sz w:val="20"/>
          <w:szCs w:val="20"/>
          <w:lang w:bidi="ar-EG"/>
        </w:rPr>
        <w:t>3.5 % for both LS and TH respectively,</w:t>
      </w:r>
      <w:r w:rsidR="001215AB">
        <w:rPr>
          <w:rFonts w:eastAsiaTheme="minorEastAsia" w:hint="eastAsia"/>
          <w:sz w:val="20"/>
          <w:szCs w:val="20"/>
          <w:lang w:eastAsia="zh-CN" w:bidi="ar-EG"/>
        </w:rPr>
        <w:t xml:space="preserve"> </w:t>
      </w:r>
      <w:r w:rsidR="00C17584" w:rsidRPr="00F0550C">
        <w:rPr>
          <w:sz w:val="20"/>
          <w:szCs w:val="20"/>
          <w:lang w:bidi="ar-EG"/>
        </w:rPr>
        <w:t>our higher difference due to more mean % change of BMD loss</w:t>
      </w:r>
      <w:r w:rsidR="00F0550C">
        <w:rPr>
          <w:sz w:val="20"/>
          <w:szCs w:val="20"/>
          <w:lang w:bidi="ar-EG"/>
        </w:rPr>
        <w:t>.</w:t>
      </w:r>
    </w:p>
    <w:p w:rsidR="00A2088C" w:rsidRPr="00F0550C" w:rsidRDefault="00A2088C" w:rsidP="00E17342">
      <w:pPr>
        <w:bidi w:val="0"/>
        <w:adjustRightInd w:val="0"/>
        <w:snapToGrid w:val="0"/>
        <w:ind w:firstLine="425"/>
        <w:jc w:val="both"/>
        <w:rPr>
          <w:sz w:val="20"/>
          <w:szCs w:val="20"/>
          <w:lang w:bidi="ar-EG"/>
        </w:rPr>
      </w:pPr>
      <w:r w:rsidRPr="00F0550C">
        <w:rPr>
          <w:sz w:val="20"/>
          <w:szCs w:val="20"/>
          <w:lang w:bidi="ar-EG"/>
        </w:rPr>
        <w:t xml:space="preserve">In our study women who did not receive </w:t>
      </w:r>
      <w:proofErr w:type="spellStart"/>
      <w:r w:rsidRPr="00F0550C">
        <w:rPr>
          <w:sz w:val="20"/>
          <w:szCs w:val="20"/>
          <w:lang w:bidi="ar-EG"/>
        </w:rPr>
        <w:t>zoledronic</w:t>
      </w:r>
      <w:proofErr w:type="spellEnd"/>
      <w:r w:rsidRPr="00F0550C">
        <w:rPr>
          <w:sz w:val="20"/>
          <w:szCs w:val="20"/>
          <w:lang w:bidi="ar-EG"/>
        </w:rPr>
        <w:t xml:space="preserve"> acid experienced decrease in BMD from baseline to month </w:t>
      </w:r>
      <w:smartTag w:uri="urn:schemas-microsoft-com:office:smarttags" w:element="metricconverter">
        <w:smartTagPr>
          <w:attr w:name="ProductID" w:val="24 in"/>
        </w:smartTagPr>
        <w:r w:rsidRPr="00F0550C">
          <w:rPr>
            <w:sz w:val="20"/>
            <w:szCs w:val="20"/>
            <w:lang w:bidi="ar-EG"/>
          </w:rPr>
          <w:t>24 in</w:t>
        </w:r>
      </w:smartTag>
      <w:r w:rsidRPr="00F0550C">
        <w:rPr>
          <w:sz w:val="20"/>
          <w:szCs w:val="20"/>
          <w:lang w:bidi="ar-EG"/>
        </w:rPr>
        <w:t xml:space="preserve"> both the LS &amp;</w:t>
      </w:r>
      <w:r w:rsidR="001215AB">
        <w:rPr>
          <w:rFonts w:eastAsiaTheme="minorEastAsia" w:hint="eastAsia"/>
          <w:sz w:val="20"/>
          <w:szCs w:val="20"/>
          <w:lang w:eastAsia="zh-CN" w:bidi="ar-EG"/>
        </w:rPr>
        <w:t xml:space="preserve"> </w:t>
      </w:r>
      <w:r w:rsidRPr="00F0550C">
        <w:rPr>
          <w:sz w:val="20"/>
          <w:szCs w:val="20"/>
          <w:lang w:bidi="ar-EG"/>
        </w:rPr>
        <w:t>TH with mean % change about</w:t>
      </w:r>
      <w:r w:rsidR="00F0550C">
        <w:rPr>
          <w:sz w:val="20"/>
          <w:szCs w:val="20"/>
          <w:lang w:bidi="ar-EG"/>
        </w:rPr>
        <w:t xml:space="preserve"> </w:t>
      </w:r>
      <w:r w:rsidR="001215AB">
        <w:rPr>
          <w:sz w:val="20"/>
          <w:szCs w:val="20"/>
          <w:lang w:bidi="ar-EG"/>
        </w:rPr>
        <w:t>(-</w:t>
      </w:r>
      <w:r w:rsidRPr="00F0550C">
        <w:rPr>
          <w:sz w:val="20"/>
          <w:szCs w:val="20"/>
          <w:lang w:bidi="ar-EG"/>
        </w:rPr>
        <w:t>3.9%) and</w:t>
      </w:r>
      <w:r w:rsidR="00F0550C">
        <w:rPr>
          <w:sz w:val="20"/>
          <w:szCs w:val="20"/>
          <w:lang w:bidi="ar-EG"/>
        </w:rPr>
        <w:t>,</w:t>
      </w:r>
      <w:r w:rsidRPr="00F0550C">
        <w:rPr>
          <w:sz w:val="20"/>
          <w:szCs w:val="20"/>
          <w:lang w:bidi="ar-EG"/>
        </w:rPr>
        <w:t xml:space="preserve"> (-1.5%) respectively</w:t>
      </w:r>
      <w:r w:rsidR="00F0550C">
        <w:rPr>
          <w:sz w:val="20"/>
          <w:szCs w:val="20"/>
          <w:lang w:bidi="ar-EG"/>
        </w:rPr>
        <w:t>,</w:t>
      </w:r>
      <w:r w:rsidRPr="00F0550C">
        <w:rPr>
          <w:sz w:val="20"/>
          <w:szCs w:val="20"/>
          <w:lang w:bidi="ar-EG"/>
        </w:rPr>
        <w:t xml:space="preserve"> </w:t>
      </w:r>
      <w:r w:rsidRPr="00F0550C">
        <w:rPr>
          <w:sz w:val="20"/>
          <w:szCs w:val="20"/>
          <w:lang w:bidi="ar-EG"/>
        </w:rPr>
        <w:lastRenderedPageBreak/>
        <w:t>whereas patients</w:t>
      </w:r>
      <w:r w:rsidR="00F0550C">
        <w:rPr>
          <w:sz w:val="20"/>
          <w:szCs w:val="20"/>
          <w:lang w:bidi="ar-EG"/>
        </w:rPr>
        <w:t xml:space="preserve"> </w:t>
      </w:r>
      <w:r w:rsidRPr="00F0550C">
        <w:rPr>
          <w:sz w:val="20"/>
          <w:szCs w:val="20"/>
          <w:lang w:bidi="ar-EG"/>
        </w:rPr>
        <w:t>who received</w:t>
      </w:r>
      <w:r w:rsidR="00F0550C">
        <w:rPr>
          <w:sz w:val="20"/>
          <w:szCs w:val="20"/>
          <w:lang w:bidi="ar-EG"/>
        </w:rPr>
        <w:t xml:space="preserve"> </w:t>
      </w:r>
      <w:proofErr w:type="spellStart"/>
      <w:r w:rsidRPr="00F0550C">
        <w:rPr>
          <w:sz w:val="20"/>
          <w:szCs w:val="20"/>
          <w:lang w:bidi="ar-EG"/>
        </w:rPr>
        <w:t>zoledronic</w:t>
      </w:r>
      <w:proofErr w:type="spellEnd"/>
      <w:r w:rsidRPr="00F0550C">
        <w:rPr>
          <w:sz w:val="20"/>
          <w:szCs w:val="20"/>
          <w:lang w:bidi="ar-EG"/>
        </w:rPr>
        <w:t xml:space="preserve"> acid experienced increase in BMD of the</w:t>
      </w:r>
      <w:r w:rsidR="00F0550C">
        <w:rPr>
          <w:sz w:val="20"/>
          <w:szCs w:val="20"/>
          <w:lang w:bidi="ar-EG"/>
        </w:rPr>
        <w:t xml:space="preserve"> </w:t>
      </w:r>
      <w:r w:rsidRPr="00F0550C">
        <w:rPr>
          <w:sz w:val="20"/>
          <w:szCs w:val="20"/>
          <w:lang w:bidi="ar-EG"/>
        </w:rPr>
        <w:t>LS</w:t>
      </w:r>
      <w:r w:rsidR="00F0550C">
        <w:rPr>
          <w:sz w:val="20"/>
          <w:szCs w:val="20"/>
          <w:lang w:bidi="ar-EG"/>
        </w:rPr>
        <w:t xml:space="preserve"> </w:t>
      </w:r>
      <w:r w:rsidRPr="00F0550C">
        <w:rPr>
          <w:sz w:val="20"/>
          <w:szCs w:val="20"/>
          <w:lang w:bidi="ar-EG"/>
        </w:rPr>
        <w:t>&amp; TH with mean</w:t>
      </w:r>
      <w:r w:rsidR="00F0550C">
        <w:rPr>
          <w:sz w:val="20"/>
          <w:szCs w:val="20"/>
          <w:lang w:bidi="ar-EG"/>
        </w:rPr>
        <w:t xml:space="preserve"> </w:t>
      </w:r>
      <w:r w:rsidRPr="00F0550C">
        <w:rPr>
          <w:sz w:val="20"/>
          <w:szCs w:val="20"/>
          <w:lang w:bidi="ar-EG"/>
        </w:rPr>
        <w:t xml:space="preserve">% change about </w:t>
      </w:r>
      <w:r w:rsidR="00F0550C">
        <w:rPr>
          <w:sz w:val="20"/>
          <w:szCs w:val="20"/>
          <w:lang w:bidi="ar-EG"/>
        </w:rPr>
        <w:t>(</w:t>
      </w:r>
      <w:r w:rsidRPr="00F0550C">
        <w:rPr>
          <w:sz w:val="20"/>
          <w:szCs w:val="20"/>
          <w:lang w:bidi="ar-EG"/>
        </w:rPr>
        <w:t xml:space="preserve">+5.2%) and </w:t>
      </w:r>
      <w:r w:rsidR="00F0550C">
        <w:rPr>
          <w:sz w:val="20"/>
          <w:szCs w:val="20"/>
          <w:lang w:bidi="ar-EG"/>
        </w:rPr>
        <w:t>(</w:t>
      </w:r>
      <w:r w:rsidRPr="00F0550C">
        <w:rPr>
          <w:sz w:val="20"/>
          <w:szCs w:val="20"/>
          <w:lang w:bidi="ar-EG"/>
        </w:rPr>
        <w:t>+3.9%) from baseline to month 12 (</w:t>
      </w:r>
      <w:r w:rsidRPr="00F0550C">
        <w:rPr>
          <w:i/>
          <w:iCs/>
          <w:sz w:val="20"/>
          <w:szCs w:val="20"/>
          <w:lang w:bidi="ar-EG"/>
        </w:rPr>
        <w:t>P</w:t>
      </w:r>
      <w:r w:rsidRPr="00F0550C">
        <w:rPr>
          <w:sz w:val="20"/>
          <w:szCs w:val="20"/>
          <w:lang w:bidi="ar-EG"/>
        </w:rPr>
        <w:t xml:space="preserve"> &lt; 0.004 for both), with difference</w:t>
      </w:r>
      <w:r w:rsidR="00F0550C">
        <w:rPr>
          <w:sz w:val="20"/>
          <w:szCs w:val="20"/>
          <w:lang w:bidi="ar-EG"/>
        </w:rPr>
        <w:t xml:space="preserve"> </w:t>
      </w:r>
      <w:r w:rsidRPr="00F0550C">
        <w:rPr>
          <w:sz w:val="20"/>
          <w:szCs w:val="20"/>
          <w:lang w:bidi="ar-EG"/>
        </w:rPr>
        <w:t>9.2 % &amp; 5.4% for both LS &amp; TH</w:t>
      </w:r>
      <w:r w:rsidR="00F0550C">
        <w:rPr>
          <w:sz w:val="20"/>
          <w:szCs w:val="20"/>
          <w:lang w:bidi="ar-EG"/>
        </w:rPr>
        <w:t>.</w:t>
      </w:r>
    </w:p>
    <w:p w:rsidR="00A2088C" w:rsidRPr="00F0550C" w:rsidRDefault="00A2088C" w:rsidP="00E17342">
      <w:pPr>
        <w:bidi w:val="0"/>
        <w:adjustRightInd w:val="0"/>
        <w:snapToGrid w:val="0"/>
        <w:ind w:firstLine="425"/>
        <w:jc w:val="both"/>
        <w:rPr>
          <w:sz w:val="20"/>
          <w:szCs w:val="20"/>
          <w:lang w:bidi="ar-EG"/>
        </w:rPr>
      </w:pPr>
      <w:r w:rsidRPr="00F0550C">
        <w:rPr>
          <w:sz w:val="20"/>
          <w:szCs w:val="20"/>
          <w:lang w:bidi="ar-EG"/>
        </w:rPr>
        <w:t xml:space="preserve">Z-FAST and ZO-FAST studies also showed decrease in mean % change of BMD from baseline in patients with delayed </w:t>
      </w:r>
      <w:proofErr w:type="spellStart"/>
      <w:r w:rsidRPr="00F0550C">
        <w:rPr>
          <w:sz w:val="20"/>
          <w:szCs w:val="20"/>
          <w:lang w:bidi="ar-EG"/>
        </w:rPr>
        <w:t>zoledronic</w:t>
      </w:r>
      <w:proofErr w:type="spellEnd"/>
      <w:r w:rsidR="00F0550C">
        <w:rPr>
          <w:sz w:val="20"/>
          <w:szCs w:val="20"/>
          <w:lang w:bidi="ar-EG"/>
        </w:rPr>
        <w:t xml:space="preserve"> </w:t>
      </w:r>
      <w:r w:rsidRPr="00F0550C">
        <w:rPr>
          <w:sz w:val="20"/>
          <w:szCs w:val="20"/>
          <w:lang w:bidi="ar-EG"/>
        </w:rPr>
        <w:t>acid at 24 months evaluation with difference for LS &amp;</w:t>
      </w:r>
      <w:r w:rsidR="001215AB">
        <w:rPr>
          <w:rFonts w:eastAsiaTheme="minorEastAsia" w:hint="eastAsia"/>
          <w:sz w:val="20"/>
          <w:szCs w:val="20"/>
          <w:lang w:eastAsia="zh-CN" w:bidi="ar-EG"/>
        </w:rPr>
        <w:t xml:space="preserve"> </w:t>
      </w:r>
      <w:r w:rsidRPr="00F0550C">
        <w:rPr>
          <w:sz w:val="20"/>
          <w:szCs w:val="20"/>
          <w:lang w:bidi="ar-EG"/>
        </w:rPr>
        <w:t>TH</w:t>
      </w:r>
      <w:r w:rsidR="00F0550C">
        <w:rPr>
          <w:sz w:val="20"/>
          <w:szCs w:val="20"/>
          <w:lang w:bidi="ar-EG"/>
        </w:rPr>
        <w:t xml:space="preserve"> </w:t>
      </w:r>
      <w:r w:rsidRPr="00F0550C">
        <w:rPr>
          <w:sz w:val="20"/>
          <w:szCs w:val="20"/>
          <w:lang w:bidi="ar-EG"/>
        </w:rPr>
        <w:t>5.9%</w:t>
      </w:r>
      <w:r w:rsidR="00F0550C">
        <w:rPr>
          <w:rFonts w:eastAsiaTheme="minorEastAsia" w:hint="eastAsia"/>
          <w:sz w:val="20"/>
          <w:szCs w:val="20"/>
          <w:lang w:eastAsia="zh-CN" w:bidi="ar-EG"/>
        </w:rPr>
        <w:t xml:space="preserve"> </w:t>
      </w:r>
      <w:r w:rsidRPr="00F0550C">
        <w:rPr>
          <w:sz w:val="20"/>
          <w:szCs w:val="20"/>
          <w:lang w:bidi="ar-EG"/>
        </w:rPr>
        <w:t>&amp;</w:t>
      </w:r>
      <w:r w:rsidR="00F0550C">
        <w:rPr>
          <w:sz w:val="20"/>
          <w:szCs w:val="20"/>
          <w:lang w:bidi="ar-EG"/>
        </w:rPr>
        <w:t xml:space="preserve"> </w:t>
      </w:r>
      <w:r w:rsidRPr="00F0550C">
        <w:rPr>
          <w:sz w:val="20"/>
          <w:szCs w:val="20"/>
          <w:lang w:bidi="ar-EG"/>
        </w:rPr>
        <w:t>4.7%</w:t>
      </w:r>
      <w:r w:rsidR="00F0550C">
        <w:rPr>
          <w:sz w:val="20"/>
          <w:szCs w:val="20"/>
          <w:lang w:bidi="ar-EG"/>
        </w:rPr>
        <w:t xml:space="preserve"> </w:t>
      </w:r>
      <w:r w:rsidRPr="00F0550C">
        <w:rPr>
          <w:sz w:val="20"/>
          <w:szCs w:val="20"/>
          <w:lang w:bidi="ar-EG"/>
        </w:rPr>
        <w:t>and</w:t>
      </w:r>
      <w:r w:rsidR="00F0550C">
        <w:rPr>
          <w:sz w:val="20"/>
          <w:szCs w:val="20"/>
          <w:lang w:bidi="ar-EG"/>
        </w:rPr>
        <w:t xml:space="preserve"> </w:t>
      </w:r>
      <w:r w:rsidRPr="00F0550C">
        <w:rPr>
          <w:sz w:val="20"/>
          <w:szCs w:val="20"/>
          <w:lang w:bidi="ar-EG"/>
        </w:rPr>
        <w:t>8.2% &amp;4.7%</w:t>
      </w:r>
      <w:r w:rsidR="006D2C3E">
        <w:rPr>
          <w:rFonts w:eastAsiaTheme="minorEastAsia" w:hint="eastAsia"/>
          <w:sz w:val="20"/>
          <w:szCs w:val="20"/>
          <w:lang w:eastAsia="zh-CN" w:bidi="ar-EG"/>
        </w:rPr>
        <w:t xml:space="preserve"> </w:t>
      </w:r>
      <w:r w:rsidRPr="00F0550C">
        <w:rPr>
          <w:sz w:val="20"/>
          <w:szCs w:val="20"/>
          <w:lang w:bidi="ar-EG"/>
        </w:rPr>
        <w:t>for both studies respectively with p-value significant &lt;0.0001</w:t>
      </w:r>
      <w:r w:rsidR="001215AB">
        <w:rPr>
          <w:rFonts w:eastAsiaTheme="minorEastAsia" w:hint="eastAsia"/>
          <w:sz w:val="20"/>
          <w:szCs w:val="20"/>
          <w:lang w:eastAsia="zh-CN" w:bidi="ar-EG"/>
        </w:rPr>
        <w:t xml:space="preserve"> </w:t>
      </w:r>
      <w:r w:rsidR="00C535C7" w:rsidRPr="00F0550C">
        <w:rPr>
          <w:b/>
          <w:bCs/>
          <w:sz w:val="20"/>
          <w:szCs w:val="20"/>
          <w:lang w:bidi="ar-EG"/>
        </w:rPr>
        <w:t>[14].</w:t>
      </w:r>
    </w:p>
    <w:p w:rsidR="00A00732" w:rsidRPr="00F0550C" w:rsidRDefault="0058137E" w:rsidP="00E17342">
      <w:pPr>
        <w:bidi w:val="0"/>
        <w:adjustRightInd w:val="0"/>
        <w:snapToGrid w:val="0"/>
        <w:ind w:firstLine="425"/>
        <w:jc w:val="both"/>
        <w:rPr>
          <w:sz w:val="20"/>
          <w:szCs w:val="20"/>
          <w:lang w:bidi="ar-EG"/>
        </w:rPr>
      </w:pPr>
      <w:r w:rsidRPr="00F0550C">
        <w:rPr>
          <w:sz w:val="20"/>
          <w:szCs w:val="20"/>
          <w:lang w:bidi="ar-EG"/>
        </w:rPr>
        <w:t xml:space="preserve">Our study showed that patients in the </w:t>
      </w:r>
      <w:proofErr w:type="spellStart"/>
      <w:r w:rsidRPr="00F0550C">
        <w:rPr>
          <w:sz w:val="20"/>
          <w:szCs w:val="20"/>
          <w:lang w:bidi="ar-EG"/>
        </w:rPr>
        <w:t>zoledronic</w:t>
      </w:r>
      <w:proofErr w:type="spellEnd"/>
      <w:r w:rsidRPr="00F0550C">
        <w:rPr>
          <w:sz w:val="20"/>
          <w:szCs w:val="20"/>
          <w:lang w:bidi="ar-EG"/>
        </w:rPr>
        <w:t xml:space="preserve"> acid groups had a higher incidence of bone pain, </w:t>
      </w:r>
      <w:proofErr w:type="spellStart"/>
      <w:r w:rsidRPr="00F0550C">
        <w:rPr>
          <w:sz w:val="20"/>
          <w:szCs w:val="20"/>
          <w:lang w:bidi="ar-EG"/>
        </w:rPr>
        <w:t>arthralgia</w:t>
      </w:r>
      <w:proofErr w:type="spellEnd"/>
      <w:r w:rsidRPr="00F0550C">
        <w:rPr>
          <w:sz w:val="20"/>
          <w:szCs w:val="20"/>
          <w:lang w:bidi="ar-EG"/>
        </w:rPr>
        <w:t>, and fever</w:t>
      </w:r>
      <w:r w:rsidR="00F0550C">
        <w:rPr>
          <w:sz w:val="20"/>
          <w:szCs w:val="20"/>
          <w:lang w:bidi="ar-EG"/>
        </w:rPr>
        <w:t xml:space="preserve"> </w:t>
      </w:r>
      <w:r w:rsidRPr="00F0550C">
        <w:rPr>
          <w:sz w:val="20"/>
          <w:szCs w:val="20"/>
          <w:lang w:bidi="ar-EG"/>
        </w:rPr>
        <w:t>compared with those without</w:t>
      </w:r>
      <w:r w:rsidR="00F0550C">
        <w:rPr>
          <w:sz w:val="20"/>
          <w:szCs w:val="20"/>
          <w:lang w:bidi="ar-EG"/>
        </w:rPr>
        <w:t xml:space="preserve"> </w:t>
      </w:r>
      <w:proofErr w:type="spellStart"/>
      <w:r w:rsidRPr="00F0550C">
        <w:rPr>
          <w:sz w:val="20"/>
          <w:szCs w:val="20"/>
          <w:lang w:bidi="ar-EG"/>
        </w:rPr>
        <w:t>zoledronic</w:t>
      </w:r>
      <w:proofErr w:type="spellEnd"/>
      <w:r w:rsidRPr="00F0550C">
        <w:rPr>
          <w:sz w:val="20"/>
          <w:szCs w:val="20"/>
          <w:lang w:bidi="ar-EG"/>
        </w:rPr>
        <w:t xml:space="preserve"> acid (bone pain 58% versus 20%, </w:t>
      </w:r>
      <w:proofErr w:type="spellStart"/>
      <w:r w:rsidRPr="00F0550C">
        <w:rPr>
          <w:sz w:val="20"/>
          <w:szCs w:val="20"/>
          <w:lang w:bidi="ar-EG"/>
        </w:rPr>
        <w:t>arthralgia</w:t>
      </w:r>
      <w:proofErr w:type="spellEnd"/>
      <w:r w:rsidRPr="00F0550C">
        <w:rPr>
          <w:sz w:val="20"/>
          <w:szCs w:val="20"/>
          <w:lang w:bidi="ar-EG"/>
        </w:rPr>
        <w:t xml:space="preserve"> 36% versus 26% and fever 26% versus 8%). Overall, there was no significant difference in the incidence of adverse events, and this was in agreement of both Z-FAST and ZO-FAST studied separate and integrated (bone pain 12.2% versus 5.9%</w:t>
      </w:r>
      <w:r w:rsidR="00F0550C">
        <w:rPr>
          <w:sz w:val="20"/>
          <w:szCs w:val="20"/>
          <w:lang w:bidi="ar-EG"/>
        </w:rPr>
        <w:t>,</w:t>
      </w:r>
      <w:r w:rsidRPr="00F0550C">
        <w:rPr>
          <w:sz w:val="20"/>
          <w:szCs w:val="20"/>
          <w:lang w:bidi="ar-EG"/>
        </w:rPr>
        <w:t xml:space="preserve">arthralgia 31.7% versus 28.5% and fever12.1% versus 1% for immediate versus delayed </w:t>
      </w:r>
      <w:proofErr w:type="spellStart"/>
      <w:r w:rsidRPr="00F0550C">
        <w:rPr>
          <w:sz w:val="20"/>
          <w:szCs w:val="20"/>
          <w:lang w:bidi="ar-EG"/>
        </w:rPr>
        <w:t>zoledronic</w:t>
      </w:r>
      <w:proofErr w:type="spellEnd"/>
      <w:r w:rsidRPr="00F0550C">
        <w:rPr>
          <w:sz w:val="20"/>
          <w:szCs w:val="20"/>
          <w:lang w:bidi="ar-EG"/>
        </w:rPr>
        <w:t xml:space="preserve"> acid) </w:t>
      </w:r>
      <w:r w:rsidR="00C535C7" w:rsidRPr="00F0550C">
        <w:rPr>
          <w:b/>
          <w:bCs/>
          <w:sz w:val="20"/>
          <w:szCs w:val="20"/>
          <w:lang w:bidi="ar-EG"/>
        </w:rPr>
        <w:t>[11].</w:t>
      </w:r>
    </w:p>
    <w:p w:rsidR="000C6C2F" w:rsidRPr="00F0550C" w:rsidRDefault="000C6C2F" w:rsidP="00E17342">
      <w:pPr>
        <w:bidi w:val="0"/>
        <w:adjustRightInd w:val="0"/>
        <w:snapToGrid w:val="0"/>
        <w:ind w:firstLine="425"/>
        <w:jc w:val="both"/>
        <w:rPr>
          <w:b/>
          <w:bCs/>
          <w:sz w:val="20"/>
          <w:szCs w:val="20"/>
          <w:lang w:bidi="ar-EG"/>
        </w:rPr>
      </w:pPr>
    </w:p>
    <w:p w:rsidR="004D04E7" w:rsidRPr="00F0550C" w:rsidRDefault="000C6C2F" w:rsidP="00E17342">
      <w:pPr>
        <w:bidi w:val="0"/>
        <w:adjustRightInd w:val="0"/>
        <w:snapToGrid w:val="0"/>
        <w:jc w:val="both"/>
        <w:rPr>
          <w:b/>
          <w:bCs/>
          <w:sz w:val="20"/>
          <w:szCs w:val="20"/>
          <w:lang w:bidi="ar-EG"/>
        </w:rPr>
      </w:pPr>
      <w:r w:rsidRPr="00F0550C">
        <w:rPr>
          <w:b/>
          <w:bCs/>
          <w:sz w:val="20"/>
          <w:szCs w:val="20"/>
          <w:lang w:bidi="ar-EG"/>
        </w:rPr>
        <w:t>Conclusion</w:t>
      </w:r>
    </w:p>
    <w:p w:rsidR="004D04E7" w:rsidRPr="00F0550C" w:rsidRDefault="004D04E7" w:rsidP="00E17342">
      <w:pPr>
        <w:bidi w:val="0"/>
        <w:adjustRightInd w:val="0"/>
        <w:snapToGrid w:val="0"/>
        <w:ind w:firstLine="425"/>
        <w:jc w:val="both"/>
        <w:rPr>
          <w:sz w:val="20"/>
          <w:szCs w:val="20"/>
          <w:lang w:bidi="ar-EG"/>
        </w:rPr>
      </w:pPr>
      <w:r w:rsidRPr="00F0550C">
        <w:rPr>
          <w:sz w:val="20"/>
          <w:szCs w:val="20"/>
          <w:lang w:bidi="ar-EG"/>
        </w:rPr>
        <w:t>Our results evaluated</w:t>
      </w:r>
      <w:r w:rsidR="00F0550C">
        <w:rPr>
          <w:sz w:val="20"/>
          <w:szCs w:val="20"/>
          <w:lang w:bidi="ar-EG"/>
        </w:rPr>
        <w:t xml:space="preserve"> </w:t>
      </w:r>
      <w:r w:rsidRPr="00F0550C">
        <w:rPr>
          <w:sz w:val="20"/>
          <w:szCs w:val="20"/>
          <w:lang w:bidi="ar-EG"/>
        </w:rPr>
        <w:t xml:space="preserve">bone health by comparing BMD of both study groups and proved the benefit of adding adjuvant </w:t>
      </w:r>
      <w:proofErr w:type="spellStart"/>
      <w:r w:rsidRPr="00F0550C">
        <w:rPr>
          <w:sz w:val="20"/>
          <w:szCs w:val="20"/>
          <w:lang w:bidi="ar-EG"/>
        </w:rPr>
        <w:t>zoledronic</w:t>
      </w:r>
      <w:proofErr w:type="spellEnd"/>
      <w:r w:rsidRPr="00F0550C">
        <w:rPr>
          <w:sz w:val="20"/>
          <w:szCs w:val="20"/>
          <w:lang w:bidi="ar-EG"/>
        </w:rPr>
        <w:t xml:space="preserve"> acid to </w:t>
      </w:r>
      <w:proofErr w:type="spellStart"/>
      <w:r w:rsidRPr="00F0550C">
        <w:rPr>
          <w:sz w:val="20"/>
          <w:szCs w:val="20"/>
          <w:lang w:bidi="ar-EG"/>
        </w:rPr>
        <w:t>letrezole</w:t>
      </w:r>
      <w:proofErr w:type="spellEnd"/>
      <w:r w:rsidRPr="00F0550C">
        <w:rPr>
          <w:sz w:val="20"/>
          <w:szCs w:val="20"/>
          <w:lang w:bidi="ar-EG"/>
        </w:rPr>
        <w:t xml:space="preserve"> hormonal treatment, BMD increased in those received </w:t>
      </w:r>
      <w:proofErr w:type="spellStart"/>
      <w:r w:rsidRPr="00F0550C">
        <w:rPr>
          <w:sz w:val="20"/>
          <w:szCs w:val="20"/>
          <w:lang w:bidi="ar-EG"/>
        </w:rPr>
        <w:t>zoledronic</w:t>
      </w:r>
      <w:proofErr w:type="spellEnd"/>
      <w:r w:rsidRPr="00F0550C">
        <w:rPr>
          <w:sz w:val="20"/>
          <w:szCs w:val="20"/>
          <w:lang w:bidi="ar-EG"/>
        </w:rPr>
        <w:t xml:space="preserve"> acid and decreased</w:t>
      </w:r>
      <w:r w:rsidR="00F0550C">
        <w:rPr>
          <w:sz w:val="20"/>
          <w:szCs w:val="20"/>
          <w:lang w:bidi="ar-EG"/>
        </w:rPr>
        <w:t xml:space="preserve"> </w:t>
      </w:r>
      <w:r w:rsidRPr="00F0550C">
        <w:rPr>
          <w:sz w:val="20"/>
          <w:szCs w:val="20"/>
          <w:lang w:bidi="ar-EG"/>
        </w:rPr>
        <w:t>in those on hormonal treatment only,</w:t>
      </w:r>
      <w:r w:rsidR="00F0550C">
        <w:rPr>
          <w:sz w:val="20"/>
          <w:szCs w:val="20"/>
          <w:lang w:bidi="ar-EG"/>
        </w:rPr>
        <w:t xml:space="preserve"> </w:t>
      </w:r>
      <w:r w:rsidRPr="00F0550C">
        <w:rPr>
          <w:sz w:val="20"/>
          <w:szCs w:val="20"/>
          <w:lang w:bidi="ar-EG"/>
        </w:rPr>
        <w:t>and these changes was sustained and continuous by evaluation of BMD at both 12 and 24 months.</w:t>
      </w:r>
    </w:p>
    <w:p w:rsidR="004D04E7" w:rsidRPr="00F0550C" w:rsidRDefault="004D04E7" w:rsidP="00E17342">
      <w:pPr>
        <w:bidi w:val="0"/>
        <w:adjustRightInd w:val="0"/>
        <w:snapToGrid w:val="0"/>
        <w:ind w:firstLine="425"/>
        <w:jc w:val="both"/>
        <w:rPr>
          <w:sz w:val="20"/>
          <w:szCs w:val="20"/>
          <w:lang w:bidi="ar-EG"/>
        </w:rPr>
      </w:pPr>
      <w:r w:rsidRPr="00F0550C">
        <w:rPr>
          <w:sz w:val="20"/>
          <w:szCs w:val="20"/>
          <w:lang w:bidi="ar-EG"/>
        </w:rPr>
        <w:t xml:space="preserve">Our results showed that the treatment regimen in the present study was well tolerated. The most prevalent toxicity of treatment was bone pain, </w:t>
      </w:r>
      <w:proofErr w:type="spellStart"/>
      <w:r w:rsidRPr="00F0550C">
        <w:rPr>
          <w:sz w:val="20"/>
          <w:szCs w:val="20"/>
          <w:lang w:bidi="ar-EG"/>
        </w:rPr>
        <w:t>arthralgia</w:t>
      </w:r>
      <w:proofErr w:type="spellEnd"/>
      <w:r w:rsidRPr="00F0550C">
        <w:rPr>
          <w:sz w:val="20"/>
          <w:szCs w:val="20"/>
          <w:lang w:bidi="ar-EG"/>
        </w:rPr>
        <w:t xml:space="preserve"> and fever with no cases of renal impairment, no cases of ONJ and no treatment related mortality.</w:t>
      </w:r>
    </w:p>
    <w:p w:rsidR="004D04E7" w:rsidRPr="00F0550C" w:rsidRDefault="004D04E7" w:rsidP="00E17342">
      <w:pPr>
        <w:bidi w:val="0"/>
        <w:adjustRightInd w:val="0"/>
        <w:snapToGrid w:val="0"/>
        <w:ind w:firstLine="425"/>
        <w:jc w:val="both"/>
        <w:rPr>
          <w:sz w:val="20"/>
          <w:szCs w:val="20"/>
          <w:lang w:bidi="ar-EG"/>
        </w:rPr>
      </w:pPr>
      <w:r w:rsidRPr="00F0550C">
        <w:rPr>
          <w:sz w:val="20"/>
          <w:szCs w:val="20"/>
          <w:lang w:bidi="ar-EG"/>
        </w:rPr>
        <w:t xml:space="preserve">Further studies are needed to evaluate cost –benefit effect of </w:t>
      </w:r>
      <w:proofErr w:type="spellStart"/>
      <w:r w:rsidRPr="00F0550C">
        <w:rPr>
          <w:sz w:val="20"/>
          <w:szCs w:val="20"/>
          <w:lang w:bidi="ar-EG"/>
        </w:rPr>
        <w:t>zoledronic</w:t>
      </w:r>
      <w:proofErr w:type="spellEnd"/>
      <w:r w:rsidRPr="00F0550C">
        <w:rPr>
          <w:sz w:val="20"/>
          <w:szCs w:val="20"/>
          <w:lang w:bidi="ar-EG"/>
        </w:rPr>
        <w:t xml:space="preserve"> acid every 6 months regimen.</w:t>
      </w:r>
    </w:p>
    <w:p w:rsidR="000C6C2F" w:rsidRPr="00F0550C" w:rsidRDefault="000C6C2F" w:rsidP="00E17342">
      <w:pPr>
        <w:bidi w:val="0"/>
        <w:adjustRightInd w:val="0"/>
        <w:snapToGrid w:val="0"/>
        <w:ind w:firstLine="425"/>
        <w:jc w:val="both"/>
        <w:rPr>
          <w:b/>
          <w:bCs/>
          <w:sz w:val="20"/>
          <w:szCs w:val="20"/>
          <w:lang w:bidi="ar-EG"/>
        </w:rPr>
      </w:pPr>
    </w:p>
    <w:p w:rsidR="004D04E7" w:rsidRPr="00F0550C" w:rsidRDefault="000C6C2F" w:rsidP="00E17342">
      <w:pPr>
        <w:bidi w:val="0"/>
        <w:adjustRightInd w:val="0"/>
        <w:snapToGrid w:val="0"/>
        <w:jc w:val="both"/>
        <w:rPr>
          <w:b/>
          <w:bCs/>
          <w:sz w:val="20"/>
          <w:szCs w:val="20"/>
          <w:lang w:bidi="ar-EG"/>
        </w:rPr>
      </w:pPr>
      <w:r w:rsidRPr="00F0550C">
        <w:rPr>
          <w:b/>
          <w:bCs/>
          <w:sz w:val="20"/>
          <w:szCs w:val="20"/>
          <w:lang w:bidi="ar-EG"/>
        </w:rPr>
        <w:t>References</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Abdulhaq</w:t>
      </w:r>
      <w:proofErr w:type="spellEnd"/>
      <w:r w:rsidRPr="00F0550C">
        <w:rPr>
          <w:sz w:val="20"/>
          <w:szCs w:val="20"/>
        </w:rPr>
        <w:t xml:space="preserve"> H, Geyer C: Safety of adjuvant endocrine therapy in postmenopausal women with breast cancer. </w:t>
      </w:r>
      <w:proofErr w:type="gramStart"/>
      <w:r w:rsidRPr="00F0550C">
        <w:rPr>
          <w:sz w:val="20"/>
          <w:szCs w:val="20"/>
        </w:rPr>
        <w:t>Am</w:t>
      </w:r>
      <w:proofErr w:type="gramEnd"/>
      <w:r w:rsidRPr="00F0550C">
        <w:rPr>
          <w:sz w:val="20"/>
          <w:szCs w:val="20"/>
        </w:rPr>
        <w:t xml:space="preserve"> J </w:t>
      </w:r>
      <w:proofErr w:type="spellStart"/>
      <w:r w:rsidRPr="00F0550C">
        <w:rPr>
          <w:sz w:val="20"/>
          <w:szCs w:val="20"/>
        </w:rPr>
        <w:t>Clin</w:t>
      </w:r>
      <w:proofErr w:type="spellEnd"/>
      <w:r w:rsidRPr="00F0550C">
        <w:rPr>
          <w:sz w:val="20"/>
          <w:szCs w:val="20"/>
        </w:rPr>
        <w:t xml:space="preserve"> </w:t>
      </w:r>
      <w:proofErr w:type="spellStart"/>
      <w:r w:rsidRPr="00F0550C">
        <w:rPr>
          <w:sz w:val="20"/>
          <w:szCs w:val="20"/>
        </w:rPr>
        <w:t>Oncol</w:t>
      </w:r>
      <w:proofErr w:type="spellEnd"/>
      <w:r w:rsidRPr="00F0550C">
        <w:rPr>
          <w:sz w:val="20"/>
          <w:szCs w:val="20"/>
        </w:rPr>
        <w:t xml:space="preserve"> 2008, 31:595-605.</w:t>
      </w:r>
    </w:p>
    <w:p w:rsidR="004D04E7" w:rsidRPr="00F0550C" w:rsidRDefault="004D04E7" w:rsidP="00E17342">
      <w:pPr>
        <w:numPr>
          <w:ilvl w:val="0"/>
          <w:numId w:val="10"/>
        </w:numPr>
        <w:bidi w:val="0"/>
        <w:adjustRightInd w:val="0"/>
        <w:snapToGrid w:val="0"/>
        <w:ind w:left="425" w:hanging="425"/>
        <w:jc w:val="both"/>
        <w:rPr>
          <w:sz w:val="20"/>
          <w:szCs w:val="20"/>
        </w:rPr>
      </w:pPr>
      <w:bookmarkStart w:id="0" w:name="B6"/>
      <w:bookmarkEnd w:id="0"/>
      <w:proofErr w:type="spellStart"/>
      <w:r w:rsidRPr="00F0550C">
        <w:rPr>
          <w:sz w:val="20"/>
          <w:szCs w:val="20"/>
        </w:rPr>
        <w:t>Winer</w:t>
      </w:r>
      <w:proofErr w:type="spellEnd"/>
      <w:r w:rsidRPr="00F0550C">
        <w:rPr>
          <w:sz w:val="20"/>
          <w:szCs w:val="20"/>
        </w:rPr>
        <w:t xml:space="preserve"> EP, </w:t>
      </w:r>
      <w:proofErr w:type="spellStart"/>
      <w:r w:rsidRPr="00F0550C">
        <w:rPr>
          <w:sz w:val="20"/>
          <w:szCs w:val="20"/>
        </w:rPr>
        <w:t>Hudis</w:t>
      </w:r>
      <w:proofErr w:type="spellEnd"/>
      <w:r w:rsidRPr="00F0550C">
        <w:rPr>
          <w:sz w:val="20"/>
          <w:szCs w:val="20"/>
        </w:rPr>
        <w:t xml:space="preserve"> C, Burstein HJ, Wolff AC, Pritchard KI, Ingle JN, </w:t>
      </w:r>
      <w:proofErr w:type="spellStart"/>
      <w:r w:rsidRPr="00F0550C">
        <w:rPr>
          <w:sz w:val="20"/>
          <w:szCs w:val="20"/>
        </w:rPr>
        <w:t>Chlebowski</w:t>
      </w:r>
      <w:proofErr w:type="spellEnd"/>
      <w:r w:rsidRPr="00F0550C">
        <w:rPr>
          <w:sz w:val="20"/>
          <w:szCs w:val="20"/>
        </w:rPr>
        <w:t xml:space="preserve"> RT, </w:t>
      </w:r>
      <w:proofErr w:type="spellStart"/>
      <w:r w:rsidRPr="00F0550C">
        <w:rPr>
          <w:sz w:val="20"/>
          <w:szCs w:val="20"/>
        </w:rPr>
        <w:t>Gelber</w:t>
      </w:r>
      <w:proofErr w:type="spellEnd"/>
      <w:r w:rsidRPr="00F0550C">
        <w:rPr>
          <w:sz w:val="20"/>
          <w:szCs w:val="20"/>
        </w:rPr>
        <w:t xml:space="preserve"> R, Edge SB, </w:t>
      </w:r>
      <w:proofErr w:type="spellStart"/>
      <w:r w:rsidRPr="00F0550C">
        <w:rPr>
          <w:sz w:val="20"/>
          <w:szCs w:val="20"/>
        </w:rPr>
        <w:t>Gralow</w:t>
      </w:r>
      <w:proofErr w:type="spellEnd"/>
      <w:r w:rsidRPr="00F0550C">
        <w:rPr>
          <w:sz w:val="20"/>
          <w:szCs w:val="20"/>
        </w:rPr>
        <w:t xml:space="preserve"> J, </w:t>
      </w:r>
      <w:proofErr w:type="spellStart"/>
      <w:r w:rsidRPr="00F0550C">
        <w:rPr>
          <w:sz w:val="20"/>
          <w:szCs w:val="20"/>
        </w:rPr>
        <w:t>Cobleigh</w:t>
      </w:r>
      <w:proofErr w:type="spellEnd"/>
      <w:r w:rsidRPr="00F0550C">
        <w:rPr>
          <w:sz w:val="20"/>
          <w:szCs w:val="20"/>
        </w:rPr>
        <w:t xml:space="preserve"> MA, </w:t>
      </w:r>
      <w:proofErr w:type="spellStart"/>
      <w:r w:rsidRPr="00F0550C">
        <w:rPr>
          <w:sz w:val="20"/>
          <w:szCs w:val="20"/>
        </w:rPr>
        <w:t>Mamounas</w:t>
      </w:r>
      <w:proofErr w:type="spellEnd"/>
      <w:r w:rsidRPr="00F0550C">
        <w:rPr>
          <w:sz w:val="20"/>
          <w:szCs w:val="20"/>
        </w:rPr>
        <w:t xml:space="preserve"> EP, Goldstein LJ, Whelan TJ, </w:t>
      </w:r>
      <w:proofErr w:type="spellStart"/>
      <w:r w:rsidRPr="00F0550C">
        <w:rPr>
          <w:sz w:val="20"/>
          <w:szCs w:val="20"/>
        </w:rPr>
        <w:t>Powles</w:t>
      </w:r>
      <w:proofErr w:type="spellEnd"/>
      <w:r w:rsidRPr="00F0550C">
        <w:rPr>
          <w:sz w:val="20"/>
          <w:szCs w:val="20"/>
        </w:rPr>
        <w:t xml:space="preserve"> TJ, Bryant J, Perkins C, </w:t>
      </w:r>
      <w:proofErr w:type="spellStart"/>
      <w:r w:rsidRPr="00F0550C">
        <w:rPr>
          <w:sz w:val="20"/>
          <w:szCs w:val="20"/>
        </w:rPr>
        <w:t>Perotti</w:t>
      </w:r>
      <w:proofErr w:type="spellEnd"/>
      <w:r w:rsidRPr="00F0550C">
        <w:rPr>
          <w:sz w:val="20"/>
          <w:szCs w:val="20"/>
        </w:rPr>
        <w:t xml:space="preserve"> J, Braun S, Langer AS, </w:t>
      </w:r>
      <w:proofErr w:type="spellStart"/>
      <w:r w:rsidRPr="00F0550C">
        <w:rPr>
          <w:sz w:val="20"/>
          <w:szCs w:val="20"/>
        </w:rPr>
        <w:t>Browman</w:t>
      </w:r>
      <w:proofErr w:type="spellEnd"/>
      <w:r w:rsidRPr="00F0550C">
        <w:rPr>
          <w:sz w:val="20"/>
          <w:szCs w:val="20"/>
        </w:rPr>
        <w:t xml:space="preserve"> GP, Somerfield MR: American Society of Clinical Oncology technology assessment on the use of </w:t>
      </w:r>
      <w:proofErr w:type="spellStart"/>
      <w:r w:rsidRPr="00F0550C">
        <w:rPr>
          <w:sz w:val="20"/>
          <w:szCs w:val="20"/>
        </w:rPr>
        <w:t>aromatase</w:t>
      </w:r>
      <w:proofErr w:type="spellEnd"/>
      <w:r w:rsidRPr="00F0550C">
        <w:rPr>
          <w:sz w:val="20"/>
          <w:szCs w:val="20"/>
        </w:rPr>
        <w:t xml:space="preserve"> inhibitors as adjuvant therapy for postmenopausal women with hormone receptor-positive breast cancer: </w:t>
      </w:r>
      <w:r w:rsidRPr="00F0550C">
        <w:rPr>
          <w:sz w:val="20"/>
          <w:szCs w:val="20"/>
        </w:rPr>
        <w:lastRenderedPageBreak/>
        <w:t xml:space="preserve">status report 2004. J </w:t>
      </w:r>
      <w:proofErr w:type="spellStart"/>
      <w:r w:rsidRPr="00F0550C">
        <w:rPr>
          <w:sz w:val="20"/>
          <w:szCs w:val="20"/>
        </w:rPr>
        <w:t>Clin</w:t>
      </w:r>
      <w:proofErr w:type="spellEnd"/>
      <w:r w:rsidRPr="00F0550C">
        <w:rPr>
          <w:sz w:val="20"/>
          <w:szCs w:val="20"/>
        </w:rPr>
        <w:t xml:space="preserve"> </w:t>
      </w:r>
      <w:proofErr w:type="spellStart"/>
      <w:r w:rsidRPr="00F0550C">
        <w:rPr>
          <w:sz w:val="20"/>
          <w:szCs w:val="20"/>
        </w:rPr>
        <w:t>Oncol</w:t>
      </w:r>
      <w:proofErr w:type="spellEnd"/>
      <w:r w:rsidRPr="00F0550C">
        <w:rPr>
          <w:sz w:val="20"/>
          <w:szCs w:val="20"/>
        </w:rPr>
        <w:t xml:space="preserve"> 2005, 23:619-629.</w:t>
      </w:r>
    </w:p>
    <w:p w:rsidR="004D04E7" w:rsidRPr="00F0550C" w:rsidRDefault="004D04E7" w:rsidP="00E17342">
      <w:pPr>
        <w:numPr>
          <w:ilvl w:val="0"/>
          <w:numId w:val="10"/>
        </w:numPr>
        <w:bidi w:val="0"/>
        <w:adjustRightInd w:val="0"/>
        <w:snapToGrid w:val="0"/>
        <w:ind w:left="425" w:hanging="425"/>
        <w:jc w:val="both"/>
        <w:rPr>
          <w:sz w:val="20"/>
          <w:szCs w:val="20"/>
        </w:rPr>
      </w:pPr>
      <w:bookmarkStart w:id="1" w:name="B7"/>
      <w:bookmarkEnd w:id="1"/>
      <w:r w:rsidRPr="00F0550C">
        <w:rPr>
          <w:sz w:val="20"/>
          <w:szCs w:val="20"/>
        </w:rPr>
        <w:t xml:space="preserve">Carlson RW, </w:t>
      </w:r>
      <w:proofErr w:type="spellStart"/>
      <w:r w:rsidRPr="00F0550C">
        <w:rPr>
          <w:sz w:val="20"/>
          <w:szCs w:val="20"/>
        </w:rPr>
        <w:t>Hudis</w:t>
      </w:r>
      <w:proofErr w:type="spellEnd"/>
      <w:r w:rsidRPr="00F0550C">
        <w:rPr>
          <w:sz w:val="20"/>
          <w:szCs w:val="20"/>
        </w:rPr>
        <w:t xml:space="preserve"> CA, </w:t>
      </w:r>
      <w:proofErr w:type="gramStart"/>
      <w:r w:rsidRPr="00F0550C">
        <w:rPr>
          <w:sz w:val="20"/>
          <w:szCs w:val="20"/>
        </w:rPr>
        <w:t>Pritchard</w:t>
      </w:r>
      <w:proofErr w:type="gramEnd"/>
      <w:r w:rsidRPr="00F0550C">
        <w:rPr>
          <w:sz w:val="20"/>
          <w:szCs w:val="20"/>
        </w:rPr>
        <w:t xml:space="preserve"> KI: Adjuvant endocrine therapy in hormone receptor-positive postmenopausal breast cancer: evolution of NCCN, ASCO, and St </w:t>
      </w:r>
      <w:proofErr w:type="spellStart"/>
      <w:r w:rsidRPr="00F0550C">
        <w:rPr>
          <w:sz w:val="20"/>
          <w:szCs w:val="20"/>
        </w:rPr>
        <w:t>Gallen</w:t>
      </w:r>
      <w:proofErr w:type="spellEnd"/>
      <w:r w:rsidRPr="00F0550C">
        <w:rPr>
          <w:sz w:val="20"/>
          <w:szCs w:val="20"/>
        </w:rPr>
        <w:t xml:space="preserve"> recommendations. J </w:t>
      </w:r>
      <w:proofErr w:type="spellStart"/>
      <w:r w:rsidRPr="00F0550C">
        <w:rPr>
          <w:sz w:val="20"/>
          <w:szCs w:val="20"/>
        </w:rPr>
        <w:t>Natl</w:t>
      </w:r>
      <w:proofErr w:type="spellEnd"/>
      <w:r w:rsidRPr="00F0550C">
        <w:rPr>
          <w:sz w:val="20"/>
          <w:szCs w:val="20"/>
        </w:rPr>
        <w:t xml:space="preserve"> </w:t>
      </w:r>
      <w:proofErr w:type="spellStart"/>
      <w:r w:rsidRPr="00F0550C">
        <w:rPr>
          <w:sz w:val="20"/>
          <w:szCs w:val="20"/>
        </w:rPr>
        <w:t>Compr</w:t>
      </w:r>
      <w:proofErr w:type="spellEnd"/>
      <w:r w:rsidRPr="00F0550C">
        <w:rPr>
          <w:sz w:val="20"/>
          <w:szCs w:val="20"/>
        </w:rPr>
        <w:t xml:space="preserve"> </w:t>
      </w:r>
      <w:proofErr w:type="spellStart"/>
      <w:r w:rsidRPr="00F0550C">
        <w:rPr>
          <w:sz w:val="20"/>
          <w:szCs w:val="20"/>
        </w:rPr>
        <w:t>Canc</w:t>
      </w:r>
      <w:proofErr w:type="spellEnd"/>
      <w:r w:rsidRPr="00F0550C">
        <w:rPr>
          <w:sz w:val="20"/>
          <w:szCs w:val="20"/>
        </w:rPr>
        <w:t xml:space="preserve"> </w:t>
      </w:r>
      <w:proofErr w:type="spellStart"/>
      <w:r w:rsidRPr="00F0550C">
        <w:rPr>
          <w:sz w:val="20"/>
          <w:szCs w:val="20"/>
        </w:rPr>
        <w:t>Netw</w:t>
      </w:r>
      <w:proofErr w:type="spellEnd"/>
      <w:r w:rsidRPr="00F0550C">
        <w:rPr>
          <w:sz w:val="20"/>
          <w:szCs w:val="20"/>
        </w:rPr>
        <w:t xml:space="preserve"> 2006, 4:971-979.</w:t>
      </w:r>
    </w:p>
    <w:p w:rsidR="004D04E7" w:rsidRPr="00F0550C" w:rsidRDefault="004D04E7" w:rsidP="00E17342">
      <w:pPr>
        <w:numPr>
          <w:ilvl w:val="0"/>
          <w:numId w:val="10"/>
        </w:numPr>
        <w:bidi w:val="0"/>
        <w:adjustRightInd w:val="0"/>
        <w:snapToGrid w:val="0"/>
        <w:ind w:left="425" w:hanging="425"/>
        <w:jc w:val="both"/>
        <w:rPr>
          <w:sz w:val="20"/>
          <w:szCs w:val="20"/>
        </w:rPr>
      </w:pPr>
      <w:bookmarkStart w:id="2" w:name="B8"/>
      <w:bookmarkEnd w:id="2"/>
      <w:r w:rsidRPr="00F0550C">
        <w:rPr>
          <w:sz w:val="20"/>
          <w:szCs w:val="20"/>
        </w:rPr>
        <w:t>National Comprehensive Cancer Network Inc.: Clinical Practice Guidelines in Oncology: Breast Cancer. V.2.2007</w:t>
      </w:r>
      <w:r w:rsidR="00F0550C">
        <w:rPr>
          <w:sz w:val="20"/>
          <w:szCs w:val="20"/>
        </w:rPr>
        <w:t>.</w:t>
      </w:r>
    </w:p>
    <w:p w:rsidR="004D04E7" w:rsidRPr="00F0550C" w:rsidRDefault="004D04E7" w:rsidP="00E17342">
      <w:pPr>
        <w:numPr>
          <w:ilvl w:val="0"/>
          <w:numId w:val="10"/>
        </w:numPr>
        <w:bidi w:val="0"/>
        <w:adjustRightInd w:val="0"/>
        <w:snapToGrid w:val="0"/>
        <w:ind w:left="425" w:hanging="425"/>
        <w:jc w:val="both"/>
        <w:rPr>
          <w:sz w:val="20"/>
          <w:szCs w:val="20"/>
        </w:rPr>
      </w:pPr>
      <w:bookmarkStart w:id="3" w:name="B9"/>
      <w:bookmarkEnd w:id="3"/>
      <w:proofErr w:type="spellStart"/>
      <w:r w:rsidRPr="00F0550C">
        <w:rPr>
          <w:sz w:val="20"/>
          <w:szCs w:val="20"/>
        </w:rPr>
        <w:t>Eastell</w:t>
      </w:r>
      <w:proofErr w:type="spellEnd"/>
      <w:r w:rsidRPr="00F0550C">
        <w:rPr>
          <w:sz w:val="20"/>
          <w:szCs w:val="20"/>
        </w:rPr>
        <w:t xml:space="preserve"> R, Hannon R: Long-term effects of </w:t>
      </w:r>
      <w:proofErr w:type="spellStart"/>
      <w:r w:rsidRPr="00F0550C">
        <w:rPr>
          <w:sz w:val="20"/>
          <w:szCs w:val="20"/>
        </w:rPr>
        <w:t>aromatase</w:t>
      </w:r>
      <w:proofErr w:type="spellEnd"/>
      <w:r w:rsidRPr="00F0550C">
        <w:rPr>
          <w:sz w:val="20"/>
          <w:szCs w:val="20"/>
        </w:rPr>
        <w:t xml:space="preserve"> inhibitors on bone. J Steroid </w:t>
      </w:r>
      <w:proofErr w:type="spellStart"/>
      <w:r w:rsidRPr="00F0550C">
        <w:rPr>
          <w:sz w:val="20"/>
          <w:szCs w:val="20"/>
        </w:rPr>
        <w:t>Biochem</w:t>
      </w:r>
      <w:proofErr w:type="spellEnd"/>
      <w:r w:rsidRPr="00F0550C">
        <w:rPr>
          <w:sz w:val="20"/>
          <w:szCs w:val="20"/>
        </w:rPr>
        <w:t xml:space="preserve"> Mol </w:t>
      </w:r>
      <w:proofErr w:type="spellStart"/>
      <w:r w:rsidRPr="00F0550C">
        <w:rPr>
          <w:sz w:val="20"/>
          <w:szCs w:val="20"/>
        </w:rPr>
        <w:t>Biol</w:t>
      </w:r>
      <w:proofErr w:type="spellEnd"/>
      <w:r w:rsidRPr="00F0550C">
        <w:rPr>
          <w:sz w:val="20"/>
          <w:szCs w:val="20"/>
        </w:rPr>
        <w:t xml:space="preserve"> 2005, 95:151-154.</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Kristensen</w:t>
      </w:r>
      <w:proofErr w:type="spellEnd"/>
      <w:r w:rsidRPr="00F0550C">
        <w:rPr>
          <w:sz w:val="20"/>
          <w:szCs w:val="20"/>
        </w:rPr>
        <w:t xml:space="preserve"> B, </w:t>
      </w:r>
      <w:proofErr w:type="spellStart"/>
      <w:r w:rsidRPr="00F0550C">
        <w:rPr>
          <w:sz w:val="20"/>
          <w:szCs w:val="20"/>
        </w:rPr>
        <w:t>Ejlertsen</w:t>
      </w:r>
      <w:proofErr w:type="spellEnd"/>
      <w:r w:rsidRPr="00F0550C">
        <w:rPr>
          <w:sz w:val="20"/>
          <w:szCs w:val="20"/>
        </w:rPr>
        <w:t xml:space="preserve"> B, </w:t>
      </w:r>
      <w:proofErr w:type="spellStart"/>
      <w:r w:rsidRPr="00F0550C">
        <w:rPr>
          <w:sz w:val="20"/>
          <w:szCs w:val="20"/>
        </w:rPr>
        <w:t>Mouridsen</w:t>
      </w:r>
      <w:proofErr w:type="spellEnd"/>
      <w:r w:rsidRPr="00F0550C">
        <w:rPr>
          <w:sz w:val="20"/>
          <w:szCs w:val="20"/>
        </w:rPr>
        <w:t xml:space="preserve"> HT, </w:t>
      </w:r>
      <w:r w:rsidRPr="00F0550C">
        <w:rPr>
          <w:i/>
          <w:iCs/>
          <w:sz w:val="20"/>
          <w:szCs w:val="20"/>
        </w:rPr>
        <w:t>et al</w:t>
      </w:r>
      <w:r w:rsidRPr="00F0550C">
        <w:rPr>
          <w:sz w:val="20"/>
          <w:szCs w:val="20"/>
        </w:rPr>
        <w:t xml:space="preserve">. </w:t>
      </w:r>
      <w:proofErr w:type="spellStart"/>
      <w:r w:rsidRPr="00F0550C">
        <w:rPr>
          <w:sz w:val="20"/>
          <w:szCs w:val="20"/>
        </w:rPr>
        <w:t>Bisphosphonate</w:t>
      </w:r>
      <w:proofErr w:type="spellEnd"/>
      <w:r w:rsidRPr="00F0550C">
        <w:rPr>
          <w:sz w:val="20"/>
          <w:szCs w:val="20"/>
        </w:rPr>
        <w:t xml:space="preserve"> treatment in primary breast cancer: results from a</w:t>
      </w:r>
      <w:r w:rsidR="00F0550C">
        <w:rPr>
          <w:sz w:val="20"/>
          <w:szCs w:val="20"/>
        </w:rPr>
        <w:t xml:space="preserve"> </w:t>
      </w:r>
      <w:proofErr w:type="spellStart"/>
      <w:r w:rsidRPr="00F0550C">
        <w:rPr>
          <w:sz w:val="20"/>
          <w:szCs w:val="20"/>
        </w:rPr>
        <w:t>randomised</w:t>
      </w:r>
      <w:proofErr w:type="spellEnd"/>
      <w:r w:rsidRPr="00F0550C">
        <w:rPr>
          <w:sz w:val="20"/>
          <w:szCs w:val="20"/>
        </w:rPr>
        <w:t xml:space="preserve"> comparison of oral </w:t>
      </w:r>
      <w:proofErr w:type="spellStart"/>
      <w:r w:rsidRPr="00F0550C">
        <w:rPr>
          <w:sz w:val="20"/>
          <w:szCs w:val="20"/>
        </w:rPr>
        <w:t>pamidronate</w:t>
      </w:r>
      <w:proofErr w:type="spellEnd"/>
      <w:r w:rsidRPr="00F0550C">
        <w:rPr>
          <w:sz w:val="20"/>
          <w:szCs w:val="20"/>
        </w:rPr>
        <w:t xml:space="preserve"> versus no </w:t>
      </w:r>
      <w:proofErr w:type="spellStart"/>
      <w:r w:rsidRPr="00F0550C">
        <w:rPr>
          <w:sz w:val="20"/>
          <w:szCs w:val="20"/>
        </w:rPr>
        <w:t>pamidronate</w:t>
      </w:r>
      <w:proofErr w:type="spellEnd"/>
      <w:r w:rsidRPr="00F0550C">
        <w:rPr>
          <w:sz w:val="20"/>
          <w:szCs w:val="20"/>
        </w:rPr>
        <w:t xml:space="preserve"> in patients with primary breast cancer. </w:t>
      </w:r>
      <w:proofErr w:type="spellStart"/>
      <w:r w:rsidRPr="00F0550C">
        <w:rPr>
          <w:sz w:val="20"/>
          <w:szCs w:val="20"/>
        </w:rPr>
        <w:t>Acta</w:t>
      </w:r>
      <w:proofErr w:type="spellEnd"/>
      <w:r w:rsidRPr="00F0550C">
        <w:rPr>
          <w:sz w:val="20"/>
          <w:szCs w:val="20"/>
        </w:rPr>
        <w:t xml:space="preserve"> </w:t>
      </w:r>
      <w:proofErr w:type="spellStart"/>
      <w:r w:rsidRPr="00F0550C">
        <w:rPr>
          <w:sz w:val="20"/>
          <w:szCs w:val="20"/>
        </w:rPr>
        <w:t>Oncol</w:t>
      </w:r>
      <w:proofErr w:type="spellEnd"/>
      <w:r w:rsidRPr="00F0550C">
        <w:rPr>
          <w:sz w:val="20"/>
          <w:szCs w:val="20"/>
        </w:rPr>
        <w:t xml:space="preserve"> 2008</w:t>
      </w:r>
      <w:proofErr w:type="gramStart"/>
      <w:r w:rsidRPr="00F0550C">
        <w:rPr>
          <w:sz w:val="20"/>
          <w:szCs w:val="20"/>
        </w:rPr>
        <w:t>;47:740</w:t>
      </w:r>
      <w:proofErr w:type="gramEnd"/>
      <w:r w:rsidRPr="00F0550C">
        <w:rPr>
          <w:sz w:val="20"/>
          <w:szCs w:val="20"/>
        </w:rPr>
        <w:t>–746.</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Hadji</w:t>
      </w:r>
      <w:proofErr w:type="spellEnd"/>
      <w:r w:rsidRPr="00F0550C">
        <w:rPr>
          <w:sz w:val="20"/>
          <w:szCs w:val="20"/>
        </w:rPr>
        <w:t xml:space="preserve"> P, Body J-J, </w:t>
      </w:r>
      <w:proofErr w:type="spellStart"/>
      <w:r w:rsidRPr="00F0550C">
        <w:rPr>
          <w:sz w:val="20"/>
          <w:szCs w:val="20"/>
        </w:rPr>
        <w:t>Aapro</w:t>
      </w:r>
      <w:proofErr w:type="spellEnd"/>
      <w:r w:rsidRPr="00F0550C">
        <w:rPr>
          <w:sz w:val="20"/>
          <w:szCs w:val="20"/>
        </w:rPr>
        <w:t xml:space="preserve"> MS, </w:t>
      </w:r>
      <w:proofErr w:type="spellStart"/>
      <w:r w:rsidRPr="00F0550C">
        <w:rPr>
          <w:sz w:val="20"/>
          <w:szCs w:val="20"/>
        </w:rPr>
        <w:t>Brufsky</w:t>
      </w:r>
      <w:proofErr w:type="spellEnd"/>
      <w:r w:rsidRPr="00F0550C">
        <w:rPr>
          <w:sz w:val="20"/>
          <w:szCs w:val="20"/>
        </w:rPr>
        <w:t xml:space="preserve"> A, Coleman RE, Guise T, Lipton A, </w:t>
      </w:r>
      <w:proofErr w:type="spellStart"/>
      <w:proofErr w:type="gramStart"/>
      <w:r w:rsidRPr="00F0550C">
        <w:rPr>
          <w:sz w:val="20"/>
          <w:szCs w:val="20"/>
        </w:rPr>
        <w:t>Tubiana</w:t>
      </w:r>
      <w:proofErr w:type="gramEnd"/>
      <w:r w:rsidRPr="00F0550C">
        <w:rPr>
          <w:sz w:val="20"/>
          <w:szCs w:val="20"/>
        </w:rPr>
        <w:t>-Hulin</w:t>
      </w:r>
      <w:proofErr w:type="spellEnd"/>
      <w:r w:rsidRPr="00F0550C">
        <w:rPr>
          <w:sz w:val="20"/>
          <w:szCs w:val="20"/>
        </w:rPr>
        <w:t xml:space="preserve"> M. Practical guidance for the management of </w:t>
      </w:r>
      <w:proofErr w:type="spellStart"/>
      <w:r w:rsidRPr="00F0550C">
        <w:rPr>
          <w:sz w:val="20"/>
          <w:szCs w:val="20"/>
        </w:rPr>
        <w:t>aromatase</w:t>
      </w:r>
      <w:proofErr w:type="spellEnd"/>
      <w:r w:rsidRPr="00F0550C">
        <w:rPr>
          <w:sz w:val="20"/>
          <w:szCs w:val="20"/>
        </w:rPr>
        <w:t xml:space="preserve"> inhibitor associated bone loss. Ann </w:t>
      </w:r>
      <w:proofErr w:type="spellStart"/>
      <w:r w:rsidRPr="00F0550C">
        <w:rPr>
          <w:sz w:val="20"/>
          <w:szCs w:val="20"/>
        </w:rPr>
        <w:t>Oncol</w:t>
      </w:r>
      <w:proofErr w:type="spellEnd"/>
      <w:r w:rsidRPr="00F0550C">
        <w:rPr>
          <w:sz w:val="20"/>
          <w:szCs w:val="20"/>
        </w:rPr>
        <w:t>. 2008;</w:t>
      </w:r>
      <w:r w:rsidR="006D2C3E">
        <w:rPr>
          <w:rFonts w:eastAsiaTheme="minorEastAsia" w:hint="eastAsia"/>
          <w:sz w:val="20"/>
          <w:szCs w:val="20"/>
          <w:lang w:eastAsia="zh-CN"/>
        </w:rPr>
        <w:t xml:space="preserve"> </w:t>
      </w:r>
      <w:r w:rsidRPr="00F0550C">
        <w:rPr>
          <w:sz w:val="20"/>
          <w:szCs w:val="20"/>
        </w:rPr>
        <w:t xml:space="preserve">19:1407–1416. </w:t>
      </w:r>
      <w:proofErr w:type="spellStart"/>
      <w:proofErr w:type="gramStart"/>
      <w:r w:rsidRPr="00F0550C">
        <w:rPr>
          <w:sz w:val="20"/>
          <w:szCs w:val="20"/>
        </w:rPr>
        <w:t>doi</w:t>
      </w:r>
      <w:proofErr w:type="spellEnd"/>
      <w:proofErr w:type="gramEnd"/>
      <w:r w:rsidRPr="00F0550C">
        <w:rPr>
          <w:sz w:val="20"/>
          <w:szCs w:val="20"/>
        </w:rPr>
        <w:t>: 10.1093/</w:t>
      </w:r>
      <w:proofErr w:type="spellStart"/>
      <w:r w:rsidRPr="00F0550C">
        <w:rPr>
          <w:sz w:val="20"/>
          <w:szCs w:val="20"/>
        </w:rPr>
        <w:t>annonc</w:t>
      </w:r>
      <w:proofErr w:type="spellEnd"/>
      <w:r w:rsidRPr="00F0550C">
        <w:rPr>
          <w:sz w:val="20"/>
          <w:szCs w:val="20"/>
        </w:rPr>
        <w:t>/mdn164.</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Eastell</w:t>
      </w:r>
      <w:proofErr w:type="spellEnd"/>
      <w:r w:rsidRPr="00F0550C">
        <w:rPr>
          <w:sz w:val="20"/>
          <w:szCs w:val="20"/>
        </w:rPr>
        <w:t xml:space="preserve"> R, Hannon RA, </w:t>
      </w:r>
      <w:proofErr w:type="spellStart"/>
      <w:r w:rsidRPr="00F0550C">
        <w:rPr>
          <w:sz w:val="20"/>
          <w:szCs w:val="20"/>
        </w:rPr>
        <w:t>Cuzick</w:t>
      </w:r>
      <w:proofErr w:type="spellEnd"/>
      <w:r w:rsidRPr="00F0550C">
        <w:rPr>
          <w:sz w:val="20"/>
          <w:szCs w:val="20"/>
        </w:rPr>
        <w:t xml:space="preserve"> J, </w:t>
      </w:r>
      <w:proofErr w:type="spellStart"/>
      <w:r w:rsidRPr="00F0550C">
        <w:rPr>
          <w:sz w:val="20"/>
          <w:szCs w:val="20"/>
        </w:rPr>
        <w:t>Dowsett</w:t>
      </w:r>
      <w:proofErr w:type="spellEnd"/>
      <w:r w:rsidRPr="00F0550C">
        <w:rPr>
          <w:sz w:val="20"/>
          <w:szCs w:val="20"/>
        </w:rPr>
        <w:t xml:space="preserve"> M, Clack G, Adams JE. Effect of an </w:t>
      </w:r>
      <w:proofErr w:type="spellStart"/>
      <w:r w:rsidRPr="00F0550C">
        <w:rPr>
          <w:sz w:val="20"/>
          <w:szCs w:val="20"/>
        </w:rPr>
        <w:t>aromatase</w:t>
      </w:r>
      <w:proofErr w:type="spellEnd"/>
      <w:r w:rsidRPr="00F0550C">
        <w:rPr>
          <w:sz w:val="20"/>
          <w:szCs w:val="20"/>
        </w:rPr>
        <w:t xml:space="preserve"> inhibitor on BMD and bone turnover markers: 2-year results of the </w:t>
      </w:r>
      <w:proofErr w:type="spellStart"/>
      <w:r w:rsidRPr="00F0550C">
        <w:rPr>
          <w:sz w:val="20"/>
          <w:szCs w:val="20"/>
        </w:rPr>
        <w:t>Anastrozole</w:t>
      </w:r>
      <w:proofErr w:type="spellEnd"/>
      <w:r w:rsidRPr="00F0550C">
        <w:rPr>
          <w:sz w:val="20"/>
          <w:szCs w:val="20"/>
        </w:rPr>
        <w:t xml:space="preserve">, </w:t>
      </w:r>
      <w:proofErr w:type="spellStart"/>
      <w:r w:rsidRPr="00F0550C">
        <w:rPr>
          <w:sz w:val="20"/>
          <w:szCs w:val="20"/>
        </w:rPr>
        <w:t>Tamoxifen</w:t>
      </w:r>
      <w:proofErr w:type="spellEnd"/>
      <w:r w:rsidRPr="00F0550C">
        <w:rPr>
          <w:sz w:val="20"/>
          <w:szCs w:val="20"/>
        </w:rPr>
        <w:t xml:space="preserve">, </w:t>
      </w:r>
      <w:proofErr w:type="spellStart"/>
      <w:r w:rsidRPr="00F0550C">
        <w:rPr>
          <w:sz w:val="20"/>
          <w:szCs w:val="20"/>
        </w:rPr>
        <w:t>Aloneor</w:t>
      </w:r>
      <w:proofErr w:type="spellEnd"/>
      <w:r w:rsidRPr="00F0550C">
        <w:rPr>
          <w:sz w:val="20"/>
          <w:szCs w:val="20"/>
        </w:rPr>
        <w:t xml:space="preserve"> in Combination (ATAC) trial (18233230) J Bone Miner Res. 2006</w:t>
      </w:r>
      <w:proofErr w:type="gramStart"/>
      <w:r w:rsidRPr="00F0550C">
        <w:rPr>
          <w:sz w:val="20"/>
          <w:szCs w:val="20"/>
        </w:rPr>
        <w:t>;21:1215</w:t>
      </w:r>
      <w:proofErr w:type="gramEnd"/>
      <w:r w:rsidRPr="00F0550C">
        <w:rPr>
          <w:sz w:val="20"/>
          <w:szCs w:val="20"/>
        </w:rPr>
        <w:t xml:space="preserve">–1223. </w:t>
      </w:r>
      <w:proofErr w:type="spellStart"/>
      <w:proofErr w:type="gramStart"/>
      <w:r w:rsidRPr="00F0550C">
        <w:rPr>
          <w:sz w:val="20"/>
          <w:szCs w:val="20"/>
        </w:rPr>
        <w:t>doi</w:t>
      </w:r>
      <w:proofErr w:type="spellEnd"/>
      <w:proofErr w:type="gramEnd"/>
      <w:r w:rsidRPr="00F0550C">
        <w:rPr>
          <w:sz w:val="20"/>
          <w:szCs w:val="20"/>
        </w:rPr>
        <w:t>: 10.1359/jbmr.060508.</w:t>
      </w:r>
    </w:p>
    <w:p w:rsidR="004D04E7" w:rsidRPr="00F0550C" w:rsidRDefault="004D04E7" w:rsidP="00E17342">
      <w:pPr>
        <w:numPr>
          <w:ilvl w:val="0"/>
          <w:numId w:val="10"/>
        </w:numPr>
        <w:bidi w:val="0"/>
        <w:adjustRightInd w:val="0"/>
        <w:snapToGrid w:val="0"/>
        <w:ind w:left="425" w:hanging="425"/>
        <w:jc w:val="both"/>
        <w:rPr>
          <w:sz w:val="20"/>
          <w:szCs w:val="20"/>
        </w:rPr>
      </w:pPr>
      <w:r w:rsidRPr="00F0550C">
        <w:rPr>
          <w:sz w:val="20"/>
          <w:szCs w:val="20"/>
        </w:rPr>
        <w:t xml:space="preserve">Coleman RE, Banks LM, </w:t>
      </w:r>
      <w:proofErr w:type="spellStart"/>
      <w:r w:rsidRPr="00F0550C">
        <w:rPr>
          <w:sz w:val="20"/>
          <w:szCs w:val="20"/>
        </w:rPr>
        <w:t>Girgis</w:t>
      </w:r>
      <w:proofErr w:type="spellEnd"/>
      <w:r w:rsidRPr="00F0550C">
        <w:rPr>
          <w:sz w:val="20"/>
          <w:szCs w:val="20"/>
        </w:rPr>
        <w:t xml:space="preserve"> SI, Kilburn LS, </w:t>
      </w:r>
      <w:proofErr w:type="spellStart"/>
      <w:r w:rsidRPr="00F0550C">
        <w:rPr>
          <w:sz w:val="20"/>
          <w:szCs w:val="20"/>
        </w:rPr>
        <w:t>Vrdoljak</w:t>
      </w:r>
      <w:proofErr w:type="spellEnd"/>
      <w:r w:rsidRPr="00F0550C">
        <w:rPr>
          <w:sz w:val="20"/>
          <w:szCs w:val="20"/>
        </w:rPr>
        <w:t xml:space="preserve"> E, Fox J, </w:t>
      </w:r>
      <w:proofErr w:type="spellStart"/>
      <w:r w:rsidRPr="00F0550C">
        <w:rPr>
          <w:sz w:val="20"/>
          <w:szCs w:val="20"/>
        </w:rPr>
        <w:t>Cawthorn</w:t>
      </w:r>
      <w:proofErr w:type="spellEnd"/>
      <w:r w:rsidRPr="00F0550C">
        <w:rPr>
          <w:sz w:val="20"/>
          <w:szCs w:val="20"/>
        </w:rPr>
        <w:t xml:space="preserve"> SJ, Patel A, </w:t>
      </w:r>
      <w:proofErr w:type="spellStart"/>
      <w:r w:rsidRPr="00F0550C">
        <w:rPr>
          <w:sz w:val="20"/>
          <w:szCs w:val="20"/>
        </w:rPr>
        <w:t>Snowdon</w:t>
      </w:r>
      <w:proofErr w:type="spellEnd"/>
      <w:r w:rsidRPr="00F0550C">
        <w:rPr>
          <w:sz w:val="20"/>
          <w:szCs w:val="20"/>
        </w:rPr>
        <w:t xml:space="preserve"> CF, Hall E, Bliss JM, </w:t>
      </w:r>
      <w:proofErr w:type="spellStart"/>
      <w:r w:rsidRPr="00F0550C">
        <w:rPr>
          <w:sz w:val="20"/>
          <w:szCs w:val="20"/>
        </w:rPr>
        <w:t>Coombes</w:t>
      </w:r>
      <w:proofErr w:type="spellEnd"/>
      <w:r w:rsidRPr="00F0550C">
        <w:rPr>
          <w:sz w:val="20"/>
          <w:szCs w:val="20"/>
        </w:rPr>
        <w:t xml:space="preserve"> RC. Intergroup </w:t>
      </w:r>
      <w:proofErr w:type="spellStart"/>
      <w:r w:rsidRPr="00F0550C">
        <w:rPr>
          <w:sz w:val="20"/>
          <w:szCs w:val="20"/>
        </w:rPr>
        <w:t>Exemestane</w:t>
      </w:r>
      <w:proofErr w:type="spellEnd"/>
      <w:r w:rsidRPr="00F0550C">
        <w:rPr>
          <w:sz w:val="20"/>
          <w:szCs w:val="20"/>
        </w:rPr>
        <w:t xml:space="preserve"> Study group. Skeletal effects of </w:t>
      </w:r>
      <w:proofErr w:type="spellStart"/>
      <w:r w:rsidRPr="00F0550C">
        <w:rPr>
          <w:sz w:val="20"/>
          <w:szCs w:val="20"/>
        </w:rPr>
        <w:t>exemestane</w:t>
      </w:r>
      <w:proofErr w:type="spellEnd"/>
      <w:r w:rsidRPr="00F0550C">
        <w:rPr>
          <w:sz w:val="20"/>
          <w:szCs w:val="20"/>
        </w:rPr>
        <w:t xml:space="preserve"> on bone-mineral density, bone biomarkers, and fracture incidence in postmenopausal women with early breast cancer participating in the intergroup </w:t>
      </w:r>
      <w:proofErr w:type="spellStart"/>
      <w:r w:rsidRPr="00F0550C">
        <w:rPr>
          <w:sz w:val="20"/>
          <w:szCs w:val="20"/>
        </w:rPr>
        <w:t>exemestane</w:t>
      </w:r>
      <w:proofErr w:type="spellEnd"/>
      <w:r w:rsidRPr="00F0550C">
        <w:rPr>
          <w:sz w:val="20"/>
          <w:szCs w:val="20"/>
        </w:rPr>
        <w:t xml:space="preserve"> study (IES): a </w:t>
      </w:r>
      <w:proofErr w:type="spellStart"/>
      <w:r w:rsidRPr="00F0550C">
        <w:rPr>
          <w:sz w:val="20"/>
          <w:szCs w:val="20"/>
        </w:rPr>
        <w:t>randomised</w:t>
      </w:r>
      <w:proofErr w:type="spellEnd"/>
      <w:r w:rsidRPr="00F0550C">
        <w:rPr>
          <w:sz w:val="20"/>
          <w:szCs w:val="20"/>
        </w:rPr>
        <w:t xml:space="preserve"> controlled study. Lancet </w:t>
      </w:r>
      <w:proofErr w:type="spellStart"/>
      <w:r w:rsidRPr="00F0550C">
        <w:rPr>
          <w:sz w:val="20"/>
          <w:szCs w:val="20"/>
        </w:rPr>
        <w:t>Oncol</w:t>
      </w:r>
      <w:proofErr w:type="spellEnd"/>
      <w:r w:rsidRPr="00F0550C">
        <w:rPr>
          <w:sz w:val="20"/>
          <w:szCs w:val="20"/>
        </w:rPr>
        <w:t>. 2007</w:t>
      </w:r>
      <w:proofErr w:type="gramStart"/>
      <w:r w:rsidRPr="00F0550C">
        <w:rPr>
          <w:sz w:val="20"/>
          <w:szCs w:val="20"/>
        </w:rPr>
        <w:t>;8:119</w:t>
      </w:r>
      <w:proofErr w:type="gramEnd"/>
      <w:r w:rsidRPr="00F0550C">
        <w:rPr>
          <w:sz w:val="20"/>
          <w:szCs w:val="20"/>
        </w:rPr>
        <w:t xml:space="preserve">–127. </w:t>
      </w:r>
      <w:proofErr w:type="spellStart"/>
      <w:proofErr w:type="gramStart"/>
      <w:r w:rsidRPr="00F0550C">
        <w:rPr>
          <w:sz w:val="20"/>
          <w:szCs w:val="20"/>
        </w:rPr>
        <w:t>doi</w:t>
      </w:r>
      <w:proofErr w:type="spellEnd"/>
      <w:proofErr w:type="gramEnd"/>
      <w:r w:rsidRPr="00F0550C">
        <w:rPr>
          <w:sz w:val="20"/>
          <w:szCs w:val="20"/>
        </w:rPr>
        <w:t>: 10.1016/S1470-2045(07)70003-7</w:t>
      </w:r>
      <w:r w:rsidR="006D2C3E">
        <w:rPr>
          <w:rFonts w:eastAsiaTheme="minorEastAsia" w:hint="eastAsia"/>
          <w:sz w:val="20"/>
          <w:szCs w:val="20"/>
          <w:lang w:eastAsia="zh-CN"/>
        </w:rPr>
        <w:t>.</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Gnant</w:t>
      </w:r>
      <w:proofErr w:type="spellEnd"/>
      <w:r w:rsidRPr="00F0550C">
        <w:rPr>
          <w:sz w:val="20"/>
          <w:szCs w:val="20"/>
        </w:rPr>
        <w:t xml:space="preserve"> MF, </w:t>
      </w:r>
      <w:proofErr w:type="spellStart"/>
      <w:r w:rsidRPr="00F0550C">
        <w:rPr>
          <w:sz w:val="20"/>
          <w:szCs w:val="20"/>
        </w:rPr>
        <w:t>Mlineritsch</w:t>
      </w:r>
      <w:proofErr w:type="spellEnd"/>
      <w:r w:rsidRPr="00F0550C">
        <w:rPr>
          <w:sz w:val="20"/>
          <w:szCs w:val="20"/>
        </w:rPr>
        <w:t xml:space="preserve"> B, </w:t>
      </w:r>
      <w:proofErr w:type="spellStart"/>
      <w:r w:rsidRPr="00F0550C">
        <w:rPr>
          <w:sz w:val="20"/>
          <w:szCs w:val="20"/>
        </w:rPr>
        <w:t>Luschin-Ebengreuth</w:t>
      </w:r>
      <w:proofErr w:type="spellEnd"/>
      <w:r w:rsidRPr="00F0550C">
        <w:rPr>
          <w:sz w:val="20"/>
          <w:szCs w:val="20"/>
        </w:rPr>
        <w:t xml:space="preserve"> G, </w:t>
      </w:r>
      <w:proofErr w:type="spellStart"/>
      <w:r w:rsidRPr="00F0550C">
        <w:rPr>
          <w:sz w:val="20"/>
          <w:szCs w:val="20"/>
        </w:rPr>
        <w:t>Grampp</w:t>
      </w:r>
      <w:proofErr w:type="spellEnd"/>
      <w:r w:rsidRPr="00F0550C">
        <w:rPr>
          <w:sz w:val="20"/>
          <w:szCs w:val="20"/>
        </w:rPr>
        <w:t xml:space="preserve"> S, </w:t>
      </w:r>
      <w:proofErr w:type="spellStart"/>
      <w:r w:rsidRPr="00F0550C">
        <w:rPr>
          <w:sz w:val="20"/>
          <w:szCs w:val="20"/>
        </w:rPr>
        <w:t>Kaessmann</w:t>
      </w:r>
      <w:proofErr w:type="spellEnd"/>
      <w:r w:rsidRPr="00F0550C">
        <w:rPr>
          <w:sz w:val="20"/>
          <w:szCs w:val="20"/>
        </w:rPr>
        <w:t xml:space="preserve"> H, </w:t>
      </w:r>
      <w:proofErr w:type="spellStart"/>
      <w:r w:rsidRPr="00F0550C">
        <w:rPr>
          <w:sz w:val="20"/>
          <w:szCs w:val="20"/>
        </w:rPr>
        <w:t>Schmid</w:t>
      </w:r>
      <w:proofErr w:type="spellEnd"/>
      <w:r w:rsidRPr="00F0550C">
        <w:rPr>
          <w:sz w:val="20"/>
          <w:szCs w:val="20"/>
        </w:rPr>
        <w:t xml:space="preserve"> M, </w:t>
      </w:r>
      <w:proofErr w:type="spellStart"/>
      <w:r w:rsidRPr="00F0550C">
        <w:rPr>
          <w:sz w:val="20"/>
          <w:szCs w:val="20"/>
        </w:rPr>
        <w:t>Menzel</w:t>
      </w:r>
      <w:proofErr w:type="spellEnd"/>
      <w:r w:rsidRPr="00F0550C">
        <w:rPr>
          <w:sz w:val="20"/>
          <w:szCs w:val="20"/>
        </w:rPr>
        <w:t xml:space="preserve"> C, </w:t>
      </w:r>
      <w:proofErr w:type="spellStart"/>
      <w:r w:rsidRPr="00F0550C">
        <w:rPr>
          <w:sz w:val="20"/>
          <w:szCs w:val="20"/>
        </w:rPr>
        <w:t>Piswanger-Soelkner</w:t>
      </w:r>
      <w:proofErr w:type="spellEnd"/>
      <w:r w:rsidRPr="00F0550C">
        <w:rPr>
          <w:sz w:val="20"/>
          <w:szCs w:val="20"/>
        </w:rPr>
        <w:t xml:space="preserve"> JC, </w:t>
      </w:r>
      <w:proofErr w:type="spellStart"/>
      <w:r w:rsidRPr="00F0550C">
        <w:rPr>
          <w:sz w:val="20"/>
          <w:szCs w:val="20"/>
        </w:rPr>
        <w:t>Galid</w:t>
      </w:r>
      <w:proofErr w:type="spellEnd"/>
      <w:r w:rsidRPr="00F0550C">
        <w:rPr>
          <w:sz w:val="20"/>
          <w:szCs w:val="20"/>
        </w:rPr>
        <w:t xml:space="preserve"> A, </w:t>
      </w:r>
      <w:proofErr w:type="spellStart"/>
      <w:r w:rsidRPr="00F0550C">
        <w:rPr>
          <w:sz w:val="20"/>
          <w:szCs w:val="20"/>
        </w:rPr>
        <w:t>Mittlboeck</w:t>
      </w:r>
      <w:proofErr w:type="spellEnd"/>
      <w:r w:rsidRPr="00F0550C">
        <w:rPr>
          <w:sz w:val="20"/>
          <w:szCs w:val="20"/>
        </w:rPr>
        <w:t xml:space="preserve"> M, </w:t>
      </w:r>
      <w:proofErr w:type="spellStart"/>
      <w:r w:rsidRPr="00F0550C">
        <w:rPr>
          <w:sz w:val="20"/>
          <w:szCs w:val="20"/>
        </w:rPr>
        <w:t>Hausmaninger</w:t>
      </w:r>
      <w:proofErr w:type="spellEnd"/>
      <w:r w:rsidRPr="00F0550C">
        <w:rPr>
          <w:sz w:val="20"/>
          <w:szCs w:val="20"/>
        </w:rPr>
        <w:t xml:space="preserve"> H, </w:t>
      </w:r>
      <w:proofErr w:type="spellStart"/>
      <w:r w:rsidRPr="00F0550C">
        <w:rPr>
          <w:sz w:val="20"/>
          <w:szCs w:val="20"/>
        </w:rPr>
        <w:t>Jakesz</w:t>
      </w:r>
      <w:proofErr w:type="spellEnd"/>
      <w:r w:rsidRPr="00F0550C">
        <w:rPr>
          <w:sz w:val="20"/>
          <w:szCs w:val="20"/>
        </w:rPr>
        <w:t xml:space="preserve"> R. </w:t>
      </w:r>
      <w:proofErr w:type="spellStart"/>
      <w:r w:rsidRPr="00F0550C">
        <w:rPr>
          <w:sz w:val="20"/>
          <w:szCs w:val="20"/>
        </w:rPr>
        <w:t>Zoledronic</w:t>
      </w:r>
      <w:proofErr w:type="spellEnd"/>
      <w:r w:rsidRPr="00F0550C">
        <w:rPr>
          <w:sz w:val="20"/>
          <w:szCs w:val="20"/>
        </w:rPr>
        <w:t xml:space="preserve"> acid prevents cancer treatment-induced bone loss in premenopausal women receiving adjuvant endocrine therapy for hormone-responsive breast cancer: a report from the Austrian Breast and Colorectal Cancer Study Group. J </w:t>
      </w:r>
      <w:proofErr w:type="spellStart"/>
      <w:r w:rsidRPr="00F0550C">
        <w:rPr>
          <w:sz w:val="20"/>
          <w:szCs w:val="20"/>
        </w:rPr>
        <w:t>Clin</w:t>
      </w:r>
      <w:proofErr w:type="spellEnd"/>
      <w:r w:rsidRPr="00F0550C">
        <w:rPr>
          <w:sz w:val="20"/>
          <w:szCs w:val="20"/>
        </w:rPr>
        <w:t xml:space="preserve"> </w:t>
      </w:r>
      <w:proofErr w:type="spellStart"/>
      <w:r w:rsidRPr="00F0550C">
        <w:rPr>
          <w:sz w:val="20"/>
          <w:szCs w:val="20"/>
        </w:rPr>
        <w:t>Oncol</w:t>
      </w:r>
      <w:proofErr w:type="spellEnd"/>
      <w:r w:rsidRPr="00F0550C">
        <w:rPr>
          <w:sz w:val="20"/>
          <w:szCs w:val="20"/>
        </w:rPr>
        <w:t>. 2007</w:t>
      </w:r>
      <w:proofErr w:type="gramStart"/>
      <w:r w:rsidRPr="00F0550C">
        <w:rPr>
          <w:sz w:val="20"/>
          <w:szCs w:val="20"/>
        </w:rPr>
        <w:t>;25:820</w:t>
      </w:r>
      <w:proofErr w:type="gramEnd"/>
      <w:r w:rsidRPr="00F0550C">
        <w:rPr>
          <w:sz w:val="20"/>
          <w:szCs w:val="20"/>
        </w:rPr>
        <w:t xml:space="preserve">–828. </w:t>
      </w:r>
      <w:proofErr w:type="spellStart"/>
      <w:proofErr w:type="gramStart"/>
      <w:r w:rsidRPr="00F0550C">
        <w:rPr>
          <w:sz w:val="20"/>
          <w:szCs w:val="20"/>
        </w:rPr>
        <w:t>doi</w:t>
      </w:r>
      <w:proofErr w:type="spellEnd"/>
      <w:proofErr w:type="gramEnd"/>
      <w:r w:rsidRPr="00F0550C">
        <w:rPr>
          <w:sz w:val="20"/>
          <w:szCs w:val="20"/>
        </w:rPr>
        <w:t>: 10.1200/JCO.2005.02.7102.</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Brufsky</w:t>
      </w:r>
      <w:proofErr w:type="spellEnd"/>
      <w:r w:rsidRPr="00F0550C">
        <w:rPr>
          <w:sz w:val="20"/>
          <w:szCs w:val="20"/>
        </w:rPr>
        <w:t xml:space="preserve"> AM, </w:t>
      </w:r>
      <w:proofErr w:type="spellStart"/>
      <w:r w:rsidRPr="00F0550C">
        <w:rPr>
          <w:sz w:val="20"/>
          <w:szCs w:val="20"/>
        </w:rPr>
        <w:t>Bosserman</w:t>
      </w:r>
      <w:proofErr w:type="spellEnd"/>
      <w:r w:rsidRPr="00F0550C">
        <w:rPr>
          <w:sz w:val="20"/>
          <w:szCs w:val="20"/>
        </w:rPr>
        <w:t xml:space="preserve"> LD, </w:t>
      </w:r>
      <w:proofErr w:type="spellStart"/>
      <w:r w:rsidRPr="00F0550C">
        <w:rPr>
          <w:sz w:val="20"/>
          <w:szCs w:val="20"/>
        </w:rPr>
        <w:t>Caradonna</w:t>
      </w:r>
      <w:proofErr w:type="spellEnd"/>
      <w:r w:rsidRPr="00F0550C">
        <w:rPr>
          <w:sz w:val="20"/>
          <w:szCs w:val="20"/>
        </w:rPr>
        <w:t xml:space="preserve"> RR, Haley BB, Jones CM, Moore HC, Jin L, </w:t>
      </w:r>
      <w:proofErr w:type="spellStart"/>
      <w:r w:rsidRPr="00F0550C">
        <w:rPr>
          <w:sz w:val="20"/>
          <w:szCs w:val="20"/>
        </w:rPr>
        <w:t>Warsi</w:t>
      </w:r>
      <w:proofErr w:type="spellEnd"/>
      <w:r w:rsidRPr="00F0550C">
        <w:rPr>
          <w:sz w:val="20"/>
          <w:szCs w:val="20"/>
        </w:rPr>
        <w:t xml:space="preserve"> </w:t>
      </w:r>
      <w:r w:rsidRPr="00F0550C">
        <w:rPr>
          <w:sz w:val="20"/>
          <w:szCs w:val="20"/>
        </w:rPr>
        <w:lastRenderedPageBreak/>
        <w:t xml:space="preserve">GM, Ericson SG, Perez EA. </w:t>
      </w:r>
      <w:proofErr w:type="spellStart"/>
      <w:r w:rsidRPr="00F0550C">
        <w:rPr>
          <w:sz w:val="20"/>
          <w:szCs w:val="20"/>
        </w:rPr>
        <w:t>Zoledronic</w:t>
      </w:r>
      <w:proofErr w:type="spellEnd"/>
      <w:r w:rsidRPr="00F0550C">
        <w:rPr>
          <w:sz w:val="20"/>
          <w:szCs w:val="20"/>
        </w:rPr>
        <w:t xml:space="preserve"> acid effectively prevents </w:t>
      </w:r>
      <w:proofErr w:type="spellStart"/>
      <w:r w:rsidRPr="00F0550C">
        <w:rPr>
          <w:sz w:val="20"/>
          <w:szCs w:val="20"/>
        </w:rPr>
        <w:t>aromatase</w:t>
      </w:r>
      <w:proofErr w:type="spellEnd"/>
      <w:r w:rsidRPr="00F0550C">
        <w:rPr>
          <w:sz w:val="20"/>
          <w:szCs w:val="20"/>
        </w:rPr>
        <w:t xml:space="preserve"> inhibitor-associated bone loss in postmenopausal women with early breast cancer receiving adjuvant </w:t>
      </w:r>
      <w:proofErr w:type="spellStart"/>
      <w:r w:rsidRPr="00F0550C">
        <w:rPr>
          <w:sz w:val="20"/>
          <w:szCs w:val="20"/>
        </w:rPr>
        <w:t>letrozole</w:t>
      </w:r>
      <w:proofErr w:type="spellEnd"/>
      <w:r w:rsidRPr="00F0550C">
        <w:rPr>
          <w:sz w:val="20"/>
          <w:szCs w:val="20"/>
        </w:rPr>
        <w:t xml:space="preserve">: Z-FAST study 36-month follow-up results. </w:t>
      </w:r>
      <w:proofErr w:type="spellStart"/>
      <w:r w:rsidRPr="00F0550C">
        <w:rPr>
          <w:sz w:val="20"/>
          <w:szCs w:val="20"/>
        </w:rPr>
        <w:t>Clin</w:t>
      </w:r>
      <w:proofErr w:type="spellEnd"/>
      <w:r w:rsidRPr="00F0550C">
        <w:rPr>
          <w:sz w:val="20"/>
          <w:szCs w:val="20"/>
        </w:rPr>
        <w:t xml:space="preserve"> Breast Cancer. 2009</w:t>
      </w:r>
      <w:proofErr w:type="gramStart"/>
      <w:r w:rsidRPr="00F0550C">
        <w:rPr>
          <w:sz w:val="20"/>
          <w:szCs w:val="20"/>
        </w:rPr>
        <w:t>;9:77</w:t>
      </w:r>
      <w:proofErr w:type="gramEnd"/>
      <w:r w:rsidRPr="00F0550C">
        <w:rPr>
          <w:sz w:val="20"/>
          <w:szCs w:val="20"/>
        </w:rPr>
        <w:t>–85.</w:t>
      </w:r>
    </w:p>
    <w:p w:rsidR="004D04E7" w:rsidRPr="00F0550C" w:rsidRDefault="004D04E7" w:rsidP="00E17342">
      <w:pPr>
        <w:numPr>
          <w:ilvl w:val="0"/>
          <w:numId w:val="10"/>
        </w:numPr>
        <w:bidi w:val="0"/>
        <w:adjustRightInd w:val="0"/>
        <w:snapToGrid w:val="0"/>
        <w:ind w:left="425" w:hanging="425"/>
        <w:jc w:val="both"/>
        <w:rPr>
          <w:sz w:val="20"/>
          <w:szCs w:val="20"/>
        </w:rPr>
      </w:pPr>
      <w:proofErr w:type="spellStart"/>
      <w:r w:rsidRPr="00F0550C">
        <w:rPr>
          <w:sz w:val="20"/>
          <w:szCs w:val="20"/>
        </w:rPr>
        <w:t>Bundred</w:t>
      </w:r>
      <w:proofErr w:type="spellEnd"/>
      <w:r w:rsidRPr="00F0550C">
        <w:rPr>
          <w:sz w:val="20"/>
          <w:szCs w:val="20"/>
        </w:rPr>
        <w:t xml:space="preserve"> NJ, Campbell ID, Davidson N, </w:t>
      </w:r>
      <w:proofErr w:type="spellStart"/>
      <w:r w:rsidRPr="00F0550C">
        <w:rPr>
          <w:sz w:val="20"/>
          <w:szCs w:val="20"/>
        </w:rPr>
        <w:t>DeBoer</w:t>
      </w:r>
      <w:proofErr w:type="spellEnd"/>
      <w:r w:rsidRPr="00F0550C">
        <w:rPr>
          <w:sz w:val="20"/>
          <w:szCs w:val="20"/>
        </w:rPr>
        <w:t xml:space="preserve"> RH, </w:t>
      </w:r>
      <w:proofErr w:type="spellStart"/>
      <w:r w:rsidRPr="00F0550C">
        <w:rPr>
          <w:sz w:val="20"/>
          <w:szCs w:val="20"/>
        </w:rPr>
        <w:t>Eidtmann</w:t>
      </w:r>
      <w:proofErr w:type="spellEnd"/>
      <w:r w:rsidRPr="00F0550C">
        <w:rPr>
          <w:sz w:val="20"/>
          <w:szCs w:val="20"/>
        </w:rPr>
        <w:t xml:space="preserve"> H, </w:t>
      </w:r>
      <w:proofErr w:type="spellStart"/>
      <w:r w:rsidRPr="00F0550C">
        <w:rPr>
          <w:sz w:val="20"/>
          <w:szCs w:val="20"/>
        </w:rPr>
        <w:t>Monnier</w:t>
      </w:r>
      <w:proofErr w:type="spellEnd"/>
      <w:r w:rsidRPr="00F0550C">
        <w:rPr>
          <w:sz w:val="20"/>
          <w:szCs w:val="20"/>
        </w:rPr>
        <w:t xml:space="preserve"> A, </w:t>
      </w:r>
      <w:proofErr w:type="spellStart"/>
      <w:r w:rsidRPr="00F0550C">
        <w:rPr>
          <w:sz w:val="20"/>
          <w:szCs w:val="20"/>
        </w:rPr>
        <w:t>Neven</w:t>
      </w:r>
      <w:proofErr w:type="spellEnd"/>
      <w:r w:rsidRPr="00F0550C">
        <w:rPr>
          <w:sz w:val="20"/>
          <w:szCs w:val="20"/>
        </w:rPr>
        <w:t xml:space="preserve"> P, von </w:t>
      </w:r>
      <w:proofErr w:type="spellStart"/>
      <w:r w:rsidRPr="00F0550C">
        <w:rPr>
          <w:sz w:val="20"/>
          <w:szCs w:val="20"/>
        </w:rPr>
        <w:t>Minckwitz</w:t>
      </w:r>
      <w:proofErr w:type="spellEnd"/>
      <w:r w:rsidRPr="00F0550C">
        <w:rPr>
          <w:sz w:val="20"/>
          <w:szCs w:val="20"/>
        </w:rPr>
        <w:t xml:space="preserve"> G, Miller JC, Schenk NL, Coleman RE. Effective inhibition of </w:t>
      </w:r>
      <w:proofErr w:type="spellStart"/>
      <w:r w:rsidRPr="00F0550C">
        <w:rPr>
          <w:sz w:val="20"/>
          <w:szCs w:val="20"/>
        </w:rPr>
        <w:t>aromatase</w:t>
      </w:r>
      <w:proofErr w:type="spellEnd"/>
      <w:r w:rsidRPr="00F0550C">
        <w:rPr>
          <w:sz w:val="20"/>
          <w:szCs w:val="20"/>
        </w:rPr>
        <w:t xml:space="preserve"> inhibitor-associated bone loss by </w:t>
      </w:r>
      <w:proofErr w:type="spellStart"/>
      <w:r w:rsidRPr="00F0550C">
        <w:rPr>
          <w:sz w:val="20"/>
          <w:szCs w:val="20"/>
        </w:rPr>
        <w:t>zoledronic</w:t>
      </w:r>
      <w:proofErr w:type="spellEnd"/>
      <w:r w:rsidRPr="00F0550C">
        <w:rPr>
          <w:sz w:val="20"/>
          <w:szCs w:val="20"/>
        </w:rPr>
        <w:t xml:space="preserve"> acid in postmenopausal women with early breast cancer receiving adjuvant </w:t>
      </w:r>
      <w:proofErr w:type="spellStart"/>
      <w:r w:rsidRPr="00F0550C">
        <w:rPr>
          <w:sz w:val="20"/>
          <w:szCs w:val="20"/>
        </w:rPr>
        <w:t>letrozole</w:t>
      </w:r>
      <w:proofErr w:type="spellEnd"/>
      <w:r w:rsidRPr="00F0550C">
        <w:rPr>
          <w:sz w:val="20"/>
          <w:szCs w:val="20"/>
        </w:rPr>
        <w:t>: ZO-FAST Study results. Cancer. 2008</w:t>
      </w:r>
      <w:proofErr w:type="gramStart"/>
      <w:r w:rsidRPr="00F0550C">
        <w:rPr>
          <w:sz w:val="20"/>
          <w:szCs w:val="20"/>
        </w:rPr>
        <w:t>;112:1001</w:t>
      </w:r>
      <w:proofErr w:type="gramEnd"/>
      <w:r w:rsidRPr="00F0550C">
        <w:rPr>
          <w:sz w:val="20"/>
          <w:szCs w:val="20"/>
        </w:rPr>
        <w:t>–1010.</w:t>
      </w:r>
    </w:p>
    <w:p w:rsidR="004D04E7" w:rsidRPr="00F0550C" w:rsidRDefault="004D04E7" w:rsidP="00E17342">
      <w:pPr>
        <w:numPr>
          <w:ilvl w:val="0"/>
          <w:numId w:val="10"/>
        </w:numPr>
        <w:bidi w:val="0"/>
        <w:adjustRightInd w:val="0"/>
        <w:snapToGrid w:val="0"/>
        <w:ind w:left="425" w:hanging="425"/>
        <w:jc w:val="both"/>
        <w:rPr>
          <w:sz w:val="20"/>
          <w:szCs w:val="20"/>
        </w:rPr>
      </w:pPr>
      <w:r w:rsidRPr="00F0550C">
        <w:rPr>
          <w:sz w:val="20"/>
          <w:szCs w:val="20"/>
        </w:rPr>
        <w:lastRenderedPageBreak/>
        <w:t xml:space="preserve">Schenk N, </w:t>
      </w:r>
      <w:proofErr w:type="spellStart"/>
      <w:r w:rsidRPr="00F0550C">
        <w:rPr>
          <w:sz w:val="20"/>
          <w:szCs w:val="20"/>
        </w:rPr>
        <w:t>Llombart</w:t>
      </w:r>
      <w:proofErr w:type="spellEnd"/>
      <w:r w:rsidRPr="00F0550C">
        <w:rPr>
          <w:sz w:val="20"/>
          <w:szCs w:val="20"/>
        </w:rPr>
        <w:t xml:space="preserve"> A, </w:t>
      </w:r>
      <w:proofErr w:type="spellStart"/>
      <w:r w:rsidRPr="00F0550C">
        <w:rPr>
          <w:sz w:val="20"/>
          <w:szCs w:val="20"/>
        </w:rPr>
        <w:t>Frassoladti</w:t>
      </w:r>
      <w:proofErr w:type="spellEnd"/>
      <w:r w:rsidRPr="00F0550C">
        <w:rPr>
          <w:sz w:val="20"/>
          <w:szCs w:val="20"/>
        </w:rPr>
        <w:t xml:space="preserve"> A. The E-ZO-FAST trial: </w:t>
      </w:r>
      <w:proofErr w:type="spellStart"/>
      <w:r w:rsidRPr="00F0550C">
        <w:rPr>
          <w:sz w:val="20"/>
          <w:szCs w:val="20"/>
        </w:rPr>
        <w:t>zoledronic</w:t>
      </w:r>
      <w:proofErr w:type="spellEnd"/>
      <w:r w:rsidRPr="00F0550C">
        <w:rPr>
          <w:sz w:val="20"/>
          <w:szCs w:val="20"/>
        </w:rPr>
        <w:t xml:space="preserve"> acid (ZA) effectively inhibits </w:t>
      </w:r>
      <w:proofErr w:type="spellStart"/>
      <w:r w:rsidRPr="00F0550C">
        <w:rPr>
          <w:sz w:val="20"/>
          <w:szCs w:val="20"/>
        </w:rPr>
        <w:t>aromatase</w:t>
      </w:r>
      <w:proofErr w:type="spellEnd"/>
      <w:r w:rsidRPr="00F0550C">
        <w:rPr>
          <w:sz w:val="20"/>
          <w:szCs w:val="20"/>
        </w:rPr>
        <w:t xml:space="preserve"> inhibitor associated bone loss (AIBL) in postmenopausal women (PMW) with early breast cancer (EBC) receiving adjuvant </w:t>
      </w:r>
      <w:proofErr w:type="spellStart"/>
      <w:r w:rsidRPr="00F0550C">
        <w:rPr>
          <w:sz w:val="20"/>
          <w:szCs w:val="20"/>
        </w:rPr>
        <w:t>letrozole</w:t>
      </w:r>
      <w:proofErr w:type="spellEnd"/>
      <w:r w:rsidRPr="00F0550C">
        <w:rPr>
          <w:sz w:val="20"/>
          <w:szCs w:val="20"/>
        </w:rPr>
        <w:t xml:space="preserve"> (Let) [abstract] </w:t>
      </w:r>
      <w:proofErr w:type="spellStart"/>
      <w:r w:rsidRPr="00F0550C">
        <w:rPr>
          <w:sz w:val="20"/>
          <w:szCs w:val="20"/>
        </w:rPr>
        <w:t>Eur</w:t>
      </w:r>
      <w:proofErr w:type="spellEnd"/>
      <w:r w:rsidRPr="00F0550C">
        <w:rPr>
          <w:sz w:val="20"/>
          <w:szCs w:val="20"/>
        </w:rPr>
        <w:t xml:space="preserve"> J Cancer. 2007</w:t>
      </w:r>
      <w:proofErr w:type="gramStart"/>
      <w:r w:rsidRPr="00F0550C">
        <w:rPr>
          <w:sz w:val="20"/>
          <w:szCs w:val="20"/>
        </w:rPr>
        <w:t>;5:186</w:t>
      </w:r>
      <w:proofErr w:type="gramEnd"/>
      <w:r w:rsidRPr="00F0550C">
        <w:rPr>
          <w:sz w:val="20"/>
          <w:szCs w:val="20"/>
        </w:rPr>
        <w:t>.</w:t>
      </w:r>
    </w:p>
    <w:p w:rsidR="006803B0" w:rsidRPr="00F0550C" w:rsidRDefault="004D04E7" w:rsidP="00E17342">
      <w:pPr>
        <w:numPr>
          <w:ilvl w:val="0"/>
          <w:numId w:val="10"/>
        </w:numPr>
        <w:bidi w:val="0"/>
        <w:adjustRightInd w:val="0"/>
        <w:snapToGrid w:val="0"/>
        <w:ind w:left="425" w:hanging="425"/>
        <w:jc w:val="both"/>
        <w:rPr>
          <w:sz w:val="20"/>
          <w:szCs w:val="20"/>
          <w:lang w:bidi="ar-EG"/>
        </w:rPr>
      </w:pPr>
      <w:proofErr w:type="spellStart"/>
      <w:r w:rsidRPr="00F0550C">
        <w:rPr>
          <w:sz w:val="20"/>
          <w:szCs w:val="20"/>
        </w:rPr>
        <w:t>Brufsky</w:t>
      </w:r>
      <w:proofErr w:type="spellEnd"/>
      <w:r w:rsidRPr="00F0550C">
        <w:rPr>
          <w:sz w:val="20"/>
          <w:szCs w:val="20"/>
        </w:rPr>
        <w:t xml:space="preserve"> A, </w:t>
      </w:r>
      <w:proofErr w:type="spellStart"/>
      <w:r w:rsidRPr="00F0550C">
        <w:rPr>
          <w:sz w:val="20"/>
          <w:szCs w:val="20"/>
        </w:rPr>
        <w:t>Bundred</w:t>
      </w:r>
      <w:proofErr w:type="spellEnd"/>
      <w:r w:rsidRPr="00F0550C">
        <w:rPr>
          <w:sz w:val="20"/>
          <w:szCs w:val="20"/>
        </w:rPr>
        <w:t xml:space="preserve"> N, Coleman R, </w:t>
      </w:r>
      <w:r w:rsidR="00FF47A2" w:rsidRPr="00F0550C">
        <w:rPr>
          <w:i/>
          <w:iCs/>
          <w:sz w:val="20"/>
          <w:szCs w:val="20"/>
        </w:rPr>
        <w:t>et al.</w:t>
      </w:r>
      <w:r w:rsidR="00FF47A2" w:rsidRPr="00F0550C">
        <w:rPr>
          <w:sz w:val="20"/>
          <w:szCs w:val="20"/>
        </w:rPr>
        <w:t xml:space="preserve"> </w:t>
      </w:r>
      <w:r w:rsidRPr="00F0550C">
        <w:rPr>
          <w:sz w:val="20"/>
          <w:szCs w:val="20"/>
        </w:rPr>
        <w:t xml:space="preserve">(2008): Z-FAST and ZOFAST Study Groups. Integrated analysis of </w:t>
      </w:r>
      <w:proofErr w:type="spellStart"/>
      <w:r w:rsidRPr="00F0550C">
        <w:rPr>
          <w:sz w:val="20"/>
          <w:szCs w:val="20"/>
        </w:rPr>
        <w:t>zoledronic</w:t>
      </w:r>
      <w:proofErr w:type="spellEnd"/>
      <w:r w:rsidRPr="00F0550C">
        <w:rPr>
          <w:sz w:val="20"/>
          <w:szCs w:val="20"/>
        </w:rPr>
        <w:t xml:space="preserve"> acid for prevention of </w:t>
      </w:r>
      <w:proofErr w:type="spellStart"/>
      <w:r w:rsidRPr="00F0550C">
        <w:rPr>
          <w:sz w:val="20"/>
          <w:szCs w:val="20"/>
        </w:rPr>
        <w:t>aromatase</w:t>
      </w:r>
      <w:proofErr w:type="spellEnd"/>
      <w:r w:rsidRPr="00F0550C">
        <w:rPr>
          <w:sz w:val="20"/>
          <w:szCs w:val="20"/>
        </w:rPr>
        <w:t xml:space="preserve"> inhibitor-associated bone loss in postmenopausal women with early breast cancer. The Oncologist</w:t>
      </w:r>
      <w:proofErr w:type="gramStart"/>
      <w:r w:rsidRPr="00F0550C">
        <w:rPr>
          <w:sz w:val="20"/>
          <w:szCs w:val="20"/>
        </w:rPr>
        <w:t>;13</w:t>
      </w:r>
      <w:proofErr w:type="gramEnd"/>
      <w:r w:rsidRPr="00F0550C">
        <w:rPr>
          <w:sz w:val="20"/>
          <w:szCs w:val="20"/>
        </w:rPr>
        <w:t>: 503–514.</w:t>
      </w:r>
    </w:p>
    <w:p w:rsidR="006803B0" w:rsidRPr="00F0550C" w:rsidRDefault="006803B0" w:rsidP="00E17342">
      <w:pPr>
        <w:numPr>
          <w:ilvl w:val="0"/>
          <w:numId w:val="10"/>
        </w:numPr>
        <w:bidi w:val="0"/>
        <w:adjustRightInd w:val="0"/>
        <w:snapToGrid w:val="0"/>
        <w:ind w:left="425" w:hanging="425"/>
        <w:jc w:val="both"/>
        <w:rPr>
          <w:sz w:val="20"/>
          <w:szCs w:val="20"/>
          <w:lang w:bidi="ar-EG"/>
        </w:rPr>
        <w:sectPr w:rsidR="006803B0" w:rsidRPr="00F0550C" w:rsidSect="00F0550C">
          <w:headerReference w:type="default" r:id="rId17"/>
          <w:footerReference w:type="default" r:id="rId18"/>
          <w:type w:val="continuous"/>
          <w:pgSz w:w="12242" w:h="15842" w:code="1"/>
          <w:pgMar w:top="1440" w:right="1440" w:bottom="1440" w:left="1440" w:header="720" w:footer="720" w:gutter="0"/>
          <w:cols w:num="2" w:space="576"/>
          <w:docGrid w:linePitch="360"/>
        </w:sectPr>
      </w:pPr>
    </w:p>
    <w:p w:rsidR="006803B0" w:rsidRPr="00F0550C" w:rsidRDefault="006803B0" w:rsidP="00E17342">
      <w:pPr>
        <w:bidi w:val="0"/>
        <w:adjustRightInd w:val="0"/>
        <w:snapToGrid w:val="0"/>
        <w:ind w:left="425" w:hanging="425"/>
        <w:jc w:val="both"/>
        <w:rPr>
          <w:sz w:val="20"/>
          <w:szCs w:val="20"/>
          <w:lang w:bidi="ar-EG"/>
        </w:rPr>
      </w:pPr>
    </w:p>
    <w:p w:rsidR="006803B0" w:rsidRPr="00F0550C" w:rsidRDefault="006803B0" w:rsidP="00E17342">
      <w:pPr>
        <w:bidi w:val="0"/>
        <w:adjustRightInd w:val="0"/>
        <w:snapToGrid w:val="0"/>
        <w:ind w:left="425" w:hanging="425"/>
        <w:jc w:val="both"/>
        <w:rPr>
          <w:rFonts w:eastAsiaTheme="minorEastAsia"/>
          <w:sz w:val="20"/>
          <w:szCs w:val="20"/>
          <w:lang w:eastAsia="zh-CN" w:bidi="ar-EG"/>
        </w:rPr>
      </w:pPr>
    </w:p>
    <w:p w:rsidR="006803B0" w:rsidRPr="00F0550C" w:rsidRDefault="006803B0" w:rsidP="00E17342">
      <w:pPr>
        <w:bidi w:val="0"/>
        <w:adjustRightInd w:val="0"/>
        <w:snapToGrid w:val="0"/>
        <w:ind w:left="425" w:hanging="425"/>
        <w:jc w:val="both"/>
        <w:rPr>
          <w:rFonts w:eastAsiaTheme="minorEastAsia"/>
          <w:sz w:val="20"/>
          <w:szCs w:val="20"/>
          <w:lang w:eastAsia="zh-CN" w:bidi="ar-EG"/>
        </w:rPr>
      </w:pPr>
    </w:p>
    <w:p w:rsidR="002A5088" w:rsidRPr="00F0550C" w:rsidRDefault="006803B0" w:rsidP="00E17342">
      <w:pPr>
        <w:bidi w:val="0"/>
        <w:adjustRightInd w:val="0"/>
        <w:snapToGrid w:val="0"/>
        <w:ind w:left="425" w:hanging="425"/>
        <w:jc w:val="both"/>
        <w:rPr>
          <w:sz w:val="20"/>
          <w:szCs w:val="20"/>
          <w:lang w:bidi="ar-EG"/>
        </w:rPr>
      </w:pPr>
      <w:r w:rsidRPr="00F0550C">
        <w:rPr>
          <w:sz w:val="20"/>
          <w:szCs w:val="20"/>
          <w:lang w:bidi="ar-EG"/>
        </w:rPr>
        <w:t>5/21/2016</w:t>
      </w:r>
    </w:p>
    <w:sectPr w:rsidR="002A5088" w:rsidRPr="00F0550C" w:rsidSect="00F870DA">
      <w:headerReference w:type="default" r:id="rId19"/>
      <w:footerReference w:type="default" r:id="rId20"/>
      <w:type w:val="continuous"/>
      <w:pgSz w:w="12242" w:h="15842" w:code="1"/>
      <w:pgMar w:top="1440" w:right="1440" w:bottom="1440" w:left="1440" w:header="72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0C" w:rsidRDefault="00F0550C" w:rsidP="00A00732">
      <w:r>
        <w:separator/>
      </w:r>
    </w:p>
  </w:endnote>
  <w:endnote w:type="continuationSeparator" w:id="0">
    <w:p w:rsidR="00F0550C" w:rsidRDefault="00F0550C" w:rsidP="00A00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bidi w:val="0"/>
      <w:jc w:val="center"/>
      <w:rPr>
        <w:sz w:val="20"/>
      </w:rPr>
    </w:pPr>
    <w:r w:rsidRPr="006803B0">
      <w:rPr>
        <w:sz w:val="20"/>
      </w:rPr>
      <w:fldChar w:fldCharType="begin"/>
    </w:r>
    <w:r w:rsidRPr="006803B0">
      <w:rPr>
        <w:sz w:val="20"/>
      </w:rPr>
      <w:instrText xml:space="preserve"> page </w:instrText>
    </w:r>
    <w:r w:rsidRPr="006803B0">
      <w:rPr>
        <w:sz w:val="20"/>
      </w:rPr>
      <w:fldChar w:fldCharType="separate"/>
    </w:r>
    <w:r w:rsidR="006D2C3E">
      <w:rPr>
        <w:noProof/>
        <w:sz w:val="20"/>
      </w:rPr>
      <w:t>56</w:t>
    </w:r>
    <w:r w:rsidRPr="006803B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bidi w:val="0"/>
      <w:jc w:val="center"/>
      <w:rPr>
        <w:sz w:val="20"/>
      </w:rPr>
    </w:pPr>
    <w:r w:rsidRPr="006803B0">
      <w:rPr>
        <w:sz w:val="20"/>
      </w:rPr>
      <w:fldChar w:fldCharType="begin"/>
    </w:r>
    <w:r w:rsidRPr="006803B0">
      <w:rPr>
        <w:sz w:val="20"/>
      </w:rPr>
      <w:instrText xml:space="preserve"> page </w:instrText>
    </w:r>
    <w:r w:rsidRPr="006803B0">
      <w:rPr>
        <w:sz w:val="20"/>
      </w:rPr>
      <w:fldChar w:fldCharType="separate"/>
    </w:r>
    <w:r w:rsidR="006D2C3E">
      <w:rPr>
        <w:noProof/>
        <w:sz w:val="20"/>
      </w:rPr>
      <w:t>57</w:t>
    </w:r>
    <w:r w:rsidRPr="006803B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bidi w:val="0"/>
      <w:jc w:val="center"/>
      <w:rPr>
        <w:sz w:val="20"/>
      </w:rPr>
    </w:pPr>
    <w:r w:rsidRPr="006803B0">
      <w:rPr>
        <w:sz w:val="20"/>
      </w:rPr>
      <w:fldChar w:fldCharType="begin"/>
    </w:r>
    <w:r w:rsidRPr="006803B0">
      <w:rPr>
        <w:sz w:val="20"/>
      </w:rPr>
      <w:instrText xml:space="preserve"> page </w:instrText>
    </w:r>
    <w:r w:rsidRPr="006803B0">
      <w:rPr>
        <w:sz w:val="20"/>
      </w:rPr>
      <w:fldChar w:fldCharType="separate"/>
    </w:r>
    <w:r w:rsidR="006D2C3E">
      <w:rPr>
        <w:noProof/>
        <w:sz w:val="20"/>
      </w:rPr>
      <w:t>58</w:t>
    </w:r>
    <w:r w:rsidRPr="006803B0">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bidi w:val="0"/>
      <w:jc w:val="center"/>
      <w:rPr>
        <w:sz w:val="20"/>
      </w:rPr>
    </w:pPr>
    <w:r w:rsidRPr="006803B0">
      <w:rPr>
        <w:sz w:val="20"/>
      </w:rPr>
      <w:fldChar w:fldCharType="begin"/>
    </w:r>
    <w:r w:rsidRPr="006803B0">
      <w:rPr>
        <w:sz w:val="20"/>
      </w:rPr>
      <w:instrText xml:space="preserve"> page </w:instrText>
    </w:r>
    <w:r w:rsidRPr="006803B0">
      <w:rPr>
        <w:sz w:val="20"/>
      </w:rPr>
      <w:fldChar w:fldCharType="separate"/>
    </w:r>
    <w:r w:rsidR="006D2C3E">
      <w:rPr>
        <w:noProof/>
        <w:sz w:val="20"/>
      </w:rPr>
      <w:t>61</w:t>
    </w:r>
    <w:r w:rsidRPr="006803B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bidi w:val="0"/>
      <w:jc w:val="center"/>
      <w:rPr>
        <w:sz w:val="20"/>
      </w:rPr>
    </w:pPr>
    <w:r w:rsidRPr="006803B0">
      <w:rPr>
        <w:sz w:val="20"/>
      </w:rPr>
      <w:fldChar w:fldCharType="begin"/>
    </w:r>
    <w:r w:rsidRPr="006803B0">
      <w:rPr>
        <w:sz w:val="20"/>
      </w:rPr>
      <w:instrText xml:space="preserve"> page </w:instrText>
    </w:r>
    <w:r w:rsidRPr="006803B0">
      <w:rPr>
        <w:sz w:val="20"/>
      </w:rPr>
      <w:fldChar w:fldCharType="separate"/>
    </w:r>
    <w:r>
      <w:rPr>
        <w:noProof/>
        <w:sz w:val="20"/>
      </w:rPr>
      <w:t>1</w:t>
    </w:r>
    <w:r w:rsidRPr="006803B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0C" w:rsidRDefault="00F0550C" w:rsidP="00A00732">
      <w:r>
        <w:separator/>
      </w:r>
    </w:p>
  </w:footnote>
  <w:footnote w:type="continuationSeparator" w:id="0">
    <w:p w:rsidR="00F0550C" w:rsidRDefault="00F0550C" w:rsidP="00A00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pBdr>
        <w:bottom w:val="thinThickMediumGap" w:sz="12" w:space="1" w:color="auto"/>
      </w:pBdr>
      <w:tabs>
        <w:tab w:val="left" w:pos="851"/>
        <w:tab w:val="right" w:pos="8364"/>
      </w:tabs>
      <w:bidi w:val="0"/>
      <w:adjustRightInd w:val="0"/>
      <w:snapToGrid w:val="0"/>
      <w:jc w:val="both"/>
      <w:rPr>
        <w:iCs/>
        <w:color w:val="0000FF"/>
        <w:sz w:val="20"/>
      </w:rPr>
    </w:pPr>
    <w:r w:rsidRPr="006803B0">
      <w:rPr>
        <w:rFonts w:hint="eastAsia"/>
        <w:iCs/>
        <w:color w:val="000000"/>
        <w:sz w:val="20"/>
      </w:rPr>
      <w:tab/>
    </w:r>
    <w:r w:rsidRPr="006803B0">
      <w:rPr>
        <w:iCs/>
        <w:color w:val="000000"/>
        <w:sz w:val="20"/>
      </w:rPr>
      <w:t xml:space="preserve">Cancer Biology </w:t>
    </w:r>
    <w:r w:rsidRPr="006803B0">
      <w:rPr>
        <w:iCs/>
        <w:sz w:val="20"/>
      </w:rPr>
      <w:t>201</w:t>
    </w:r>
    <w:r w:rsidRPr="006803B0">
      <w:rPr>
        <w:rFonts w:hint="eastAsia"/>
        <w:iCs/>
        <w:sz w:val="20"/>
      </w:rPr>
      <w:t>6</w:t>
    </w:r>
    <w:proofErr w:type="gramStart"/>
    <w:r w:rsidRPr="006803B0">
      <w:rPr>
        <w:iCs/>
        <w:sz w:val="20"/>
      </w:rPr>
      <w:t>;</w:t>
    </w:r>
    <w:r w:rsidRPr="006803B0">
      <w:rPr>
        <w:rFonts w:hint="eastAsia"/>
        <w:iCs/>
        <w:sz w:val="20"/>
      </w:rPr>
      <w:t>6</w:t>
    </w:r>
    <w:proofErr w:type="gramEnd"/>
    <w:r w:rsidRPr="006803B0">
      <w:rPr>
        <w:iCs/>
        <w:sz w:val="20"/>
      </w:rPr>
      <w:t>(</w:t>
    </w:r>
    <w:r w:rsidRPr="006803B0">
      <w:rPr>
        <w:rFonts w:hint="eastAsia"/>
        <w:iCs/>
        <w:sz w:val="20"/>
      </w:rPr>
      <w:t>2</w:t>
    </w:r>
    <w:r w:rsidRPr="006803B0">
      <w:rPr>
        <w:iCs/>
        <w:sz w:val="20"/>
      </w:rPr>
      <w:t xml:space="preserve">)  </w:t>
    </w:r>
    <w:r w:rsidRPr="006803B0">
      <w:rPr>
        <w:rFonts w:hint="eastAsia"/>
        <w:iCs/>
        <w:sz w:val="20"/>
      </w:rPr>
      <w:t xml:space="preserve">   </w:t>
    </w:r>
    <w:r w:rsidRPr="006803B0">
      <w:rPr>
        <w:rFonts w:hint="eastAsia"/>
        <w:iCs/>
        <w:sz w:val="20"/>
      </w:rPr>
      <w:tab/>
      <w:t xml:space="preserve">     </w:t>
    </w:r>
    <w:r w:rsidRPr="006803B0">
      <w:rPr>
        <w:iCs/>
        <w:sz w:val="20"/>
      </w:rPr>
      <w:t xml:space="preserve"> </w:t>
    </w:r>
    <w:r w:rsidRPr="006803B0">
      <w:rPr>
        <w:sz w:val="20"/>
      </w:rPr>
      <w:t xml:space="preserve">  </w:t>
    </w:r>
    <w:hyperlink r:id="rId1" w:history="1">
      <w:r w:rsidRPr="006803B0">
        <w:rPr>
          <w:rStyle w:val="Hyperlink"/>
          <w:color w:val="0000FF"/>
          <w:sz w:val="20"/>
        </w:rPr>
        <w:t>http://www.cancerbio.net</w:t>
      </w:r>
    </w:hyperlink>
  </w:p>
  <w:p w:rsidR="00F0550C" w:rsidRPr="006803B0" w:rsidRDefault="00F0550C" w:rsidP="006803B0">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pBdr>
        <w:bottom w:val="thinThickMediumGap" w:sz="12" w:space="1" w:color="auto"/>
      </w:pBdr>
      <w:tabs>
        <w:tab w:val="left" w:pos="851"/>
        <w:tab w:val="right" w:pos="8364"/>
      </w:tabs>
      <w:bidi w:val="0"/>
      <w:adjustRightInd w:val="0"/>
      <w:snapToGrid w:val="0"/>
      <w:jc w:val="both"/>
      <w:rPr>
        <w:iCs/>
        <w:color w:val="0000FF"/>
        <w:sz w:val="20"/>
      </w:rPr>
    </w:pPr>
    <w:r w:rsidRPr="006803B0">
      <w:rPr>
        <w:rFonts w:hint="eastAsia"/>
        <w:iCs/>
        <w:color w:val="000000"/>
        <w:sz w:val="20"/>
      </w:rPr>
      <w:tab/>
    </w:r>
    <w:r w:rsidRPr="006803B0">
      <w:rPr>
        <w:iCs/>
        <w:color w:val="000000"/>
        <w:sz w:val="20"/>
      </w:rPr>
      <w:t xml:space="preserve">Cancer Biology </w:t>
    </w:r>
    <w:r w:rsidRPr="006803B0">
      <w:rPr>
        <w:iCs/>
        <w:sz w:val="20"/>
      </w:rPr>
      <w:t>201</w:t>
    </w:r>
    <w:r w:rsidRPr="006803B0">
      <w:rPr>
        <w:rFonts w:hint="eastAsia"/>
        <w:iCs/>
        <w:sz w:val="20"/>
      </w:rPr>
      <w:t>6</w:t>
    </w:r>
    <w:proofErr w:type="gramStart"/>
    <w:r w:rsidRPr="006803B0">
      <w:rPr>
        <w:iCs/>
        <w:sz w:val="20"/>
      </w:rPr>
      <w:t>;</w:t>
    </w:r>
    <w:r w:rsidRPr="006803B0">
      <w:rPr>
        <w:rFonts w:hint="eastAsia"/>
        <w:iCs/>
        <w:sz w:val="20"/>
      </w:rPr>
      <w:t>6</w:t>
    </w:r>
    <w:proofErr w:type="gramEnd"/>
    <w:r w:rsidRPr="006803B0">
      <w:rPr>
        <w:iCs/>
        <w:sz w:val="20"/>
      </w:rPr>
      <w:t>(</w:t>
    </w:r>
    <w:r w:rsidRPr="006803B0">
      <w:rPr>
        <w:rFonts w:hint="eastAsia"/>
        <w:iCs/>
        <w:sz w:val="20"/>
      </w:rPr>
      <w:t>2</w:t>
    </w:r>
    <w:r w:rsidRPr="006803B0">
      <w:rPr>
        <w:iCs/>
        <w:sz w:val="20"/>
      </w:rPr>
      <w:t xml:space="preserve">)  </w:t>
    </w:r>
    <w:r w:rsidRPr="006803B0">
      <w:rPr>
        <w:rFonts w:hint="eastAsia"/>
        <w:iCs/>
        <w:sz w:val="20"/>
      </w:rPr>
      <w:t xml:space="preserve">   </w:t>
    </w:r>
    <w:r w:rsidRPr="006803B0">
      <w:rPr>
        <w:rFonts w:hint="eastAsia"/>
        <w:iCs/>
        <w:sz w:val="20"/>
      </w:rPr>
      <w:tab/>
      <w:t xml:space="preserve">     </w:t>
    </w:r>
    <w:r w:rsidRPr="006803B0">
      <w:rPr>
        <w:iCs/>
        <w:sz w:val="20"/>
      </w:rPr>
      <w:t xml:space="preserve"> </w:t>
    </w:r>
    <w:r w:rsidRPr="006803B0">
      <w:rPr>
        <w:sz w:val="20"/>
      </w:rPr>
      <w:t xml:space="preserve">  </w:t>
    </w:r>
    <w:hyperlink r:id="rId1" w:history="1">
      <w:r w:rsidRPr="006803B0">
        <w:rPr>
          <w:rStyle w:val="Hyperlink"/>
          <w:color w:val="0000FF"/>
          <w:sz w:val="20"/>
        </w:rPr>
        <w:t>http://www.cancerbio.net</w:t>
      </w:r>
    </w:hyperlink>
  </w:p>
  <w:p w:rsidR="00F0550C" w:rsidRPr="006803B0" w:rsidRDefault="00F0550C" w:rsidP="006803B0">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pBdr>
        <w:bottom w:val="thinThickMediumGap" w:sz="12" w:space="1" w:color="auto"/>
      </w:pBdr>
      <w:tabs>
        <w:tab w:val="left" w:pos="851"/>
        <w:tab w:val="right" w:pos="8364"/>
      </w:tabs>
      <w:bidi w:val="0"/>
      <w:adjustRightInd w:val="0"/>
      <w:snapToGrid w:val="0"/>
      <w:jc w:val="both"/>
      <w:rPr>
        <w:iCs/>
        <w:color w:val="0000FF"/>
        <w:sz w:val="20"/>
      </w:rPr>
    </w:pPr>
    <w:r w:rsidRPr="006803B0">
      <w:rPr>
        <w:rFonts w:hint="eastAsia"/>
        <w:iCs/>
        <w:color w:val="000000"/>
        <w:sz w:val="20"/>
      </w:rPr>
      <w:tab/>
    </w:r>
    <w:r w:rsidRPr="006803B0">
      <w:rPr>
        <w:iCs/>
        <w:color w:val="000000"/>
        <w:sz w:val="20"/>
      </w:rPr>
      <w:t xml:space="preserve">Cancer Biology </w:t>
    </w:r>
    <w:r w:rsidRPr="006803B0">
      <w:rPr>
        <w:iCs/>
        <w:sz w:val="20"/>
      </w:rPr>
      <w:t>201</w:t>
    </w:r>
    <w:r w:rsidRPr="006803B0">
      <w:rPr>
        <w:rFonts w:hint="eastAsia"/>
        <w:iCs/>
        <w:sz w:val="20"/>
      </w:rPr>
      <w:t>6</w:t>
    </w:r>
    <w:proofErr w:type="gramStart"/>
    <w:r w:rsidRPr="006803B0">
      <w:rPr>
        <w:iCs/>
        <w:sz w:val="20"/>
      </w:rPr>
      <w:t>;</w:t>
    </w:r>
    <w:r w:rsidRPr="006803B0">
      <w:rPr>
        <w:rFonts w:hint="eastAsia"/>
        <w:iCs/>
        <w:sz w:val="20"/>
      </w:rPr>
      <w:t>6</w:t>
    </w:r>
    <w:proofErr w:type="gramEnd"/>
    <w:r w:rsidRPr="006803B0">
      <w:rPr>
        <w:iCs/>
        <w:sz w:val="20"/>
      </w:rPr>
      <w:t>(</w:t>
    </w:r>
    <w:r w:rsidRPr="006803B0">
      <w:rPr>
        <w:rFonts w:hint="eastAsia"/>
        <w:iCs/>
        <w:sz w:val="20"/>
      </w:rPr>
      <w:t>2</w:t>
    </w:r>
    <w:r w:rsidRPr="006803B0">
      <w:rPr>
        <w:iCs/>
        <w:sz w:val="20"/>
      </w:rPr>
      <w:t xml:space="preserve">)  </w:t>
    </w:r>
    <w:r w:rsidRPr="006803B0">
      <w:rPr>
        <w:rFonts w:hint="eastAsia"/>
        <w:iCs/>
        <w:sz w:val="20"/>
      </w:rPr>
      <w:t xml:space="preserve">   </w:t>
    </w:r>
    <w:r w:rsidRPr="006803B0">
      <w:rPr>
        <w:rFonts w:hint="eastAsia"/>
        <w:iCs/>
        <w:sz w:val="20"/>
      </w:rPr>
      <w:tab/>
      <w:t xml:space="preserve">     </w:t>
    </w:r>
    <w:r w:rsidRPr="006803B0">
      <w:rPr>
        <w:iCs/>
        <w:sz w:val="20"/>
      </w:rPr>
      <w:t xml:space="preserve"> </w:t>
    </w:r>
    <w:r w:rsidRPr="006803B0">
      <w:rPr>
        <w:sz w:val="20"/>
      </w:rPr>
      <w:t xml:space="preserve">  </w:t>
    </w:r>
    <w:hyperlink r:id="rId1" w:history="1">
      <w:r w:rsidRPr="006803B0">
        <w:rPr>
          <w:rStyle w:val="Hyperlink"/>
          <w:color w:val="0000FF"/>
          <w:sz w:val="20"/>
        </w:rPr>
        <w:t>http://www.cancerbio.net</w:t>
      </w:r>
    </w:hyperlink>
  </w:p>
  <w:p w:rsidR="00F0550C" w:rsidRPr="006803B0" w:rsidRDefault="00F0550C" w:rsidP="006803B0">
    <w:pPr>
      <w:tabs>
        <w:tab w:val="left" w:pos="851"/>
        <w:tab w:val="right" w:pos="8364"/>
      </w:tabs>
      <w:bidi w:val="0"/>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pBdr>
        <w:bottom w:val="thinThickMediumGap" w:sz="12" w:space="1" w:color="auto"/>
      </w:pBdr>
      <w:tabs>
        <w:tab w:val="left" w:pos="851"/>
        <w:tab w:val="right" w:pos="8364"/>
      </w:tabs>
      <w:bidi w:val="0"/>
      <w:adjustRightInd w:val="0"/>
      <w:snapToGrid w:val="0"/>
      <w:jc w:val="both"/>
      <w:rPr>
        <w:iCs/>
        <w:color w:val="0000FF"/>
        <w:sz w:val="20"/>
      </w:rPr>
    </w:pPr>
    <w:r w:rsidRPr="006803B0">
      <w:rPr>
        <w:rFonts w:hint="eastAsia"/>
        <w:iCs/>
        <w:color w:val="000000"/>
        <w:sz w:val="20"/>
      </w:rPr>
      <w:tab/>
    </w:r>
    <w:r w:rsidRPr="006803B0">
      <w:rPr>
        <w:iCs/>
        <w:color w:val="000000"/>
        <w:sz w:val="20"/>
      </w:rPr>
      <w:t xml:space="preserve">Cancer Biology </w:t>
    </w:r>
    <w:r w:rsidRPr="006803B0">
      <w:rPr>
        <w:iCs/>
        <w:sz w:val="20"/>
      </w:rPr>
      <w:t>201</w:t>
    </w:r>
    <w:r w:rsidRPr="006803B0">
      <w:rPr>
        <w:rFonts w:hint="eastAsia"/>
        <w:iCs/>
        <w:sz w:val="20"/>
      </w:rPr>
      <w:t>6</w:t>
    </w:r>
    <w:proofErr w:type="gramStart"/>
    <w:r w:rsidRPr="006803B0">
      <w:rPr>
        <w:iCs/>
        <w:sz w:val="20"/>
      </w:rPr>
      <w:t>;</w:t>
    </w:r>
    <w:r w:rsidRPr="006803B0">
      <w:rPr>
        <w:rFonts w:hint="eastAsia"/>
        <w:iCs/>
        <w:sz w:val="20"/>
      </w:rPr>
      <w:t>6</w:t>
    </w:r>
    <w:proofErr w:type="gramEnd"/>
    <w:r w:rsidRPr="006803B0">
      <w:rPr>
        <w:iCs/>
        <w:sz w:val="20"/>
      </w:rPr>
      <w:t>(</w:t>
    </w:r>
    <w:r w:rsidRPr="006803B0">
      <w:rPr>
        <w:rFonts w:hint="eastAsia"/>
        <w:iCs/>
        <w:sz w:val="20"/>
      </w:rPr>
      <w:t>2</w:t>
    </w:r>
    <w:r w:rsidRPr="006803B0">
      <w:rPr>
        <w:iCs/>
        <w:sz w:val="20"/>
      </w:rPr>
      <w:t xml:space="preserve">)  </w:t>
    </w:r>
    <w:r w:rsidRPr="006803B0">
      <w:rPr>
        <w:rFonts w:hint="eastAsia"/>
        <w:iCs/>
        <w:sz w:val="20"/>
      </w:rPr>
      <w:t xml:space="preserve">   </w:t>
    </w:r>
    <w:r w:rsidRPr="006803B0">
      <w:rPr>
        <w:rFonts w:hint="eastAsia"/>
        <w:iCs/>
        <w:sz w:val="20"/>
      </w:rPr>
      <w:tab/>
      <w:t xml:space="preserve">     </w:t>
    </w:r>
    <w:r w:rsidRPr="006803B0">
      <w:rPr>
        <w:iCs/>
        <w:sz w:val="20"/>
      </w:rPr>
      <w:t xml:space="preserve"> </w:t>
    </w:r>
    <w:r w:rsidRPr="006803B0">
      <w:rPr>
        <w:sz w:val="20"/>
      </w:rPr>
      <w:t xml:space="preserve">  </w:t>
    </w:r>
    <w:hyperlink r:id="rId1" w:history="1">
      <w:r w:rsidRPr="006803B0">
        <w:rPr>
          <w:rStyle w:val="Hyperlink"/>
          <w:color w:val="0000FF"/>
          <w:sz w:val="20"/>
        </w:rPr>
        <w:t>http://www.cancerbio.net</w:t>
      </w:r>
    </w:hyperlink>
  </w:p>
  <w:p w:rsidR="00F0550C" w:rsidRPr="006803B0" w:rsidRDefault="00F0550C" w:rsidP="006803B0">
    <w:pPr>
      <w:tabs>
        <w:tab w:val="left" w:pos="851"/>
        <w:tab w:val="right" w:pos="8364"/>
      </w:tabs>
      <w:bidi w:val="0"/>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0C" w:rsidRPr="006803B0" w:rsidRDefault="00F0550C" w:rsidP="006803B0">
    <w:pPr>
      <w:pBdr>
        <w:bottom w:val="thinThickMediumGap" w:sz="12" w:space="1" w:color="auto"/>
      </w:pBdr>
      <w:tabs>
        <w:tab w:val="left" w:pos="851"/>
        <w:tab w:val="right" w:pos="8364"/>
      </w:tabs>
      <w:bidi w:val="0"/>
      <w:adjustRightInd w:val="0"/>
      <w:snapToGrid w:val="0"/>
      <w:jc w:val="both"/>
      <w:rPr>
        <w:iCs/>
        <w:color w:val="0000FF"/>
        <w:sz w:val="20"/>
      </w:rPr>
    </w:pPr>
    <w:r w:rsidRPr="006803B0">
      <w:rPr>
        <w:rFonts w:hint="eastAsia"/>
        <w:iCs/>
        <w:color w:val="000000"/>
        <w:sz w:val="20"/>
      </w:rPr>
      <w:tab/>
    </w:r>
    <w:r w:rsidRPr="006803B0">
      <w:rPr>
        <w:iCs/>
        <w:color w:val="000000"/>
        <w:sz w:val="20"/>
      </w:rPr>
      <w:t xml:space="preserve">Cancer Biology </w:t>
    </w:r>
    <w:r w:rsidRPr="006803B0">
      <w:rPr>
        <w:iCs/>
        <w:sz w:val="20"/>
      </w:rPr>
      <w:t>201</w:t>
    </w:r>
    <w:r w:rsidRPr="006803B0">
      <w:rPr>
        <w:rFonts w:hint="eastAsia"/>
        <w:iCs/>
        <w:sz w:val="20"/>
      </w:rPr>
      <w:t>6</w:t>
    </w:r>
    <w:proofErr w:type="gramStart"/>
    <w:r w:rsidRPr="006803B0">
      <w:rPr>
        <w:iCs/>
        <w:sz w:val="20"/>
      </w:rPr>
      <w:t>;</w:t>
    </w:r>
    <w:r w:rsidRPr="006803B0">
      <w:rPr>
        <w:rFonts w:hint="eastAsia"/>
        <w:iCs/>
        <w:sz w:val="20"/>
      </w:rPr>
      <w:t>6</w:t>
    </w:r>
    <w:proofErr w:type="gramEnd"/>
    <w:r w:rsidRPr="006803B0">
      <w:rPr>
        <w:iCs/>
        <w:sz w:val="20"/>
      </w:rPr>
      <w:t>(</w:t>
    </w:r>
    <w:r w:rsidRPr="006803B0">
      <w:rPr>
        <w:rFonts w:hint="eastAsia"/>
        <w:iCs/>
        <w:sz w:val="20"/>
      </w:rPr>
      <w:t>2</w:t>
    </w:r>
    <w:r w:rsidRPr="006803B0">
      <w:rPr>
        <w:iCs/>
        <w:sz w:val="20"/>
      </w:rPr>
      <w:t xml:space="preserve">)  </w:t>
    </w:r>
    <w:r w:rsidRPr="006803B0">
      <w:rPr>
        <w:rFonts w:hint="eastAsia"/>
        <w:iCs/>
        <w:sz w:val="20"/>
      </w:rPr>
      <w:t xml:space="preserve">   </w:t>
    </w:r>
    <w:r w:rsidRPr="006803B0">
      <w:rPr>
        <w:rFonts w:hint="eastAsia"/>
        <w:iCs/>
        <w:sz w:val="20"/>
      </w:rPr>
      <w:tab/>
      <w:t xml:space="preserve">     </w:t>
    </w:r>
    <w:r w:rsidRPr="006803B0">
      <w:rPr>
        <w:iCs/>
        <w:sz w:val="20"/>
      </w:rPr>
      <w:t xml:space="preserve"> </w:t>
    </w:r>
    <w:r w:rsidRPr="006803B0">
      <w:rPr>
        <w:sz w:val="20"/>
      </w:rPr>
      <w:t xml:space="preserve">  </w:t>
    </w:r>
    <w:hyperlink r:id="rId1" w:history="1">
      <w:r w:rsidRPr="006803B0">
        <w:rPr>
          <w:rStyle w:val="Hyperlink"/>
          <w:color w:val="0000FF"/>
          <w:sz w:val="20"/>
        </w:rPr>
        <w:t>http://www.cancerbio.net</w:t>
      </w:r>
    </w:hyperlink>
  </w:p>
  <w:p w:rsidR="00F0550C" w:rsidRPr="006803B0" w:rsidRDefault="00F0550C" w:rsidP="006803B0">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DD5"/>
    <w:multiLevelType w:val="hybridMultilevel"/>
    <w:tmpl w:val="9A94BA0E"/>
    <w:lvl w:ilvl="0" w:tplc="DDC0B2D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17436"/>
    <w:multiLevelType w:val="hybridMultilevel"/>
    <w:tmpl w:val="FD880CEE"/>
    <w:lvl w:ilvl="0" w:tplc="61EC2F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C1FFE">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88EE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C1DDA">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2FEA0">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6E362">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AF834">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0D93E">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C1E2A">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5A1C80"/>
    <w:multiLevelType w:val="hybridMultilevel"/>
    <w:tmpl w:val="1ACC5F3A"/>
    <w:lvl w:ilvl="0" w:tplc="72E89138">
      <w:start w:val="1"/>
      <w:numFmt w:val="upperLetter"/>
      <w:lvlText w:val="%1."/>
      <w:lvlJc w:val="left"/>
      <w:pPr>
        <w:tabs>
          <w:tab w:val="num" w:pos="720"/>
        </w:tabs>
        <w:ind w:left="720" w:hanging="360"/>
      </w:pPr>
      <w:rPr>
        <w:i/>
        <w:iCs/>
      </w:rPr>
    </w:lvl>
    <w:lvl w:ilvl="1" w:tplc="C3AE869C">
      <w:start w:val="1"/>
      <w:numFmt w:val="decimal"/>
      <w:lvlText w:val="%2."/>
      <w:lvlJc w:val="left"/>
      <w:pPr>
        <w:tabs>
          <w:tab w:val="num" w:pos="1440"/>
        </w:tabs>
        <w:ind w:left="1440" w:hanging="360"/>
      </w:pPr>
      <w:rPr>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F0D4B"/>
    <w:multiLevelType w:val="multilevel"/>
    <w:tmpl w:val="38BE46C6"/>
    <w:lvl w:ilvl="0">
      <w:start w:val="1"/>
      <w:numFmt w:val="upperLetter"/>
      <w:lvlText w:val="%1."/>
      <w:lvlJc w:val="left"/>
      <w:pPr>
        <w:tabs>
          <w:tab w:val="num" w:pos="720"/>
        </w:tabs>
        <w:ind w:left="720" w:hanging="360"/>
      </w:pPr>
      <w:rPr>
        <w:i/>
        <w:iCs/>
      </w:rPr>
    </w:lvl>
    <w:lvl w:ilvl="1">
      <w:start w:val="1"/>
      <w:numFmt w:val="decimal"/>
      <w:lvlText w:val="%2."/>
      <w:lvlJc w:val="left"/>
      <w:pPr>
        <w:tabs>
          <w:tab w:val="num" w:pos="1440"/>
        </w:tabs>
        <w:ind w:left="1440" w:hanging="360"/>
      </w:pPr>
      <w:rPr>
        <w:i/>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8E79DE"/>
    <w:multiLevelType w:val="multilevel"/>
    <w:tmpl w:val="56C2B8FE"/>
    <w:lvl w:ilvl="0">
      <w:start w:val="1"/>
      <w:numFmt w:val="upperLetter"/>
      <w:lvlText w:val="%1."/>
      <w:lvlJc w:val="left"/>
      <w:pPr>
        <w:tabs>
          <w:tab w:val="num" w:pos="720"/>
        </w:tabs>
        <w:ind w:left="720" w:hanging="360"/>
      </w:pPr>
      <w:rPr>
        <w:i/>
        <w:iCs/>
      </w:rPr>
    </w:lvl>
    <w:lvl w:ilvl="1">
      <w:start w:val="1"/>
      <w:numFmt w:val="bullet"/>
      <w:lvlText w:val=""/>
      <w:lvlJc w:val="left"/>
      <w:pPr>
        <w:tabs>
          <w:tab w:val="num" w:pos="1440"/>
        </w:tabs>
        <w:ind w:left="1440" w:hanging="360"/>
      </w:pPr>
      <w:rPr>
        <w:rFonts w:ascii="Wingdings" w:hAnsi="Wingdings" w:hint="default"/>
        <w:i/>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BE670E"/>
    <w:multiLevelType w:val="hybridMultilevel"/>
    <w:tmpl w:val="B6FC803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1770EFD"/>
    <w:multiLevelType w:val="hybridMultilevel"/>
    <w:tmpl w:val="85C2C1F6"/>
    <w:lvl w:ilvl="0" w:tplc="213A351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9565C3"/>
    <w:multiLevelType w:val="hybridMultilevel"/>
    <w:tmpl w:val="FC62C5D6"/>
    <w:lvl w:ilvl="0" w:tplc="20FCB62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77B73"/>
    <w:multiLevelType w:val="hybridMultilevel"/>
    <w:tmpl w:val="E9B8DA0E"/>
    <w:lvl w:ilvl="0" w:tplc="F22E814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15F46"/>
    <w:multiLevelType w:val="hybridMultilevel"/>
    <w:tmpl w:val="859C1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C2520"/>
    <w:multiLevelType w:val="hybridMultilevel"/>
    <w:tmpl w:val="CD72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5"/>
  </w:num>
  <w:num w:numId="6">
    <w:abstractNumId w:val="8"/>
  </w:num>
  <w:num w:numId="7">
    <w:abstractNumId w:val="7"/>
  </w:num>
  <w:num w:numId="8">
    <w:abstractNumId w:val="4"/>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957"/>
    <w:rsid w:val="00027DB5"/>
    <w:rsid w:val="000352F9"/>
    <w:rsid w:val="000504B2"/>
    <w:rsid w:val="000571A8"/>
    <w:rsid w:val="000603CF"/>
    <w:rsid w:val="00063DE7"/>
    <w:rsid w:val="0006552D"/>
    <w:rsid w:val="00070206"/>
    <w:rsid w:val="00081056"/>
    <w:rsid w:val="000822BE"/>
    <w:rsid w:val="0009349B"/>
    <w:rsid w:val="0009645F"/>
    <w:rsid w:val="000A1195"/>
    <w:rsid w:val="000A4A77"/>
    <w:rsid w:val="000B11CB"/>
    <w:rsid w:val="000B1672"/>
    <w:rsid w:val="000B3C59"/>
    <w:rsid w:val="000B4E57"/>
    <w:rsid w:val="000C6802"/>
    <w:rsid w:val="000C6C2F"/>
    <w:rsid w:val="000E54C0"/>
    <w:rsid w:val="000E74F9"/>
    <w:rsid w:val="000F609B"/>
    <w:rsid w:val="001215AB"/>
    <w:rsid w:val="0013491F"/>
    <w:rsid w:val="00140E7B"/>
    <w:rsid w:val="00140F82"/>
    <w:rsid w:val="0014196E"/>
    <w:rsid w:val="001420D0"/>
    <w:rsid w:val="00143D79"/>
    <w:rsid w:val="001529C7"/>
    <w:rsid w:val="0017638D"/>
    <w:rsid w:val="001813E0"/>
    <w:rsid w:val="001855DE"/>
    <w:rsid w:val="00192335"/>
    <w:rsid w:val="0019451A"/>
    <w:rsid w:val="001A01AB"/>
    <w:rsid w:val="001A0D20"/>
    <w:rsid w:val="001A40DC"/>
    <w:rsid w:val="001C7F72"/>
    <w:rsid w:val="001F0087"/>
    <w:rsid w:val="001F147B"/>
    <w:rsid w:val="0020254B"/>
    <w:rsid w:val="0021376F"/>
    <w:rsid w:val="00213D5A"/>
    <w:rsid w:val="00214183"/>
    <w:rsid w:val="0023020C"/>
    <w:rsid w:val="0023189E"/>
    <w:rsid w:val="00256679"/>
    <w:rsid w:val="00257491"/>
    <w:rsid w:val="00271C33"/>
    <w:rsid w:val="00275931"/>
    <w:rsid w:val="002807AA"/>
    <w:rsid w:val="00282831"/>
    <w:rsid w:val="002839C5"/>
    <w:rsid w:val="00287F0E"/>
    <w:rsid w:val="002A4CCD"/>
    <w:rsid w:val="002A5088"/>
    <w:rsid w:val="002A6416"/>
    <w:rsid w:val="002B1FB0"/>
    <w:rsid w:val="002B2B23"/>
    <w:rsid w:val="002C0F71"/>
    <w:rsid w:val="002C5BA0"/>
    <w:rsid w:val="002D27FF"/>
    <w:rsid w:val="002E4BDF"/>
    <w:rsid w:val="002F78B1"/>
    <w:rsid w:val="00314FD1"/>
    <w:rsid w:val="00315E23"/>
    <w:rsid w:val="00320E02"/>
    <w:rsid w:val="00332106"/>
    <w:rsid w:val="00372972"/>
    <w:rsid w:val="003865CD"/>
    <w:rsid w:val="003959B5"/>
    <w:rsid w:val="00397253"/>
    <w:rsid w:val="003A26C6"/>
    <w:rsid w:val="003A5333"/>
    <w:rsid w:val="003B0454"/>
    <w:rsid w:val="003C4B3B"/>
    <w:rsid w:val="003D3476"/>
    <w:rsid w:val="003E340E"/>
    <w:rsid w:val="003E3DD7"/>
    <w:rsid w:val="00402128"/>
    <w:rsid w:val="00403536"/>
    <w:rsid w:val="004131CE"/>
    <w:rsid w:val="00413204"/>
    <w:rsid w:val="00413537"/>
    <w:rsid w:val="00413D1B"/>
    <w:rsid w:val="00421D2C"/>
    <w:rsid w:val="00425B5D"/>
    <w:rsid w:val="00426652"/>
    <w:rsid w:val="0042774D"/>
    <w:rsid w:val="00431891"/>
    <w:rsid w:val="00447342"/>
    <w:rsid w:val="0045089E"/>
    <w:rsid w:val="004633F2"/>
    <w:rsid w:val="00471651"/>
    <w:rsid w:val="00471BE1"/>
    <w:rsid w:val="0048567F"/>
    <w:rsid w:val="004932A1"/>
    <w:rsid w:val="00493615"/>
    <w:rsid w:val="0049472A"/>
    <w:rsid w:val="004C271F"/>
    <w:rsid w:val="004D04E7"/>
    <w:rsid w:val="004D5A0D"/>
    <w:rsid w:val="004D61DD"/>
    <w:rsid w:val="004E0596"/>
    <w:rsid w:val="004F625C"/>
    <w:rsid w:val="004F70AD"/>
    <w:rsid w:val="00514D4A"/>
    <w:rsid w:val="00516C36"/>
    <w:rsid w:val="005266EC"/>
    <w:rsid w:val="00531FD4"/>
    <w:rsid w:val="00536CDB"/>
    <w:rsid w:val="005465EB"/>
    <w:rsid w:val="00564CDC"/>
    <w:rsid w:val="0058137E"/>
    <w:rsid w:val="0058478E"/>
    <w:rsid w:val="00587D21"/>
    <w:rsid w:val="005922BD"/>
    <w:rsid w:val="005A2F51"/>
    <w:rsid w:val="005A7C9F"/>
    <w:rsid w:val="005C429D"/>
    <w:rsid w:val="005C7354"/>
    <w:rsid w:val="005D04C9"/>
    <w:rsid w:val="005D1143"/>
    <w:rsid w:val="005D3F09"/>
    <w:rsid w:val="005F07EA"/>
    <w:rsid w:val="006061FD"/>
    <w:rsid w:val="00611762"/>
    <w:rsid w:val="006305BF"/>
    <w:rsid w:val="00630F71"/>
    <w:rsid w:val="00632F36"/>
    <w:rsid w:val="006545DB"/>
    <w:rsid w:val="006723EA"/>
    <w:rsid w:val="006803B0"/>
    <w:rsid w:val="00682EFD"/>
    <w:rsid w:val="00692922"/>
    <w:rsid w:val="006A0E85"/>
    <w:rsid w:val="006B36F2"/>
    <w:rsid w:val="006C38C5"/>
    <w:rsid w:val="006D2C3E"/>
    <w:rsid w:val="006D654D"/>
    <w:rsid w:val="006D65B3"/>
    <w:rsid w:val="006E1957"/>
    <w:rsid w:val="006E2DD2"/>
    <w:rsid w:val="006E4156"/>
    <w:rsid w:val="006E7C7D"/>
    <w:rsid w:val="00701D57"/>
    <w:rsid w:val="00706042"/>
    <w:rsid w:val="00732958"/>
    <w:rsid w:val="00732C25"/>
    <w:rsid w:val="00736F1C"/>
    <w:rsid w:val="0075344C"/>
    <w:rsid w:val="00753A37"/>
    <w:rsid w:val="00755674"/>
    <w:rsid w:val="00755B2B"/>
    <w:rsid w:val="007566D2"/>
    <w:rsid w:val="0075720A"/>
    <w:rsid w:val="007630D5"/>
    <w:rsid w:val="00766ACC"/>
    <w:rsid w:val="007709EA"/>
    <w:rsid w:val="00770B0B"/>
    <w:rsid w:val="00784D3E"/>
    <w:rsid w:val="00790B2B"/>
    <w:rsid w:val="00791715"/>
    <w:rsid w:val="007922AC"/>
    <w:rsid w:val="00793C5D"/>
    <w:rsid w:val="007B3752"/>
    <w:rsid w:val="007B5645"/>
    <w:rsid w:val="007B6C82"/>
    <w:rsid w:val="007B7C4F"/>
    <w:rsid w:val="007D0BED"/>
    <w:rsid w:val="007E0FD1"/>
    <w:rsid w:val="007E7B35"/>
    <w:rsid w:val="0080062F"/>
    <w:rsid w:val="00803E68"/>
    <w:rsid w:val="008137F0"/>
    <w:rsid w:val="0083252D"/>
    <w:rsid w:val="00865800"/>
    <w:rsid w:val="0087100A"/>
    <w:rsid w:val="0087392B"/>
    <w:rsid w:val="0088258C"/>
    <w:rsid w:val="008A47DF"/>
    <w:rsid w:val="008A481D"/>
    <w:rsid w:val="008B5FEF"/>
    <w:rsid w:val="008C0BFA"/>
    <w:rsid w:val="008C2BE9"/>
    <w:rsid w:val="008D07E1"/>
    <w:rsid w:val="008D2960"/>
    <w:rsid w:val="008D42D9"/>
    <w:rsid w:val="008D6CC0"/>
    <w:rsid w:val="008D6D4C"/>
    <w:rsid w:val="008F70EE"/>
    <w:rsid w:val="009010BE"/>
    <w:rsid w:val="00907D23"/>
    <w:rsid w:val="009125B7"/>
    <w:rsid w:val="00915D75"/>
    <w:rsid w:val="009235F9"/>
    <w:rsid w:val="00925177"/>
    <w:rsid w:val="009337F2"/>
    <w:rsid w:val="009373A9"/>
    <w:rsid w:val="009479C1"/>
    <w:rsid w:val="00960170"/>
    <w:rsid w:val="009627F2"/>
    <w:rsid w:val="00966B57"/>
    <w:rsid w:val="00966DB0"/>
    <w:rsid w:val="00967939"/>
    <w:rsid w:val="0097516B"/>
    <w:rsid w:val="0097691D"/>
    <w:rsid w:val="00985583"/>
    <w:rsid w:val="009A47B7"/>
    <w:rsid w:val="009A6953"/>
    <w:rsid w:val="009C4225"/>
    <w:rsid w:val="009D00DA"/>
    <w:rsid w:val="009D21C7"/>
    <w:rsid w:val="009E3421"/>
    <w:rsid w:val="009E5432"/>
    <w:rsid w:val="009E6A7D"/>
    <w:rsid w:val="009F3AC1"/>
    <w:rsid w:val="009F3D77"/>
    <w:rsid w:val="00A00732"/>
    <w:rsid w:val="00A01A85"/>
    <w:rsid w:val="00A036B5"/>
    <w:rsid w:val="00A03881"/>
    <w:rsid w:val="00A207DA"/>
    <w:rsid w:val="00A2088C"/>
    <w:rsid w:val="00A447E0"/>
    <w:rsid w:val="00A477AC"/>
    <w:rsid w:val="00A529C5"/>
    <w:rsid w:val="00A602C5"/>
    <w:rsid w:val="00A64342"/>
    <w:rsid w:val="00A7036D"/>
    <w:rsid w:val="00A8042A"/>
    <w:rsid w:val="00A8186F"/>
    <w:rsid w:val="00A844ED"/>
    <w:rsid w:val="00A87975"/>
    <w:rsid w:val="00A90F76"/>
    <w:rsid w:val="00A96F24"/>
    <w:rsid w:val="00AA02B1"/>
    <w:rsid w:val="00AA6F09"/>
    <w:rsid w:val="00AC379F"/>
    <w:rsid w:val="00AD0F5C"/>
    <w:rsid w:val="00AE6DFC"/>
    <w:rsid w:val="00AF4BE8"/>
    <w:rsid w:val="00B058D0"/>
    <w:rsid w:val="00B1555D"/>
    <w:rsid w:val="00B17F9D"/>
    <w:rsid w:val="00B268DD"/>
    <w:rsid w:val="00B32027"/>
    <w:rsid w:val="00B35D56"/>
    <w:rsid w:val="00B47F3D"/>
    <w:rsid w:val="00B5290B"/>
    <w:rsid w:val="00B63B51"/>
    <w:rsid w:val="00B64AAB"/>
    <w:rsid w:val="00B87BAF"/>
    <w:rsid w:val="00B94697"/>
    <w:rsid w:val="00BA11FA"/>
    <w:rsid w:val="00BA48DF"/>
    <w:rsid w:val="00BA7035"/>
    <w:rsid w:val="00BB2F51"/>
    <w:rsid w:val="00BC0718"/>
    <w:rsid w:val="00BC3F6D"/>
    <w:rsid w:val="00BC5914"/>
    <w:rsid w:val="00BE64D5"/>
    <w:rsid w:val="00BF220A"/>
    <w:rsid w:val="00BF659E"/>
    <w:rsid w:val="00C001EB"/>
    <w:rsid w:val="00C025F9"/>
    <w:rsid w:val="00C075F2"/>
    <w:rsid w:val="00C108EF"/>
    <w:rsid w:val="00C11364"/>
    <w:rsid w:val="00C13141"/>
    <w:rsid w:val="00C15472"/>
    <w:rsid w:val="00C15629"/>
    <w:rsid w:val="00C17584"/>
    <w:rsid w:val="00C20978"/>
    <w:rsid w:val="00C20AF3"/>
    <w:rsid w:val="00C22C94"/>
    <w:rsid w:val="00C23C1E"/>
    <w:rsid w:val="00C253D1"/>
    <w:rsid w:val="00C5279F"/>
    <w:rsid w:val="00C535C7"/>
    <w:rsid w:val="00C679BB"/>
    <w:rsid w:val="00C7547E"/>
    <w:rsid w:val="00C759EA"/>
    <w:rsid w:val="00C86FBA"/>
    <w:rsid w:val="00C965B0"/>
    <w:rsid w:val="00CB14BF"/>
    <w:rsid w:val="00CC33D8"/>
    <w:rsid w:val="00CD250A"/>
    <w:rsid w:val="00CE0868"/>
    <w:rsid w:val="00CE2D3D"/>
    <w:rsid w:val="00CE3DA6"/>
    <w:rsid w:val="00CE51DB"/>
    <w:rsid w:val="00CF3DEE"/>
    <w:rsid w:val="00D043FE"/>
    <w:rsid w:val="00D07709"/>
    <w:rsid w:val="00D22E47"/>
    <w:rsid w:val="00D26BC9"/>
    <w:rsid w:val="00D36E9B"/>
    <w:rsid w:val="00D4053A"/>
    <w:rsid w:val="00D45D14"/>
    <w:rsid w:val="00D54A5F"/>
    <w:rsid w:val="00D57B50"/>
    <w:rsid w:val="00D61E0F"/>
    <w:rsid w:val="00D654A8"/>
    <w:rsid w:val="00D65923"/>
    <w:rsid w:val="00D662E8"/>
    <w:rsid w:val="00D67AB3"/>
    <w:rsid w:val="00D70705"/>
    <w:rsid w:val="00D72798"/>
    <w:rsid w:val="00D76442"/>
    <w:rsid w:val="00D80965"/>
    <w:rsid w:val="00D90E6B"/>
    <w:rsid w:val="00DB00D7"/>
    <w:rsid w:val="00DC26A3"/>
    <w:rsid w:val="00DE1089"/>
    <w:rsid w:val="00DE326C"/>
    <w:rsid w:val="00DE5B5A"/>
    <w:rsid w:val="00DF13D6"/>
    <w:rsid w:val="00DF17DE"/>
    <w:rsid w:val="00DF2939"/>
    <w:rsid w:val="00DF4FEB"/>
    <w:rsid w:val="00DF7EC6"/>
    <w:rsid w:val="00E01E5D"/>
    <w:rsid w:val="00E02BB0"/>
    <w:rsid w:val="00E102D9"/>
    <w:rsid w:val="00E10924"/>
    <w:rsid w:val="00E17342"/>
    <w:rsid w:val="00E23F81"/>
    <w:rsid w:val="00E26F27"/>
    <w:rsid w:val="00E270C0"/>
    <w:rsid w:val="00E32E8E"/>
    <w:rsid w:val="00E342E1"/>
    <w:rsid w:val="00E34B94"/>
    <w:rsid w:val="00E45091"/>
    <w:rsid w:val="00E56ED7"/>
    <w:rsid w:val="00E6315D"/>
    <w:rsid w:val="00E64544"/>
    <w:rsid w:val="00E719BC"/>
    <w:rsid w:val="00E73CBE"/>
    <w:rsid w:val="00E9258D"/>
    <w:rsid w:val="00E9360E"/>
    <w:rsid w:val="00E979D1"/>
    <w:rsid w:val="00EB76B6"/>
    <w:rsid w:val="00EB7949"/>
    <w:rsid w:val="00EE4456"/>
    <w:rsid w:val="00EF1895"/>
    <w:rsid w:val="00F04E2F"/>
    <w:rsid w:val="00F0550C"/>
    <w:rsid w:val="00F05AE8"/>
    <w:rsid w:val="00F15472"/>
    <w:rsid w:val="00F23937"/>
    <w:rsid w:val="00F3660B"/>
    <w:rsid w:val="00F432EF"/>
    <w:rsid w:val="00F43DF9"/>
    <w:rsid w:val="00F4455D"/>
    <w:rsid w:val="00F64032"/>
    <w:rsid w:val="00F71085"/>
    <w:rsid w:val="00F74204"/>
    <w:rsid w:val="00F870DA"/>
    <w:rsid w:val="00F959BA"/>
    <w:rsid w:val="00FA499D"/>
    <w:rsid w:val="00FA7C45"/>
    <w:rsid w:val="00FB1B2C"/>
    <w:rsid w:val="00FB33F3"/>
    <w:rsid w:val="00FB36B2"/>
    <w:rsid w:val="00FB4316"/>
    <w:rsid w:val="00FC1374"/>
    <w:rsid w:val="00FD18D3"/>
    <w:rsid w:val="00FF4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957"/>
    <w:pPr>
      <w:bidi/>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B0B"/>
    <w:rPr>
      <w:color w:val="0563C1"/>
      <w:u w:val="single"/>
    </w:rPr>
  </w:style>
  <w:style w:type="paragraph" w:styleId="ListParagraph">
    <w:name w:val="List Paragraph"/>
    <w:basedOn w:val="Normal"/>
    <w:uiPriority w:val="34"/>
    <w:qFormat/>
    <w:rsid w:val="00413D1B"/>
    <w:pPr>
      <w:bidi w:val="0"/>
      <w:spacing w:after="160" w:line="259" w:lineRule="auto"/>
      <w:ind w:left="720"/>
      <w:contextualSpacing/>
    </w:pPr>
    <w:rPr>
      <w:rFonts w:ascii="Calibri" w:eastAsia="Calibri" w:hAnsi="Calibri" w:cs="Arial"/>
      <w:sz w:val="22"/>
      <w:szCs w:val="22"/>
    </w:rPr>
  </w:style>
  <w:style w:type="paragraph" w:styleId="Header">
    <w:name w:val="header"/>
    <w:basedOn w:val="Normal"/>
    <w:link w:val="HeaderChar"/>
    <w:rsid w:val="00A00732"/>
    <w:pPr>
      <w:tabs>
        <w:tab w:val="center" w:pos="4680"/>
        <w:tab w:val="right" w:pos="9360"/>
      </w:tabs>
    </w:pPr>
  </w:style>
  <w:style w:type="character" w:customStyle="1" w:styleId="HeaderChar">
    <w:name w:val="Header Char"/>
    <w:link w:val="Header"/>
    <w:rsid w:val="00A00732"/>
    <w:rPr>
      <w:rFonts w:eastAsia="Times New Roman"/>
      <w:sz w:val="24"/>
      <w:szCs w:val="24"/>
    </w:rPr>
  </w:style>
  <w:style w:type="paragraph" w:styleId="Footer">
    <w:name w:val="footer"/>
    <w:basedOn w:val="Normal"/>
    <w:link w:val="FooterChar"/>
    <w:rsid w:val="00A00732"/>
    <w:pPr>
      <w:tabs>
        <w:tab w:val="center" w:pos="4680"/>
        <w:tab w:val="right" w:pos="9360"/>
      </w:tabs>
    </w:pPr>
  </w:style>
  <w:style w:type="character" w:customStyle="1" w:styleId="FooterChar">
    <w:name w:val="Footer Char"/>
    <w:link w:val="Footer"/>
    <w:rsid w:val="00A00732"/>
    <w:rPr>
      <w:rFonts w:eastAsia="Times New Roman"/>
      <w:sz w:val="24"/>
      <w:szCs w:val="24"/>
    </w:rPr>
  </w:style>
  <w:style w:type="paragraph" w:styleId="NoSpacing">
    <w:name w:val="No Spacing"/>
    <w:link w:val="NoSpacingChar"/>
    <w:qFormat/>
    <w:rsid w:val="000C6C2F"/>
    <w:pPr>
      <w:bidi/>
    </w:pPr>
    <w:rPr>
      <w:rFonts w:eastAsia="Times New Roman"/>
      <w:sz w:val="24"/>
      <w:szCs w:val="24"/>
      <w:lang w:eastAsia="en-US"/>
    </w:rPr>
  </w:style>
  <w:style w:type="character" w:customStyle="1" w:styleId="msonormal0">
    <w:name w:val="msonormal0"/>
    <w:rsid w:val="000C6C2F"/>
    <w:rPr>
      <w:rFonts w:cs="Times New Roman"/>
    </w:rPr>
  </w:style>
  <w:style w:type="character" w:styleId="CommentReference">
    <w:name w:val="annotation reference"/>
    <w:rsid w:val="006723EA"/>
    <w:rPr>
      <w:sz w:val="16"/>
      <w:szCs w:val="16"/>
    </w:rPr>
  </w:style>
  <w:style w:type="paragraph" w:styleId="CommentText">
    <w:name w:val="annotation text"/>
    <w:basedOn w:val="Normal"/>
    <w:link w:val="CommentTextChar"/>
    <w:rsid w:val="006723EA"/>
    <w:rPr>
      <w:sz w:val="20"/>
      <w:szCs w:val="20"/>
    </w:rPr>
  </w:style>
  <w:style w:type="character" w:customStyle="1" w:styleId="CommentTextChar">
    <w:name w:val="Comment Text Char"/>
    <w:link w:val="CommentText"/>
    <w:rsid w:val="006723EA"/>
    <w:rPr>
      <w:rFonts w:eastAsia="Times New Roman"/>
      <w:lang w:val="en-US" w:eastAsia="en-US"/>
    </w:rPr>
  </w:style>
  <w:style w:type="paragraph" w:styleId="CommentSubject">
    <w:name w:val="annotation subject"/>
    <w:basedOn w:val="CommentText"/>
    <w:next w:val="CommentText"/>
    <w:link w:val="CommentSubjectChar"/>
    <w:rsid w:val="006723EA"/>
    <w:rPr>
      <w:b/>
      <w:bCs/>
    </w:rPr>
  </w:style>
  <w:style w:type="character" w:customStyle="1" w:styleId="CommentSubjectChar">
    <w:name w:val="Comment Subject Char"/>
    <w:link w:val="CommentSubject"/>
    <w:rsid w:val="006723EA"/>
    <w:rPr>
      <w:rFonts w:eastAsia="Times New Roman"/>
      <w:b/>
      <w:bCs/>
      <w:lang w:val="en-US" w:eastAsia="en-US"/>
    </w:rPr>
  </w:style>
  <w:style w:type="paragraph" w:styleId="BalloonText">
    <w:name w:val="Balloon Text"/>
    <w:basedOn w:val="Normal"/>
    <w:link w:val="BalloonTextChar"/>
    <w:rsid w:val="006723EA"/>
    <w:rPr>
      <w:rFonts w:ascii="Segoe UI" w:hAnsi="Segoe UI"/>
      <w:sz w:val="18"/>
      <w:szCs w:val="18"/>
    </w:rPr>
  </w:style>
  <w:style w:type="character" w:customStyle="1" w:styleId="BalloonTextChar">
    <w:name w:val="Balloon Text Char"/>
    <w:link w:val="BalloonText"/>
    <w:rsid w:val="006723EA"/>
    <w:rPr>
      <w:rFonts w:ascii="Segoe UI" w:eastAsia="Times New Roman" w:hAnsi="Segoe UI" w:cs="Segoe UI"/>
      <w:sz w:val="18"/>
      <w:szCs w:val="18"/>
      <w:lang w:val="en-US" w:eastAsia="en-US"/>
    </w:rPr>
  </w:style>
  <w:style w:type="character" w:customStyle="1" w:styleId="NoSpacingChar">
    <w:name w:val="No Spacing Char"/>
    <w:basedOn w:val="DefaultParagraphFont"/>
    <w:link w:val="NoSpacing"/>
    <w:locked/>
    <w:rsid w:val="006803B0"/>
    <w:rPr>
      <w:rFonts w:eastAsia="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yhut@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cbj06021608"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5F9F-59FB-4111-8820-A9155F12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3599</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Prophylactic Cranial Irradiation in HER-2 Positive Metastatic Breast Cancer Patients</vt:lpstr>
    </vt:vector>
  </TitlesOfParts>
  <Company>&lt;egyptian hak&gt;</Company>
  <LinksUpToDate>false</LinksUpToDate>
  <CharactersWithSpaces>22868</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524336</vt:i4>
      </vt:variant>
      <vt:variant>
        <vt:i4>0</vt:i4>
      </vt:variant>
      <vt:variant>
        <vt:i4>0</vt:i4>
      </vt:variant>
      <vt:variant>
        <vt:i4>5</vt:i4>
      </vt:variant>
      <vt:variant>
        <vt:lpwstr>mailto:coyhut@gmail.com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Prophylactic Cranial Irradiation in HER-2 Positive Metastatic Breast Cancer Patients</dc:title>
  <dc:creator>Over Boss</dc:creator>
  <cp:lastModifiedBy>Administrator</cp:lastModifiedBy>
  <cp:revision>5</cp:revision>
  <cp:lastPrinted>2016-05-25T02:15:00Z</cp:lastPrinted>
  <dcterms:created xsi:type="dcterms:W3CDTF">2016-05-25T08:40:00Z</dcterms:created>
  <dcterms:modified xsi:type="dcterms:W3CDTF">2016-05-25T02:48:00Z</dcterms:modified>
</cp:coreProperties>
</file>