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53" w:rsidRDefault="006D3A53" w:rsidP="00302EB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302EB7">
        <w:rPr>
          <w:b/>
          <w:bCs/>
          <w:color w:val="000000"/>
          <w:sz w:val="20"/>
          <w:szCs w:val="20"/>
        </w:rPr>
        <w:t xml:space="preserve">Bladder preservation by </w:t>
      </w:r>
      <w:proofErr w:type="spellStart"/>
      <w:r w:rsidRPr="00302EB7">
        <w:rPr>
          <w:b/>
          <w:bCs/>
          <w:color w:val="000000"/>
          <w:sz w:val="20"/>
          <w:szCs w:val="20"/>
        </w:rPr>
        <w:t>neoadjuvant</w:t>
      </w:r>
      <w:proofErr w:type="spellEnd"/>
      <w:r w:rsidRPr="00302EB7">
        <w:rPr>
          <w:b/>
          <w:bCs/>
          <w:color w:val="000000"/>
          <w:sz w:val="20"/>
          <w:szCs w:val="20"/>
        </w:rPr>
        <w:t xml:space="preserve"> chemotherapy followed by </w:t>
      </w:r>
      <w:proofErr w:type="spellStart"/>
      <w:r w:rsidRPr="00302EB7">
        <w:rPr>
          <w:b/>
          <w:bCs/>
          <w:color w:val="000000"/>
          <w:sz w:val="20"/>
          <w:szCs w:val="20"/>
        </w:rPr>
        <w:t>gemcitabine</w:t>
      </w:r>
      <w:proofErr w:type="spellEnd"/>
      <w:r w:rsidRPr="00302EB7">
        <w:rPr>
          <w:b/>
          <w:bCs/>
          <w:color w:val="000000"/>
          <w:sz w:val="20"/>
          <w:szCs w:val="20"/>
        </w:rPr>
        <w:t xml:space="preserve"> as </w:t>
      </w:r>
      <w:proofErr w:type="spellStart"/>
      <w:r w:rsidRPr="00302EB7">
        <w:rPr>
          <w:b/>
          <w:bCs/>
          <w:color w:val="000000"/>
          <w:sz w:val="20"/>
          <w:szCs w:val="20"/>
        </w:rPr>
        <w:t>radiosensitizer</w:t>
      </w:r>
      <w:proofErr w:type="spellEnd"/>
      <w:r w:rsidR="00D90108" w:rsidRPr="00302EB7">
        <w:rPr>
          <w:b/>
          <w:bCs/>
          <w:color w:val="000000"/>
          <w:sz w:val="20"/>
          <w:szCs w:val="20"/>
        </w:rPr>
        <w:t xml:space="preserve"> </w:t>
      </w:r>
      <w:r w:rsidRPr="00302EB7">
        <w:rPr>
          <w:b/>
          <w:bCs/>
          <w:color w:val="000000"/>
          <w:sz w:val="20"/>
          <w:szCs w:val="20"/>
        </w:rPr>
        <w:t>for muscle-invasive transitional cell carcinoma of the urinary bladder after maximal TURBT</w:t>
      </w:r>
    </w:p>
    <w:p w:rsidR="00302EB7" w:rsidRPr="00302EB7" w:rsidRDefault="00302EB7" w:rsidP="00302EB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C1014" w:rsidRDefault="00EC1014" w:rsidP="00302EB7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vertAlign w:val="superscript"/>
        </w:rPr>
      </w:pPr>
      <w:proofErr w:type="spellStart"/>
      <w:r w:rsidRPr="00E74748">
        <w:rPr>
          <w:color w:val="000000"/>
          <w:sz w:val="20"/>
          <w:szCs w:val="20"/>
        </w:rPr>
        <w:t>Alaa</w:t>
      </w:r>
      <w:proofErr w:type="spellEnd"/>
      <w:r w:rsidRPr="00E74748">
        <w:rPr>
          <w:color w:val="000000"/>
          <w:sz w:val="20"/>
          <w:szCs w:val="20"/>
        </w:rPr>
        <w:t xml:space="preserve"> fayed,</w:t>
      </w:r>
      <w:r w:rsidR="00FF4832" w:rsidRPr="00E74748">
        <w:rPr>
          <w:color w:val="000000"/>
          <w:sz w:val="20"/>
          <w:szCs w:val="20"/>
        </w:rPr>
        <w:t xml:space="preserve"> </w:t>
      </w:r>
      <w:r w:rsidRPr="00E74748">
        <w:rPr>
          <w:color w:val="000000"/>
          <w:sz w:val="20"/>
          <w:szCs w:val="20"/>
        </w:rPr>
        <w:t>M.D.</w:t>
      </w:r>
      <w:r w:rsidR="00D61BE7" w:rsidRPr="00E74748">
        <w:rPr>
          <w:color w:val="000000"/>
          <w:sz w:val="20"/>
          <w:szCs w:val="20"/>
          <w:vertAlign w:val="superscript"/>
        </w:rPr>
        <w:t>1</w:t>
      </w:r>
      <w:r w:rsidRPr="00E74748">
        <w:rPr>
          <w:color w:val="000000"/>
          <w:sz w:val="20"/>
          <w:szCs w:val="20"/>
        </w:rPr>
        <w:t>,</w:t>
      </w:r>
      <w:r w:rsidR="00D61BE7" w:rsidRPr="00E74748">
        <w:rPr>
          <w:color w:val="000000"/>
          <w:sz w:val="20"/>
          <w:szCs w:val="20"/>
        </w:rPr>
        <w:t xml:space="preserve"> </w:t>
      </w:r>
      <w:proofErr w:type="spellStart"/>
      <w:r w:rsidR="00A623DD" w:rsidRPr="00E74748">
        <w:rPr>
          <w:color w:val="000000"/>
          <w:sz w:val="20"/>
          <w:szCs w:val="20"/>
        </w:rPr>
        <w:t>A</w:t>
      </w:r>
      <w:r w:rsidR="00D61BE7" w:rsidRPr="00E74748">
        <w:rPr>
          <w:color w:val="000000"/>
          <w:sz w:val="20"/>
          <w:szCs w:val="20"/>
        </w:rPr>
        <w:t>bd</w:t>
      </w:r>
      <w:proofErr w:type="spellEnd"/>
      <w:r w:rsidR="00D61BE7" w:rsidRPr="00E74748">
        <w:rPr>
          <w:color w:val="000000"/>
          <w:sz w:val="20"/>
          <w:szCs w:val="20"/>
        </w:rPr>
        <w:t xml:space="preserve"> el </w:t>
      </w:r>
      <w:proofErr w:type="spellStart"/>
      <w:r w:rsidR="00D61BE7" w:rsidRPr="00E74748">
        <w:rPr>
          <w:color w:val="000000"/>
          <w:sz w:val="20"/>
          <w:szCs w:val="20"/>
        </w:rPr>
        <w:t>motaleb</w:t>
      </w:r>
      <w:proofErr w:type="spellEnd"/>
      <w:r w:rsidR="00D61BE7" w:rsidRPr="00E74748">
        <w:rPr>
          <w:color w:val="000000"/>
          <w:sz w:val="20"/>
          <w:szCs w:val="20"/>
        </w:rPr>
        <w:t xml:space="preserve"> </w:t>
      </w:r>
      <w:proofErr w:type="spellStart"/>
      <w:r w:rsidR="00D61BE7" w:rsidRPr="00E74748">
        <w:rPr>
          <w:color w:val="000000"/>
          <w:sz w:val="20"/>
          <w:szCs w:val="20"/>
        </w:rPr>
        <w:t>mohammed</w:t>
      </w:r>
      <w:proofErr w:type="spellEnd"/>
      <w:r w:rsidR="00D61BE7" w:rsidRPr="00E74748">
        <w:rPr>
          <w:color w:val="000000"/>
          <w:sz w:val="20"/>
          <w:szCs w:val="20"/>
        </w:rPr>
        <w:t>, M.D.</w:t>
      </w:r>
      <w:r w:rsidR="00D61BE7" w:rsidRPr="00E74748">
        <w:rPr>
          <w:color w:val="000000"/>
          <w:sz w:val="20"/>
          <w:szCs w:val="20"/>
          <w:vertAlign w:val="superscript"/>
        </w:rPr>
        <w:t>1</w:t>
      </w:r>
      <w:r w:rsidR="00D61BE7" w:rsidRPr="00E74748">
        <w:rPr>
          <w:color w:val="000000"/>
          <w:sz w:val="20"/>
          <w:szCs w:val="20"/>
        </w:rPr>
        <w:t xml:space="preserve">, </w:t>
      </w:r>
      <w:proofErr w:type="spellStart"/>
      <w:r w:rsidR="00D61BE7" w:rsidRPr="00E74748">
        <w:rPr>
          <w:color w:val="000000"/>
          <w:sz w:val="20"/>
          <w:szCs w:val="20"/>
        </w:rPr>
        <w:t>Maged</w:t>
      </w:r>
      <w:proofErr w:type="spellEnd"/>
      <w:r w:rsidR="00D61BE7" w:rsidRPr="00E74748">
        <w:rPr>
          <w:color w:val="000000"/>
          <w:sz w:val="20"/>
          <w:szCs w:val="20"/>
        </w:rPr>
        <w:t xml:space="preserve"> M. Ali, M.D.</w:t>
      </w:r>
      <w:r w:rsidR="00D61BE7" w:rsidRPr="00E74748">
        <w:rPr>
          <w:color w:val="000000"/>
          <w:sz w:val="20"/>
          <w:szCs w:val="20"/>
          <w:vertAlign w:val="superscript"/>
        </w:rPr>
        <w:t>2</w:t>
      </w:r>
      <w:r w:rsidR="00D61BE7" w:rsidRPr="00E74748">
        <w:rPr>
          <w:color w:val="000000"/>
          <w:sz w:val="20"/>
          <w:szCs w:val="20"/>
        </w:rPr>
        <w:t xml:space="preserve">, </w:t>
      </w:r>
      <w:proofErr w:type="spellStart"/>
      <w:r w:rsidR="00D61BE7" w:rsidRPr="00E74748">
        <w:rPr>
          <w:color w:val="000000"/>
          <w:sz w:val="20"/>
          <w:szCs w:val="20"/>
        </w:rPr>
        <w:t>Esam</w:t>
      </w:r>
      <w:proofErr w:type="spellEnd"/>
      <w:r w:rsidR="00D61BE7" w:rsidRPr="00E74748">
        <w:rPr>
          <w:color w:val="000000"/>
          <w:sz w:val="20"/>
          <w:szCs w:val="20"/>
        </w:rPr>
        <w:t xml:space="preserve"> E.A. </w:t>
      </w:r>
      <w:proofErr w:type="spellStart"/>
      <w:r w:rsidR="00D61BE7" w:rsidRPr="00E74748">
        <w:rPr>
          <w:color w:val="000000"/>
          <w:sz w:val="20"/>
          <w:szCs w:val="20"/>
        </w:rPr>
        <w:t>Dessoky</w:t>
      </w:r>
      <w:proofErr w:type="spellEnd"/>
      <w:r w:rsidR="00D61BE7" w:rsidRPr="00E74748">
        <w:rPr>
          <w:color w:val="000000"/>
          <w:sz w:val="20"/>
          <w:szCs w:val="20"/>
        </w:rPr>
        <w:t>, M.D.</w:t>
      </w:r>
      <w:r w:rsidR="00D61BE7" w:rsidRPr="00E74748">
        <w:rPr>
          <w:color w:val="000000"/>
          <w:sz w:val="20"/>
          <w:szCs w:val="20"/>
          <w:vertAlign w:val="superscript"/>
        </w:rPr>
        <w:t>2</w:t>
      </w:r>
    </w:p>
    <w:p w:rsidR="00302EB7" w:rsidRPr="00302EB7" w:rsidRDefault="00302EB7" w:rsidP="00302EB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A124A" w:rsidRPr="00302EB7" w:rsidRDefault="002A124A" w:rsidP="00302E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2EB7">
        <w:rPr>
          <w:sz w:val="20"/>
          <w:szCs w:val="20"/>
          <w:vertAlign w:val="superscript"/>
        </w:rPr>
        <w:t>1</w:t>
      </w:r>
      <w:r w:rsidRPr="00302EB7">
        <w:rPr>
          <w:sz w:val="20"/>
          <w:szCs w:val="20"/>
        </w:rPr>
        <w:t xml:space="preserve">Clinical Oncology and Nuclear Medicine Department, Faculty of Medicine, </w:t>
      </w:r>
      <w:proofErr w:type="spellStart"/>
      <w:r w:rsidRPr="00302EB7">
        <w:rPr>
          <w:sz w:val="20"/>
          <w:szCs w:val="20"/>
        </w:rPr>
        <w:t>Zagazig</w:t>
      </w:r>
      <w:proofErr w:type="spellEnd"/>
      <w:r w:rsidRPr="00302EB7">
        <w:rPr>
          <w:sz w:val="20"/>
          <w:szCs w:val="20"/>
        </w:rPr>
        <w:t xml:space="preserve"> University ,Egypt.</w:t>
      </w:r>
    </w:p>
    <w:p w:rsidR="002A124A" w:rsidRPr="00302EB7" w:rsidRDefault="002A124A" w:rsidP="00302E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2EB7">
        <w:rPr>
          <w:sz w:val="20"/>
          <w:szCs w:val="20"/>
          <w:vertAlign w:val="superscript"/>
        </w:rPr>
        <w:t>2</w:t>
      </w:r>
      <w:r w:rsidRPr="00302EB7">
        <w:rPr>
          <w:sz w:val="20"/>
          <w:szCs w:val="20"/>
        </w:rPr>
        <w:t xml:space="preserve">Urology Department, Faculty of Medicine </w:t>
      </w:r>
      <w:proofErr w:type="spellStart"/>
      <w:r w:rsidRPr="00302EB7">
        <w:rPr>
          <w:sz w:val="20"/>
          <w:szCs w:val="20"/>
        </w:rPr>
        <w:t>Zagazig</w:t>
      </w:r>
      <w:proofErr w:type="spellEnd"/>
      <w:r w:rsidRPr="00302EB7">
        <w:rPr>
          <w:sz w:val="20"/>
          <w:szCs w:val="20"/>
        </w:rPr>
        <w:t xml:space="preserve"> University, Egypt.</w:t>
      </w:r>
    </w:p>
    <w:p w:rsidR="00BB4820" w:rsidRDefault="008F736A" w:rsidP="00302EB7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8" w:history="1">
        <w:r w:rsidR="00302EB7" w:rsidRPr="002B60CC">
          <w:rPr>
            <w:rStyle w:val="Hyperlink"/>
            <w:sz w:val="20"/>
            <w:szCs w:val="20"/>
          </w:rPr>
          <w:t>fayed_alaa@yahoo.com</w:t>
        </w:r>
      </w:hyperlink>
    </w:p>
    <w:p w:rsidR="00302EB7" w:rsidRDefault="00302EB7" w:rsidP="00302EB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31EC" w:rsidRPr="00C73DB9" w:rsidRDefault="006D3A53" w:rsidP="00C73DB9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  <w:sz w:val="20"/>
          <w:szCs w:val="20"/>
        </w:rPr>
      </w:pPr>
      <w:r w:rsidRPr="00302EB7">
        <w:rPr>
          <w:b/>
          <w:bCs/>
          <w:color w:val="000000"/>
          <w:sz w:val="20"/>
          <w:szCs w:val="20"/>
        </w:rPr>
        <w:t>Abstract:</w:t>
      </w:r>
      <w:r w:rsidR="00302EB7">
        <w:rPr>
          <w:b/>
          <w:bCs/>
          <w:color w:val="000000"/>
          <w:sz w:val="20"/>
          <w:szCs w:val="20"/>
        </w:rPr>
        <w:t xml:space="preserve"> </w:t>
      </w:r>
      <w:r w:rsidRPr="00302EB7">
        <w:rPr>
          <w:b/>
          <w:bCs/>
          <w:color w:val="000000"/>
          <w:sz w:val="20"/>
          <w:szCs w:val="20"/>
        </w:rPr>
        <w:t>Objectives: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To evaluate prospective phase II study of </w:t>
      </w:r>
      <w:proofErr w:type="spellStart"/>
      <w:r w:rsidRPr="00302EB7">
        <w:rPr>
          <w:color w:val="000000"/>
          <w:sz w:val="20"/>
          <w:szCs w:val="20"/>
        </w:rPr>
        <w:t>neoadjuvant</w:t>
      </w:r>
      <w:proofErr w:type="spellEnd"/>
      <w:r w:rsidRPr="00302EB7">
        <w:rPr>
          <w:color w:val="000000"/>
          <w:sz w:val="20"/>
          <w:szCs w:val="20"/>
        </w:rPr>
        <w:t xml:space="preserve"> chemotherapy and </w:t>
      </w:r>
      <w:proofErr w:type="spellStart"/>
      <w:r w:rsidRPr="00302EB7">
        <w:rPr>
          <w:color w:val="000000"/>
          <w:sz w:val="20"/>
          <w:szCs w:val="20"/>
        </w:rPr>
        <w:t>gemcitabine</w:t>
      </w:r>
      <w:proofErr w:type="spellEnd"/>
      <w:r w:rsidRPr="00302EB7">
        <w:rPr>
          <w:color w:val="000000"/>
          <w:sz w:val="20"/>
          <w:szCs w:val="20"/>
        </w:rPr>
        <w:t xml:space="preserve"> as</w:t>
      </w:r>
      <w:r w:rsidR="00D90108" w:rsidRPr="00302EB7">
        <w:rPr>
          <w:color w:val="000000"/>
          <w:sz w:val="20"/>
          <w:szCs w:val="20"/>
        </w:rPr>
        <w:t xml:space="preserve"> </w:t>
      </w:r>
      <w:proofErr w:type="spellStart"/>
      <w:r w:rsidRPr="00302EB7">
        <w:rPr>
          <w:color w:val="000000"/>
          <w:sz w:val="20"/>
          <w:szCs w:val="20"/>
        </w:rPr>
        <w:t>radiosensetizer</w:t>
      </w:r>
      <w:proofErr w:type="spellEnd"/>
      <w:r w:rsidRPr="00302EB7">
        <w:rPr>
          <w:color w:val="000000"/>
          <w:sz w:val="20"/>
          <w:szCs w:val="20"/>
        </w:rPr>
        <w:t xml:space="preserve"> in conservative management of muscle-invasive transitional cell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carcinoma of the urinary bladder</w:t>
      </w:r>
      <w:r w:rsidR="00D90108" w:rsidRPr="00302EB7">
        <w:rPr>
          <w:b/>
          <w:bCs/>
          <w:color w:val="000000"/>
          <w:sz w:val="20"/>
          <w:szCs w:val="20"/>
        </w:rPr>
        <w:t xml:space="preserve">. </w:t>
      </w:r>
      <w:r w:rsidRPr="00302EB7">
        <w:rPr>
          <w:b/>
          <w:bCs/>
          <w:color w:val="000000"/>
          <w:sz w:val="20"/>
          <w:szCs w:val="20"/>
        </w:rPr>
        <w:t>Patients and methods: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Forty eight patients with transitional cell carcinoma, stage T2b-T4aN0M0, bladder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cancer underwent maximal TURBT followed by </w:t>
      </w:r>
      <w:proofErr w:type="spellStart"/>
      <w:r w:rsidRPr="00302EB7">
        <w:rPr>
          <w:color w:val="000000"/>
          <w:sz w:val="20"/>
          <w:szCs w:val="20"/>
        </w:rPr>
        <w:t>neoadjuvant</w:t>
      </w:r>
      <w:proofErr w:type="spellEnd"/>
      <w:r w:rsidRPr="00302EB7">
        <w:rPr>
          <w:color w:val="000000"/>
          <w:sz w:val="20"/>
          <w:szCs w:val="20"/>
        </w:rPr>
        <w:t xml:space="preserve"> chemotherapy</w:t>
      </w:r>
      <w:r w:rsidR="00D90108" w:rsidRPr="00302EB7">
        <w:rPr>
          <w:color w:val="000000"/>
          <w:sz w:val="20"/>
          <w:szCs w:val="20"/>
        </w:rPr>
        <w:t xml:space="preserve"> </w:t>
      </w:r>
      <w:proofErr w:type="spellStart"/>
      <w:r w:rsidRPr="00302EB7">
        <w:rPr>
          <w:color w:val="000000"/>
          <w:sz w:val="20"/>
          <w:szCs w:val="20"/>
        </w:rPr>
        <w:t>carboplatin</w:t>
      </w:r>
      <w:proofErr w:type="spellEnd"/>
      <w:r w:rsidRPr="00302EB7">
        <w:rPr>
          <w:color w:val="000000"/>
          <w:sz w:val="20"/>
          <w:szCs w:val="20"/>
        </w:rPr>
        <w:t xml:space="preserve"> AUC5 D1 and </w:t>
      </w:r>
      <w:proofErr w:type="spellStart"/>
      <w:r w:rsidRPr="00302EB7">
        <w:rPr>
          <w:color w:val="000000"/>
          <w:sz w:val="20"/>
          <w:szCs w:val="20"/>
        </w:rPr>
        <w:t>gemcitabine</w:t>
      </w:r>
      <w:proofErr w:type="spellEnd"/>
      <w:r w:rsidRPr="00302EB7">
        <w:rPr>
          <w:color w:val="000000"/>
          <w:sz w:val="20"/>
          <w:szCs w:val="20"/>
        </w:rPr>
        <w:t xml:space="preserve"> 1000 mg/m</w:t>
      </w:r>
      <w:r w:rsidR="007C5C58" w:rsidRPr="00302EB7">
        <w:rPr>
          <w:color w:val="000000"/>
          <w:sz w:val="20"/>
          <w:szCs w:val="20"/>
          <w:vertAlign w:val="superscript"/>
        </w:rPr>
        <w:t>2</w:t>
      </w:r>
      <w:r w:rsidRPr="00302EB7">
        <w:rPr>
          <w:color w:val="000000"/>
          <w:sz w:val="20"/>
          <w:szCs w:val="20"/>
        </w:rPr>
        <w:t xml:space="preserve"> D1and D8 repeated every 21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days for 2 cycles followed by concurrent radiation 65Gy with </w:t>
      </w:r>
      <w:proofErr w:type="spellStart"/>
      <w:r w:rsidRPr="00302EB7">
        <w:rPr>
          <w:color w:val="000000"/>
          <w:sz w:val="20"/>
          <w:szCs w:val="20"/>
        </w:rPr>
        <w:t>Gemcitabine</w:t>
      </w:r>
      <w:proofErr w:type="spellEnd"/>
      <w:r w:rsidRPr="00302EB7">
        <w:rPr>
          <w:color w:val="000000"/>
          <w:sz w:val="20"/>
          <w:szCs w:val="20"/>
        </w:rPr>
        <w:t xml:space="preserve"> given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intravenously at 100 mg/m</w:t>
      </w:r>
      <w:r w:rsidRPr="00302EB7">
        <w:rPr>
          <w:color w:val="000000"/>
          <w:sz w:val="20"/>
          <w:szCs w:val="20"/>
          <w:vertAlign w:val="superscript"/>
        </w:rPr>
        <w:t>2</w:t>
      </w:r>
      <w:r w:rsidRPr="00302EB7">
        <w:rPr>
          <w:color w:val="000000"/>
          <w:sz w:val="20"/>
          <w:szCs w:val="20"/>
        </w:rPr>
        <w:t xml:space="preserve"> on days 1, 8, 15, 22, 29, 36. The end points were</w:t>
      </w:r>
      <w:r w:rsidR="00D90108" w:rsidRPr="00302EB7">
        <w:rPr>
          <w:color w:val="000000"/>
          <w:sz w:val="20"/>
          <w:szCs w:val="20"/>
        </w:rPr>
        <w:t xml:space="preserve"> </w:t>
      </w:r>
      <w:r w:rsidR="007C5C58" w:rsidRPr="00302EB7">
        <w:rPr>
          <w:color w:val="000000"/>
          <w:sz w:val="20"/>
          <w:szCs w:val="20"/>
        </w:rPr>
        <w:t>tumor response, toxicity</w:t>
      </w:r>
      <w:r w:rsidRPr="00302EB7">
        <w:rPr>
          <w:color w:val="000000"/>
          <w:sz w:val="20"/>
          <w:szCs w:val="20"/>
        </w:rPr>
        <w:t xml:space="preserve"> and survival.</w:t>
      </w:r>
      <w:r w:rsidR="00D90108" w:rsidRPr="00302EB7">
        <w:rPr>
          <w:b/>
          <w:bCs/>
          <w:color w:val="000000"/>
          <w:sz w:val="20"/>
          <w:szCs w:val="20"/>
        </w:rPr>
        <w:t xml:space="preserve"> </w:t>
      </w:r>
      <w:r w:rsidRPr="00302EB7">
        <w:rPr>
          <w:b/>
          <w:bCs/>
          <w:color w:val="000000"/>
          <w:sz w:val="20"/>
          <w:szCs w:val="20"/>
        </w:rPr>
        <w:t>Results: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The </w:t>
      </w:r>
      <w:proofErr w:type="spellStart"/>
      <w:r w:rsidRPr="00302EB7">
        <w:rPr>
          <w:color w:val="000000"/>
          <w:sz w:val="20"/>
          <w:szCs w:val="20"/>
        </w:rPr>
        <w:t>neoadjuvant</w:t>
      </w:r>
      <w:proofErr w:type="spellEnd"/>
      <w:r w:rsidRPr="00302EB7">
        <w:rPr>
          <w:color w:val="000000"/>
          <w:sz w:val="20"/>
          <w:szCs w:val="20"/>
        </w:rPr>
        <w:t xml:space="preserve"> as well as concurrent </w:t>
      </w:r>
      <w:proofErr w:type="spellStart"/>
      <w:r w:rsidRPr="00302EB7">
        <w:rPr>
          <w:color w:val="000000"/>
          <w:sz w:val="20"/>
          <w:szCs w:val="20"/>
        </w:rPr>
        <w:t>chemoradiotherapy</w:t>
      </w:r>
      <w:proofErr w:type="spellEnd"/>
      <w:r w:rsidRPr="00302EB7">
        <w:rPr>
          <w:color w:val="000000"/>
          <w:sz w:val="20"/>
          <w:szCs w:val="20"/>
        </w:rPr>
        <w:t xml:space="preserve"> were tolerated with</w:t>
      </w:r>
      <w:r w:rsidR="001A0D04" w:rsidRPr="00302EB7">
        <w:rPr>
          <w:color w:val="000000"/>
          <w:sz w:val="20"/>
          <w:szCs w:val="20"/>
        </w:rPr>
        <w:t xml:space="preserve"> low toxicity rates as the </w:t>
      </w:r>
      <w:r w:rsidR="00D21AB2" w:rsidRPr="00302EB7">
        <w:rPr>
          <w:color w:val="000000"/>
          <w:sz w:val="20"/>
          <w:szCs w:val="20"/>
        </w:rPr>
        <w:t>following, Urinary</w:t>
      </w:r>
      <w:r w:rsidR="007C5C58" w:rsidRPr="00302EB7">
        <w:rPr>
          <w:color w:val="000000"/>
          <w:sz w:val="20"/>
          <w:szCs w:val="20"/>
        </w:rPr>
        <w:t xml:space="preserve"> </w:t>
      </w:r>
      <w:r w:rsidR="00D21AB2" w:rsidRPr="00302EB7">
        <w:rPr>
          <w:color w:val="000000"/>
          <w:sz w:val="20"/>
          <w:szCs w:val="20"/>
        </w:rPr>
        <w:t>Bladder</w:t>
      </w:r>
      <w:r w:rsidR="001A0D04" w:rsidRPr="00302EB7">
        <w:rPr>
          <w:color w:val="000000"/>
          <w:sz w:val="20"/>
          <w:szCs w:val="20"/>
        </w:rPr>
        <w:t xml:space="preserve"> </w:t>
      </w:r>
      <w:proofErr w:type="spellStart"/>
      <w:r w:rsidR="001A0D04" w:rsidRPr="00302EB7">
        <w:rPr>
          <w:color w:val="000000"/>
          <w:sz w:val="20"/>
          <w:szCs w:val="20"/>
        </w:rPr>
        <w:t>irritative</w:t>
      </w:r>
      <w:proofErr w:type="spellEnd"/>
      <w:r w:rsidR="001A0D04" w:rsidRPr="00302EB7">
        <w:rPr>
          <w:color w:val="000000"/>
          <w:sz w:val="20"/>
          <w:szCs w:val="20"/>
        </w:rPr>
        <w:t xml:space="preserve"> symptoms developed in 2 patients (4.1%) and successfully managed with</w:t>
      </w:r>
      <w:r w:rsidR="00D90108" w:rsidRPr="00302EB7">
        <w:rPr>
          <w:color w:val="000000"/>
          <w:sz w:val="20"/>
          <w:szCs w:val="20"/>
        </w:rPr>
        <w:t xml:space="preserve"> </w:t>
      </w:r>
      <w:proofErr w:type="spellStart"/>
      <w:r w:rsidR="001A0D04" w:rsidRPr="00302EB7">
        <w:rPr>
          <w:color w:val="000000"/>
          <w:sz w:val="20"/>
          <w:szCs w:val="20"/>
        </w:rPr>
        <w:t>antimuscarinic</w:t>
      </w:r>
      <w:proofErr w:type="spellEnd"/>
      <w:r w:rsidR="001A0D04" w:rsidRPr="00302EB7">
        <w:rPr>
          <w:color w:val="000000"/>
          <w:sz w:val="20"/>
          <w:szCs w:val="20"/>
        </w:rPr>
        <w:t xml:space="preserve">. </w:t>
      </w:r>
      <w:proofErr w:type="spellStart"/>
      <w:r w:rsidR="001A0D04" w:rsidRPr="00302EB7">
        <w:rPr>
          <w:color w:val="000000"/>
          <w:sz w:val="20"/>
          <w:szCs w:val="20"/>
        </w:rPr>
        <w:t>Neutropenia</w:t>
      </w:r>
      <w:proofErr w:type="spellEnd"/>
      <w:r w:rsidR="001A0D04" w:rsidRPr="00302EB7">
        <w:rPr>
          <w:color w:val="000000"/>
          <w:sz w:val="20"/>
          <w:szCs w:val="20"/>
        </w:rPr>
        <w:t xml:space="preserve"> occurred in 4 patients (8.3%) while</w:t>
      </w:r>
      <w:r w:rsidR="00D90108" w:rsidRPr="00302EB7">
        <w:rPr>
          <w:color w:val="000000"/>
          <w:sz w:val="20"/>
          <w:szCs w:val="20"/>
        </w:rPr>
        <w:t xml:space="preserve"> </w:t>
      </w:r>
      <w:r w:rsidR="001A0D04" w:rsidRPr="00302EB7">
        <w:rPr>
          <w:color w:val="000000"/>
          <w:sz w:val="20"/>
          <w:szCs w:val="20"/>
        </w:rPr>
        <w:t xml:space="preserve">febrile </w:t>
      </w:r>
      <w:proofErr w:type="spellStart"/>
      <w:r w:rsidR="001A0D04" w:rsidRPr="00302EB7">
        <w:rPr>
          <w:color w:val="000000"/>
          <w:sz w:val="20"/>
          <w:szCs w:val="20"/>
        </w:rPr>
        <w:t>neutropenis</w:t>
      </w:r>
      <w:proofErr w:type="spellEnd"/>
      <w:r w:rsidR="001A0D04" w:rsidRPr="00302EB7">
        <w:rPr>
          <w:color w:val="000000"/>
          <w:sz w:val="20"/>
          <w:szCs w:val="20"/>
        </w:rPr>
        <w:t xml:space="preserve"> in 1 patient (2%).</w:t>
      </w:r>
      <w:r w:rsidR="007C5C58" w:rsidRPr="00302EB7">
        <w:rPr>
          <w:color w:val="000000"/>
          <w:sz w:val="20"/>
          <w:szCs w:val="20"/>
        </w:rPr>
        <w:t xml:space="preserve"> </w:t>
      </w:r>
      <w:r w:rsidR="001A0D04" w:rsidRPr="00302EB7">
        <w:rPr>
          <w:color w:val="000000"/>
          <w:sz w:val="20"/>
          <w:szCs w:val="20"/>
        </w:rPr>
        <w:t>Nausea and vomiting occurred in 6</w:t>
      </w:r>
      <w:r w:rsidR="007C5C58" w:rsidRPr="00302EB7">
        <w:rPr>
          <w:color w:val="000000"/>
          <w:sz w:val="20"/>
          <w:szCs w:val="20"/>
        </w:rPr>
        <w:t xml:space="preserve"> </w:t>
      </w:r>
      <w:r w:rsidR="001A0D04" w:rsidRPr="00302EB7">
        <w:rPr>
          <w:color w:val="000000"/>
          <w:sz w:val="20"/>
          <w:szCs w:val="20"/>
        </w:rPr>
        <w:t>patients</w:t>
      </w:r>
      <w:r w:rsidR="00D90108" w:rsidRPr="00302EB7">
        <w:rPr>
          <w:color w:val="000000"/>
          <w:sz w:val="20"/>
          <w:szCs w:val="20"/>
        </w:rPr>
        <w:t xml:space="preserve"> </w:t>
      </w:r>
      <w:r w:rsidR="001A0D04" w:rsidRPr="00302EB7">
        <w:rPr>
          <w:color w:val="000000"/>
          <w:sz w:val="20"/>
          <w:szCs w:val="20"/>
        </w:rPr>
        <w:t xml:space="preserve">(12.5%) while </w:t>
      </w:r>
      <w:proofErr w:type="spellStart"/>
      <w:r w:rsidR="001A0D04" w:rsidRPr="00302EB7">
        <w:rPr>
          <w:color w:val="000000"/>
          <w:sz w:val="20"/>
          <w:szCs w:val="20"/>
        </w:rPr>
        <w:t>nephrotoxicity</w:t>
      </w:r>
      <w:proofErr w:type="spellEnd"/>
      <w:r w:rsidR="001A0D04" w:rsidRPr="00302EB7">
        <w:rPr>
          <w:color w:val="000000"/>
          <w:sz w:val="20"/>
          <w:szCs w:val="20"/>
        </w:rPr>
        <w:t xml:space="preserve"> occurred in 2 patients (4.1%)</w:t>
      </w:r>
      <w:r w:rsidRPr="00302EB7">
        <w:rPr>
          <w:color w:val="000000"/>
          <w:sz w:val="20"/>
          <w:szCs w:val="20"/>
        </w:rPr>
        <w:t>. Complete response was noted in 28 patients (58.3%).</w:t>
      </w:r>
      <w:r w:rsidR="00A76CDD" w:rsidRPr="00302EB7">
        <w:rPr>
          <w:color w:val="000000"/>
          <w:sz w:val="20"/>
          <w:szCs w:val="20"/>
        </w:rPr>
        <w:t xml:space="preserve"> P</w:t>
      </w:r>
      <w:r w:rsidRPr="00302EB7">
        <w:rPr>
          <w:color w:val="000000"/>
          <w:sz w:val="20"/>
          <w:szCs w:val="20"/>
        </w:rPr>
        <w:t>artial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response was observed in 15 patients (31.25%). At time of analysis, there were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fourteen deaths (29.1%) due to bladder cancer. Three-year cancer specific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survival (CSS) and overall sur</w:t>
      </w:r>
      <w:r w:rsidR="00A76CDD" w:rsidRPr="00302EB7">
        <w:rPr>
          <w:color w:val="000000"/>
          <w:sz w:val="20"/>
          <w:szCs w:val="20"/>
        </w:rPr>
        <w:t>vival (OS) were 69.9% and 66.6%</w:t>
      </w:r>
      <w:r w:rsidRPr="00302EB7">
        <w:rPr>
          <w:color w:val="000000"/>
          <w:sz w:val="20"/>
          <w:szCs w:val="20"/>
        </w:rPr>
        <w:t>.</w:t>
      </w:r>
      <w:r w:rsidR="00A76CDD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Twenty one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patients (43.7%) were tumor free and kept their bladder at time of analysis</w:t>
      </w:r>
      <w:r w:rsidR="00D90108" w:rsidRPr="00302EB7">
        <w:rPr>
          <w:b/>
          <w:bCs/>
          <w:color w:val="000000"/>
          <w:sz w:val="20"/>
          <w:szCs w:val="20"/>
        </w:rPr>
        <w:t xml:space="preserve">. </w:t>
      </w:r>
      <w:r w:rsidRPr="00302EB7">
        <w:rPr>
          <w:b/>
          <w:bCs/>
          <w:color w:val="000000"/>
          <w:sz w:val="20"/>
          <w:szCs w:val="20"/>
        </w:rPr>
        <w:t>Conclusion:</w:t>
      </w:r>
      <w:r w:rsidR="00A831EC" w:rsidRPr="00302EB7">
        <w:rPr>
          <w:color w:val="000000"/>
          <w:sz w:val="20"/>
          <w:szCs w:val="20"/>
        </w:rPr>
        <w:t xml:space="preserve"> </w:t>
      </w:r>
      <w:proofErr w:type="spellStart"/>
      <w:r w:rsidRPr="00302EB7">
        <w:rPr>
          <w:color w:val="000000"/>
          <w:sz w:val="20"/>
          <w:szCs w:val="20"/>
        </w:rPr>
        <w:t>Neoadjuvant</w:t>
      </w:r>
      <w:proofErr w:type="spellEnd"/>
      <w:r w:rsidRPr="00302EB7">
        <w:rPr>
          <w:color w:val="000000"/>
          <w:sz w:val="20"/>
          <w:szCs w:val="20"/>
        </w:rPr>
        <w:t xml:space="preserve"> chemotherapy followed by </w:t>
      </w:r>
      <w:proofErr w:type="spellStart"/>
      <w:r w:rsidRPr="00302EB7">
        <w:rPr>
          <w:color w:val="000000"/>
          <w:sz w:val="20"/>
          <w:szCs w:val="20"/>
        </w:rPr>
        <w:t>gemc</w:t>
      </w:r>
      <w:r w:rsidRPr="00C73DB9">
        <w:rPr>
          <w:color w:val="000000"/>
          <w:sz w:val="20"/>
          <w:szCs w:val="20"/>
        </w:rPr>
        <w:t>itabine</w:t>
      </w:r>
      <w:proofErr w:type="spellEnd"/>
      <w:r w:rsidRPr="00C73DB9">
        <w:rPr>
          <w:color w:val="000000"/>
          <w:sz w:val="20"/>
          <w:szCs w:val="20"/>
        </w:rPr>
        <w:t xml:space="preserve"> as </w:t>
      </w:r>
      <w:proofErr w:type="spellStart"/>
      <w:r w:rsidRPr="00C73DB9">
        <w:rPr>
          <w:color w:val="000000"/>
          <w:sz w:val="20"/>
          <w:szCs w:val="20"/>
        </w:rPr>
        <w:t>radiosensitizer</w:t>
      </w:r>
      <w:proofErr w:type="spellEnd"/>
      <w:r w:rsidRPr="00C73DB9">
        <w:rPr>
          <w:color w:val="000000"/>
          <w:sz w:val="20"/>
          <w:szCs w:val="20"/>
        </w:rPr>
        <w:t xml:space="preserve"> for</w:t>
      </w:r>
      <w:r w:rsidR="00A831EC" w:rsidRPr="00C73DB9">
        <w:rPr>
          <w:color w:val="000000"/>
          <w:sz w:val="20"/>
          <w:szCs w:val="20"/>
        </w:rPr>
        <w:t xml:space="preserve"> </w:t>
      </w:r>
      <w:r w:rsidRPr="00C73DB9">
        <w:rPr>
          <w:color w:val="000000"/>
          <w:sz w:val="20"/>
          <w:szCs w:val="20"/>
        </w:rPr>
        <w:t>muscle-invasive transitional cell carcinoma of the urinary bladder was tolerable</w:t>
      </w:r>
      <w:r w:rsidR="00A831EC" w:rsidRPr="00C73DB9">
        <w:rPr>
          <w:color w:val="000000"/>
          <w:sz w:val="20"/>
          <w:szCs w:val="20"/>
        </w:rPr>
        <w:t xml:space="preserve"> </w:t>
      </w:r>
      <w:r w:rsidRPr="00C73DB9">
        <w:rPr>
          <w:color w:val="000000"/>
          <w:sz w:val="20"/>
          <w:szCs w:val="20"/>
        </w:rPr>
        <w:t>with good bladder preservation and overall survival</w:t>
      </w:r>
      <w:r w:rsidR="00A831EC" w:rsidRPr="00C73DB9">
        <w:rPr>
          <w:b/>
          <w:bCs/>
          <w:color w:val="000000"/>
          <w:sz w:val="20"/>
          <w:szCs w:val="20"/>
        </w:rPr>
        <w:t>.</w:t>
      </w:r>
    </w:p>
    <w:p w:rsidR="00C73DB9" w:rsidRPr="00C73DB9" w:rsidRDefault="00302EB7" w:rsidP="00C73DB9">
      <w:pPr>
        <w:pStyle w:val="NoSpacing"/>
        <w:snapToGrid w:val="0"/>
        <w:jc w:val="both"/>
        <w:rPr>
          <w:rFonts w:ascii="Times New Roman" w:hAnsi="Times New Roman"/>
          <w:sz w:val="20"/>
          <w:szCs w:val="20"/>
        </w:rPr>
      </w:pPr>
      <w:r w:rsidRPr="00C73DB9">
        <w:rPr>
          <w:rFonts w:ascii="Times New Roman" w:hAnsi="Times New Roman"/>
          <w:b/>
          <w:bCs/>
          <w:color w:val="000000"/>
          <w:sz w:val="20"/>
          <w:szCs w:val="20"/>
        </w:rPr>
        <w:t>[</w:t>
      </w:r>
      <w:proofErr w:type="spellStart"/>
      <w:r w:rsidRPr="00C73DB9">
        <w:rPr>
          <w:rFonts w:ascii="Times New Roman" w:hAnsi="Times New Roman"/>
          <w:color w:val="000000"/>
          <w:sz w:val="20"/>
          <w:szCs w:val="20"/>
        </w:rPr>
        <w:t>Alaa</w:t>
      </w:r>
      <w:proofErr w:type="spellEnd"/>
      <w:r w:rsidRPr="00C73DB9">
        <w:rPr>
          <w:rFonts w:ascii="Times New Roman" w:hAnsi="Times New Roman"/>
          <w:color w:val="000000"/>
          <w:sz w:val="20"/>
          <w:szCs w:val="20"/>
        </w:rPr>
        <w:t xml:space="preserve"> fayed, </w:t>
      </w:r>
      <w:proofErr w:type="spellStart"/>
      <w:r w:rsidRPr="00C73DB9">
        <w:rPr>
          <w:rFonts w:ascii="Times New Roman" w:hAnsi="Times New Roman"/>
          <w:color w:val="000000"/>
          <w:sz w:val="20"/>
          <w:szCs w:val="20"/>
        </w:rPr>
        <w:t>Abd</w:t>
      </w:r>
      <w:proofErr w:type="spellEnd"/>
      <w:r w:rsidRPr="00C73DB9">
        <w:rPr>
          <w:rFonts w:ascii="Times New Roman" w:hAnsi="Times New Roman"/>
          <w:color w:val="000000"/>
          <w:sz w:val="20"/>
          <w:szCs w:val="20"/>
        </w:rPr>
        <w:t xml:space="preserve"> el </w:t>
      </w:r>
      <w:proofErr w:type="spellStart"/>
      <w:r w:rsidRPr="00C73DB9">
        <w:rPr>
          <w:rFonts w:ascii="Times New Roman" w:hAnsi="Times New Roman"/>
          <w:color w:val="000000"/>
          <w:sz w:val="20"/>
          <w:szCs w:val="20"/>
        </w:rPr>
        <w:t>motaleb</w:t>
      </w:r>
      <w:proofErr w:type="spellEnd"/>
      <w:r w:rsidRPr="00C73DB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73DB9">
        <w:rPr>
          <w:rFonts w:ascii="Times New Roman" w:hAnsi="Times New Roman"/>
          <w:color w:val="000000"/>
          <w:sz w:val="20"/>
          <w:szCs w:val="20"/>
        </w:rPr>
        <w:t>mohammed</w:t>
      </w:r>
      <w:proofErr w:type="spellEnd"/>
      <w:r w:rsidRPr="00C73DB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C73DB9">
        <w:rPr>
          <w:rFonts w:ascii="Times New Roman" w:hAnsi="Times New Roman"/>
          <w:color w:val="000000"/>
          <w:sz w:val="20"/>
          <w:szCs w:val="20"/>
        </w:rPr>
        <w:t>Maged</w:t>
      </w:r>
      <w:proofErr w:type="spellEnd"/>
      <w:r w:rsidRPr="00C73DB9">
        <w:rPr>
          <w:rFonts w:ascii="Times New Roman" w:hAnsi="Times New Roman"/>
          <w:color w:val="000000"/>
          <w:sz w:val="20"/>
          <w:szCs w:val="20"/>
        </w:rPr>
        <w:t xml:space="preserve"> M. Ali, and </w:t>
      </w:r>
      <w:proofErr w:type="spellStart"/>
      <w:r w:rsidRPr="00C73DB9">
        <w:rPr>
          <w:rFonts w:ascii="Times New Roman" w:hAnsi="Times New Roman"/>
          <w:color w:val="000000"/>
          <w:sz w:val="20"/>
          <w:szCs w:val="20"/>
        </w:rPr>
        <w:t>Esam</w:t>
      </w:r>
      <w:proofErr w:type="spellEnd"/>
      <w:r w:rsidRPr="00C73DB9">
        <w:rPr>
          <w:rFonts w:ascii="Times New Roman" w:hAnsi="Times New Roman"/>
          <w:color w:val="000000"/>
          <w:sz w:val="20"/>
          <w:szCs w:val="20"/>
        </w:rPr>
        <w:t xml:space="preserve"> E.A. </w:t>
      </w:r>
      <w:proofErr w:type="spellStart"/>
      <w:r w:rsidRPr="00C73DB9">
        <w:rPr>
          <w:rFonts w:ascii="Times New Roman" w:hAnsi="Times New Roman"/>
          <w:color w:val="000000"/>
          <w:sz w:val="20"/>
          <w:szCs w:val="20"/>
        </w:rPr>
        <w:t>Dessoky</w:t>
      </w:r>
      <w:proofErr w:type="spellEnd"/>
      <w:r w:rsidR="00C73DB9">
        <w:rPr>
          <w:rFonts w:ascii="Times New Roman" w:eastAsiaTheme="minorEastAsia" w:hAnsi="Times New Roman" w:hint="eastAsia"/>
          <w:color w:val="000000"/>
          <w:sz w:val="20"/>
          <w:szCs w:val="20"/>
          <w:lang w:eastAsia="zh-CN"/>
        </w:rPr>
        <w:t>.</w:t>
      </w:r>
      <w:r w:rsidRPr="00C73DB9">
        <w:rPr>
          <w:rFonts w:ascii="Times New Roman" w:hAnsi="Times New Roman"/>
          <w:b/>
          <w:bCs/>
          <w:color w:val="000000"/>
          <w:sz w:val="20"/>
          <w:szCs w:val="20"/>
        </w:rPr>
        <w:t xml:space="preserve"> Bladder preservation by </w:t>
      </w:r>
      <w:proofErr w:type="spellStart"/>
      <w:r w:rsidRPr="00C73DB9">
        <w:rPr>
          <w:rFonts w:ascii="Times New Roman" w:hAnsi="Times New Roman"/>
          <w:b/>
          <w:bCs/>
          <w:color w:val="000000"/>
          <w:sz w:val="20"/>
          <w:szCs w:val="20"/>
        </w:rPr>
        <w:t>neoadjuvant</w:t>
      </w:r>
      <w:proofErr w:type="spellEnd"/>
      <w:r w:rsidRPr="00C73DB9">
        <w:rPr>
          <w:rFonts w:ascii="Times New Roman" w:hAnsi="Times New Roman"/>
          <w:b/>
          <w:bCs/>
          <w:color w:val="000000"/>
          <w:sz w:val="20"/>
          <w:szCs w:val="20"/>
        </w:rPr>
        <w:t xml:space="preserve"> chemotherapy followed by </w:t>
      </w:r>
      <w:proofErr w:type="spellStart"/>
      <w:r w:rsidRPr="00C73DB9">
        <w:rPr>
          <w:rFonts w:ascii="Times New Roman" w:hAnsi="Times New Roman"/>
          <w:b/>
          <w:bCs/>
          <w:color w:val="000000"/>
          <w:sz w:val="20"/>
          <w:szCs w:val="20"/>
        </w:rPr>
        <w:t>gemcitabine</w:t>
      </w:r>
      <w:proofErr w:type="spellEnd"/>
      <w:r w:rsidRPr="00C73DB9">
        <w:rPr>
          <w:rFonts w:ascii="Times New Roman" w:hAnsi="Times New Roman"/>
          <w:b/>
          <w:bCs/>
          <w:color w:val="000000"/>
          <w:sz w:val="20"/>
          <w:szCs w:val="20"/>
        </w:rPr>
        <w:t xml:space="preserve"> as </w:t>
      </w:r>
      <w:proofErr w:type="spellStart"/>
      <w:r w:rsidRPr="00C73DB9">
        <w:rPr>
          <w:rFonts w:ascii="Times New Roman" w:hAnsi="Times New Roman"/>
          <w:b/>
          <w:bCs/>
          <w:color w:val="000000"/>
          <w:sz w:val="20"/>
          <w:szCs w:val="20"/>
        </w:rPr>
        <w:t>radiosensitizer</w:t>
      </w:r>
      <w:proofErr w:type="spellEnd"/>
      <w:r w:rsidRPr="00C73DB9">
        <w:rPr>
          <w:rFonts w:ascii="Times New Roman" w:hAnsi="Times New Roman"/>
          <w:b/>
          <w:bCs/>
          <w:color w:val="000000"/>
          <w:sz w:val="20"/>
          <w:szCs w:val="20"/>
        </w:rPr>
        <w:t xml:space="preserve"> for muscle-invasive transitional cell carcinoma of the urinary bladder after maximal TURBT</w:t>
      </w:r>
      <w:r w:rsidR="00C73DB9" w:rsidRPr="00C73DB9">
        <w:rPr>
          <w:rFonts w:ascii="Times New Roman" w:eastAsia="Times New Roman" w:hAnsi="Times New Roman"/>
          <w:b/>
          <w:bCs/>
          <w:sz w:val="20"/>
          <w:szCs w:val="20"/>
          <w:lang w:bidi="fa-IR"/>
        </w:rPr>
        <w:t>.</w:t>
      </w:r>
      <w:r w:rsidR="00C73DB9" w:rsidRPr="00C73DB9">
        <w:rPr>
          <w:rFonts w:ascii="Times New Roman" w:hAnsi="Times New Roman"/>
          <w:i/>
          <w:sz w:val="20"/>
          <w:szCs w:val="20"/>
        </w:rPr>
        <w:t xml:space="preserve"> Cancer Biology</w:t>
      </w:r>
      <w:r w:rsidR="00C73DB9" w:rsidRPr="00C73DB9">
        <w:rPr>
          <w:rFonts w:ascii="Times New Roman" w:hAnsi="Times New Roman"/>
          <w:sz w:val="20"/>
          <w:szCs w:val="20"/>
        </w:rPr>
        <w:t xml:space="preserve"> 201</w:t>
      </w:r>
      <w:r w:rsidR="00C73DB9" w:rsidRPr="00C73DB9">
        <w:rPr>
          <w:rFonts w:ascii="Times New Roman" w:hAnsi="Times New Roman" w:hint="eastAsia"/>
          <w:sz w:val="20"/>
          <w:szCs w:val="20"/>
        </w:rPr>
        <w:t>5</w:t>
      </w:r>
      <w:r w:rsidR="00C73DB9" w:rsidRPr="00C73DB9">
        <w:rPr>
          <w:rFonts w:ascii="Times New Roman" w:hAnsi="Times New Roman"/>
          <w:sz w:val="20"/>
          <w:szCs w:val="20"/>
        </w:rPr>
        <w:t>;</w:t>
      </w:r>
      <w:r w:rsidR="00C73DB9" w:rsidRPr="00C73DB9">
        <w:rPr>
          <w:rFonts w:ascii="Times New Roman" w:hAnsi="Times New Roman" w:hint="eastAsia"/>
          <w:sz w:val="20"/>
          <w:szCs w:val="20"/>
        </w:rPr>
        <w:t>5</w:t>
      </w:r>
      <w:r w:rsidR="00C73DB9" w:rsidRPr="00C73DB9">
        <w:rPr>
          <w:rFonts w:ascii="Times New Roman" w:hAnsi="Times New Roman"/>
          <w:sz w:val="20"/>
          <w:szCs w:val="20"/>
        </w:rPr>
        <w:t>(</w:t>
      </w:r>
      <w:r w:rsidR="00C73DB9" w:rsidRPr="00C73DB9">
        <w:rPr>
          <w:rFonts w:ascii="Times New Roman" w:hAnsi="Times New Roman" w:hint="eastAsia"/>
          <w:sz w:val="20"/>
          <w:szCs w:val="20"/>
        </w:rPr>
        <w:t>4</w:t>
      </w:r>
      <w:r w:rsidR="00C73DB9" w:rsidRPr="00C73DB9">
        <w:rPr>
          <w:rFonts w:ascii="Times New Roman" w:hAnsi="Times New Roman"/>
          <w:sz w:val="20"/>
          <w:szCs w:val="20"/>
        </w:rPr>
        <w:t>):</w:t>
      </w:r>
      <w:r w:rsidR="00263212">
        <w:rPr>
          <w:rFonts w:ascii="Times New Roman" w:hAnsi="Times New Roman"/>
          <w:noProof/>
          <w:color w:val="000000"/>
          <w:sz w:val="20"/>
          <w:szCs w:val="20"/>
        </w:rPr>
        <w:t>35</w:t>
      </w:r>
      <w:r w:rsidR="00C73DB9" w:rsidRPr="00C73DB9">
        <w:rPr>
          <w:rFonts w:ascii="Times New Roman" w:hAnsi="Times New Roman"/>
          <w:color w:val="000000"/>
          <w:sz w:val="20"/>
          <w:szCs w:val="20"/>
        </w:rPr>
        <w:t>-</w:t>
      </w:r>
      <w:r w:rsidR="00263212">
        <w:rPr>
          <w:rFonts w:ascii="Times New Roman" w:hAnsi="Times New Roman"/>
          <w:noProof/>
          <w:color w:val="000000"/>
          <w:sz w:val="20"/>
          <w:szCs w:val="20"/>
        </w:rPr>
        <w:t>41</w:t>
      </w:r>
      <w:r w:rsidR="00C73DB9" w:rsidRPr="00C73DB9">
        <w:rPr>
          <w:rFonts w:ascii="Times New Roman" w:hAnsi="Times New Roman"/>
          <w:sz w:val="20"/>
          <w:szCs w:val="20"/>
        </w:rPr>
        <w:t>]. (ISSN:</w:t>
      </w:r>
      <w:r w:rsidR="00C73DB9" w:rsidRPr="00C73DB9">
        <w:rPr>
          <w:rStyle w:val="Absatz-Standardschriftart"/>
          <w:rFonts w:ascii="Times New Roman" w:eastAsia="宋" w:hAnsi="Times New Roman"/>
          <w:b/>
          <w:sz w:val="20"/>
          <w:szCs w:val="20"/>
        </w:rPr>
        <w:t xml:space="preserve"> </w:t>
      </w:r>
      <w:r w:rsidR="00C73DB9" w:rsidRPr="00C73DB9">
        <w:rPr>
          <w:rStyle w:val="msonormal0"/>
          <w:rFonts w:ascii="Times New Roman" w:eastAsia="宋" w:hAnsi="Times New Roman"/>
          <w:sz w:val="20"/>
          <w:szCs w:val="20"/>
        </w:rPr>
        <w:t>2150-1041</w:t>
      </w:r>
      <w:r w:rsidR="00C73DB9" w:rsidRPr="00C73DB9">
        <w:rPr>
          <w:rFonts w:ascii="Times New Roman" w:hAnsi="Times New Roman"/>
          <w:sz w:val="20"/>
          <w:szCs w:val="20"/>
        </w:rPr>
        <w:t xml:space="preserve">). </w:t>
      </w:r>
      <w:hyperlink r:id="rId9" w:history="1">
        <w:r w:rsidR="00C73DB9" w:rsidRPr="00C73DB9">
          <w:rPr>
            <w:rStyle w:val="Hyperlink"/>
            <w:rFonts w:ascii="Times New Roman" w:hAnsi="Times New Roman"/>
            <w:sz w:val="20"/>
            <w:szCs w:val="20"/>
          </w:rPr>
          <w:t>http://www.cancerbio.net</w:t>
        </w:r>
      </w:hyperlink>
      <w:r w:rsidR="00C73DB9" w:rsidRPr="00C73DB9">
        <w:rPr>
          <w:rFonts w:ascii="Times New Roman" w:hAnsi="Times New Roman"/>
          <w:sz w:val="20"/>
          <w:szCs w:val="20"/>
        </w:rPr>
        <w:t>.</w:t>
      </w:r>
      <w:r w:rsidR="00C73DB9" w:rsidRPr="00C73DB9">
        <w:rPr>
          <w:rFonts w:ascii="Times New Roman" w:hAnsi="Times New Roman" w:hint="eastAsia"/>
          <w:sz w:val="20"/>
          <w:szCs w:val="20"/>
        </w:rPr>
        <w:t xml:space="preserve"> </w:t>
      </w:r>
      <w:r w:rsidR="00C73DB9">
        <w:rPr>
          <w:rFonts w:ascii="Times New Roman" w:eastAsiaTheme="minorEastAsia" w:hAnsi="Times New Roman" w:hint="eastAsia"/>
          <w:sz w:val="20"/>
          <w:szCs w:val="20"/>
          <w:lang w:eastAsia="zh-CN"/>
        </w:rPr>
        <w:t>6</w:t>
      </w:r>
      <w:r w:rsidR="00C73DB9" w:rsidRPr="00C73DB9">
        <w:rPr>
          <w:rFonts w:ascii="Times New Roman" w:hAnsi="Times New Roman" w:hint="eastAsia"/>
          <w:sz w:val="20"/>
          <w:szCs w:val="20"/>
        </w:rPr>
        <w:t xml:space="preserve">. </w:t>
      </w:r>
      <w:r w:rsidR="00C73DB9" w:rsidRPr="00C73D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="00C73DB9" w:rsidRPr="00C73DB9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10.7537/mars</w:t>
        </w:r>
        <w:r w:rsidR="00C73DB9" w:rsidRPr="00C73DB9">
          <w:rPr>
            <w:rStyle w:val="Hyperlink"/>
            <w:rFonts w:ascii="Times New Roman" w:hAnsi="Times New Roman" w:hint="eastAsia"/>
            <w:sz w:val="20"/>
            <w:szCs w:val="20"/>
            <w:shd w:val="clear" w:color="auto" w:fill="FFFFFF"/>
          </w:rPr>
          <w:t>cbj0504</w:t>
        </w:r>
        <w:r w:rsidR="00C73DB9" w:rsidRPr="00C73DB9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15.</w:t>
        </w:r>
        <w:r w:rsidR="00C73DB9">
          <w:rPr>
            <w:rStyle w:val="Hyperlink"/>
            <w:rFonts w:ascii="Times New Roman" w:eastAsiaTheme="minorEastAsia" w:hAnsi="Times New Roman" w:hint="eastAsia"/>
            <w:sz w:val="20"/>
            <w:szCs w:val="20"/>
            <w:shd w:val="clear" w:color="auto" w:fill="FFFFFF"/>
            <w:lang w:eastAsia="zh-CN"/>
          </w:rPr>
          <w:t>06</w:t>
        </w:r>
      </w:hyperlink>
      <w:r w:rsidR="00C73DB9" w:rsidRPr="00C73D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302EB7" w:rsidRPr="00C73DB9" w:rsidRDefault="00302EB7" w:rsidP="00C73DB9">
      <w:pPr>
        <w:pStyle w:val="NoSpacing"/>
        <w:snapToGri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2EB7" w:rsidRPr="00302EB7" w:rsidRDefault="00302EB7" w:rsidP="00302EB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02EB7">
        <w:rPr>
          <w:b/>
          <w:bCs/>
          <w:color w:val="000000"/>
          <w:sz w:val="20"/>
          <w:szCs w:val="20"/>
        </w:rPr>
        <w:t>Keywords:</w:t>
      </w:r>
      <w:r w:rsidRPr="00302EB7">
        <w:rPr>
          <w:color w:val="000000"/>
          <w:sz w:val="20"/>
          <w:szCs w:val="20"/>
        </w:rPr>
        <w:t xml:space="preserve"> Bladder cancer, </w:t>
      </w:r>
      <w:proofErr w:type="spellStart"/>
      <w:r w:rsidRPr="00302EB7">
        <w:rPr>
          <w:color w:val="000000"/>
          <w:sz w:val="20"/>
          <w:szCs w:val="20"/>
        </w:rPr>
        <w:t>gemcitabine</w:t>
      </w:r>
      <w:proofErr w:type="spellEnd"/>
      <w:r w:rsidRPr="00302EB7">
        <w:rPr>
          <w:color w:val="000000"/>
          <w:sz w:val="20"/>
          <w:szCs w:val="20"/>
        </w:rPr>
        <w:t xml:space="preserve">, </w:t>
      </w:r>
      <w:proofErr w:type="spellStart"/>
      <w:r w:rsidRPr="00302EB7">
        <w:rPr>
          <w:color w:val="000000"/>
          <w:sz w:val="20"/>
          <w:szCs w:val="20"/>
        </w:rPr>
        <w:t>radiosensetizer</w:t>
      </w:r>
      <w:proofErr w:type="spellEnd"/>
    </w:p>
    <w:p w:rsidR="00302EB7" w:rsidRDefault="00302EB7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302EB7" w:rsidRDefault="00302EB7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  <w:sectPr w:rsidR="00302EB7" w:rsidSect="00263212"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pgNumType w:start="35"/>
          <w:cols w:space="720"/>
          <w:docGrid w:linePitch="360"/>
        </w:sectPr>
      </w:pPr>
    </w:p>
    <w:p w:rsidR="006D3A53" w:rsidRPr="00302EB7" w:rsidRDefault="00302EB7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1. </w:t>
      </w:r>
      <w:r w:rsidR="006D3A53" w:rsidRPr="00302EB7">
        <w:rPr>
          <w:b/>
          <w:bCs/>
          <w:color w:val="000000"/>
          <w:sz w:val="20"/>
          <w:szCs w:val="20"/>
        </w:rPr>
        <w:t>Introduction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Bladder cancer is the 9</w:t>
      </w:r>
      <w:r w:rsidRPr="00302EB7">
        <w:rPr>
          <w:color w:val="000000"/>
          <w:sz w:val="20"/>
          <w:szCs w:val="20"/>
          <w:vertAlign w:val="superscript"/>
        </w:rPr>
        <w:t>th</w:t>
      </w:r>
      <w:r w:rsidRPr="00302EB7">
        <w:rPr>
          <w:color w:val="000000"/>
          <w:sz w:val="20"/>
          <w:szCs w:val="20"/>
        </w:rPr>
        <w:t xml:space="preserve"> most common cancer worldwide. Bladder cancer is the</w:t>
      </w:r>
      <w:r w:rsidR="00D90108" w:rsidRPr="00302EB7">
        <w:rPr>
          <w:color w:val="000000"/>
          <w:sz w:val="20"/>
          <w:szCs w:val="20"/>
        </w:rPr>
        <w:t xml:space="preserve"> thirteenth</w:t>
      </w:r>
      <w:r w:rsidRPr="00302EB7">
        <w:rPr>
          <w:color w:val="000000"/>
          <w:sz w:val="20"/>
          <w:szCs w:val="20"/>
        </w:rPr>
        <w:t xml:space="preserve"> most common cause of death, with approximately 145,000 deaths annually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worldwide </w:t>
      </w:r>
      <w:r w:rsidRPr="00302EB7">
        <w:rPr>
          <w:b/>
          <w:bCs/>
          <w:color w:val="000000"/>
          <w:sz w:val="20"/>
          <w:szCs w:val="20"/>
        </w:rPr>
        <w:t>[1]</w:t>
      </w:r>
      <w:r w:rsidRPr="00302EB7">
        <w:rPr>
          <w:color w:val="000000"/>
          <w:sz w:val="20"/>
          <w:szCs w:val="20"/>
        </w:rPr>
        <w:t>.</w:t>
      </w:r>
      <w:r w:rsidR="004558E5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The gold standard treatment modality for muscle invasive disease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is radical </w:t>
      </w:r>
      <w:proofErr w:type="spellStart"/>
      <w:r w:rsidRPr="00302EB7">
        <w:rPr>
          <w:color w:val="000000"/>
          <w:sz w:val="20"/>
          <w:szCs w:val="20"/>
        </w:rPr>
        <w:t>cystectomy</w:t>
      </w:r>
      <w:proofErr w:type="spellEnd"/>
      <w:r w:rsidRPr="00302EB7">
        <w:rPr>
          <w:color w:val="000000"/>
          <w:sz w:val="20"/>
          <w:szCs w:val="20"/>
        </w:rPr>
        <w:t xml:space="preserve"> </w:t>
      </w:r>
      <w:r w:rsidRPr="00302EB7">
        <w:rPr>
          <w:b/>
          <w:bCs/>
          <w:color w:val="000000"/>
          <w:sz w:val="20"/>
          <w:szCs w:val="20"/>
        </w:rPr>
        <w:t>[2]</w:t>
      </w:r>
      <w:r w:rsidRPr="00302EB7">
        <w:rPr>
          <w:color w:val="000000"/>
          <w:sz w:val="20"/>
          <w:szCs w:val="20"/>
        </w:rPr>
        <w:t>.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Urinary bladder substitution has been established to improve quality of life after</w:t>
      </w:r>
      <w:r w:rsidR="00D90108" w:rsidRPr="00302EB7">
        <w:rPr>
          <w:color w:val="000000"/>
          <w:sz w:val="20"/>
          <w:szCs w:val="20"/>
        </w:rPr>
        <w:t xml:space="preserve"> </w:t>
      </w:r>
      <w:proofErr w:type="spellStart"/>
      <w:r w:rsidRPr="00302EB7">
        <w:rPr>
          <w:color w:val="000000"/>
          <w:sz w:val="20"/>
          <w:szCs w:val="20"/>
        </w:rPr>
        <w:t>cystectomy</w:t>
      </w:r>
      <w:proofErr w:type="spellEnd"/>
      <w:r w:rsidRPr="00302EB7">
        <w:rPr>
          <w:color w:val="000000"/>
          <w:sz w:val="20"/>
          <w:szCs w:val="20"/>
        </w:rPr>
        <w:t xml:space="preserve">. Even with advancement in reconstruction techniques, </w:t>
      </w:r>
      <w:proofErr w:type="spellStart"/>
      <w:r w:rsidRPr="00302EB7">
        <w:rPr>
          <w:color w:val="000000"/>
          <w:sz w:val="20"/>
          <w:szCs w:val="20"/>
        </w:rPr>
        <w:t>neobladder</w:t>
      </w:r>
      <w:proofErr w:type="spellEnd"/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cannot substitute for the patient’s original bladder</w:t>
      </w:r>
      <w:r w:rsidR="00D90108" w:rsidRPr="00302EB7">
        <w:rPr>
          <w:color w:val="000000"/>
          <w:sz w:val="20"/>
          <w:szCs w:val="20"/>
        </w:rPr>
        <w:t xml:space="preserve">. </w:t>
      </w:r>
      <w:r w:rsidRPr="00302EB7">
        <w:rPr>
          <w:color w:val="000000"/>
          <w:sz w:val="20"/>
          <w:szCs w:val="20"/>
        </w:rPr>
        <w:t>Organ preservation protocols are introduced to keep the balance between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achieving local cure with no compromise in survival. Transurethral resection of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the blad</w:t>
      </w:r>
      <w:r w:rsidR="00D33D24" w:rsidRPr="00302EB7">
        <w:rPr>
          <w:color w:val="000000"/>
          <w:sz w:val="20"/>
          <w:szCs w:val="20"/>
        </w:rPr>
        <w:t>der tumor (TURBT), chemotherapy</w:t>
      </w:r>
      <w:r w:rsidRPr="00302EB7">
        <w:rPr>
          <w:color w:val="000000"/>
          <w:sz w:val="20"/>
          <w:szCs w:val="20"/>
        </w:rPr>
        <w:t xml:space="preserve"> or radiotherapy when used alone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cannot ensure adequate disease control. Several reports tried to combine all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three treatment options, with salvage </w:t>
      </w:r>
      <w:proofErr w:type="spellStart"/>
      <w:r w:rsidRPr="00302EB7">
        <w:rPr>
          <w:color w:val="000000"/>
          <w:sz w:val="20"/>
          <w:szCs w:val="20"/>
        </w:rPr>
        <w:t>cystectomy</w:t>
      </w:r>
      <w:proofErr w:type="spellEnd"/>
      <w:r w:rsidRPr="00302EB7">
        <w:rPr>
          <w:color w:val="000000"/>
          <w:sz w:val="20"/>
          <w:szCs w:val="20"/>
        </w:rPr>
        <w:t xml:space="preserve"> in case of incomplete response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or recurrence </w:t>
      </w:r>
      <w:r w:rsidRPr="00302EB7">
        <w:rPr>
          <w:b/>
          <w:bCs/>
          <w:color w:val="000000"/>
          <w:sz w:val="20"/>
          <w:szCs w:val="20"/>
        </w:rPr>
        <w:t>[3]</w:t>
      </w:r>
      <w:r w:rsidRPr="00302EB7">
        <w:rPr>
          <w:color w:val="000000"/>
          <w:sz w:val="20"/>
          <w:szCs w:val="20"/>
        </w:rPr>
        <w:t>.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The rationale for combining the three modalities is that certain chemotherapeutic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agents may act as sensitizer for tumor cells to radiation; second, the high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incidence of occult metastases requires eradication by multiple modalities.</w:t>
      </w:r>
      <w:r w:rsidR="00D33D24" w:rsidRPr="00302EB7">
        <w:rPr>
          <w:b/>
          <w:bCs/>
          <w:color w:val="000000"/>
          <w:sz w:val="20"/>
          <w:szCs w:val="20"/>
        </w:rPr>
        <w:t xml:space="preserve"> [3]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proofErr w:type="spellStart"/>
      <w:r w:rsidRPr="00302EB7">
        <w:rPr>
          <w:color w:val="000000"/>
          <w:sz w:val="20"/>
          <w:szCs w:val="20"/>
        </w:rPr>
        <w:lastRenderedPageBreak/>
        <w:t>Gemcitabine</w:t>
      </w:r>
      <w:proofErr w:type="spellEnd"/>
      <w:r w:rsidRPr="00302EB7">
        <w:rPr>
          <w:color w:val="000000"/>
          <w:sz w:val="20"/>
          <w:szCs w:val="20"/>
        </w:rPr>
        <w:t xml:space="preserve"> has been shown to be active in bladder cancer and is used in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combination with platinum as a standard of care in the </w:t>
      </w:r>
      <w:proofErr w:type="spellStart"/>
      <w:r w:rsidRPr="00302EB7">
        <w:rPr>
          <w:color w:val="000000"/>
          <w:sz w:val="20"/>
          <w:szCs w:val="20"/>
        </w:rPr>
        <w:t>neoadjuvant</w:t>
      </w:r>
      <w:proofErr w:type="spellEnd"/>
      <w:r w:rsidRPr="00302EB7">
        <w:rPr>
          <w:color w:val="000000"/>
          <w:sz w:val="20"/>
          <w:szCs w:val="20"/>
        </w:rPr>
        <w:t xml:space="preserve"> and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metastatic settings </w:t>
      </w:r>
      <w:r w:rsidRPr="00302EB7">
        <w:rPr>
          <w:b/>
          <w:bCs/>
          <w:color w:val="000000"/>
          <w:sz w:val="20"/>
          <w:szCs w:val="20"/>
        </w:rPr>
        <w:t>[2, 4, 5]</w:t>
      </w:r>
      <w:r w:rsidRPr="00302EB7">
        <w:rPr>
          <w:color w:val="000000"/>
          <w:sz w:val="20"/>
          <w:szCs w:val="20"/>
        </w:rPr>
        <w:t>.</w:t>
      </w:r>
      <w:r w:rsidR="00822A4E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Many reports have suggested the combination of</w:t>
      </w:r>
      <w:r w:rsidR="00D90108" w:rsidRPr="00302EB7">
        <w:rPr>
          <w:color w:val="000000"/>
          <w:sz w:val="20"/>
          <w:szCs w:val="20"/>
        </w:rPr>
        <w:t xml:space="preserve"> </w:t>
      </w:r>
      <w:proofErr w:type="spellStart"/>
      <w:r w:rsidRPr="00302EB7">
        <w:rPr>
          <w:color w:val="000000"/>
          <w:sz w:val="20"/>
          <w:szCs w:val="20"/>
        </w:rPr>
        <w:t>gemcitabine</w:t>
      </w:r>
      <w:proofErr w:type="spellEnd"/>
      <w:r w:rsidRPr="00302EB7">
        <w:rPr>
          <w:color w:val="000000"/>
          <w:sz w:val="20"/>
          <w:szCs w:val="20"/>
        </w:rPr>
        <w:t xml:space="preserve"> and radiotherapy with good initial results. However, the clinical use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of this combination has to be applied cautiously due to high possibilities of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toxicity</w:t>
      </w:r>
      <w:r w:rsidRPr="00302EB7">
        <w:rPr>
          <w:sz w:val="20"/>
          <w:szCs w:val="20"/>
        </w:rPr>
        <w:t>. We present</w:t>
      </w:r>
      <w:r w:rsidR="006C0912" w:rsidRPr="00302EB7">
        <w:rPr>
          <w:sz w:val="20"/>
          <w:szCs w:val="20"/>
        </w:rPr>
        <w:t xml:space="preserve"> the results of our </w:t>
      </w:r>
      <w:r w:rsidR="000152BA" w:rsidRPr="00302EB7">
        <w:rPr>
          <w:sz w:val="20"/>
          <w:szCs w:val="20"/>
        </w:rPr>
        <w:t>prospective</w:t>
      </w:r>
      <w:r w:rsidR="006C0912" w:rsidRPr="00302EB7">
        <w:rPr>
          <w:sz w:val="20"/>
          <w:szCs w:val="20"/>
        </w:rPr>
        <w:t xml:space="preserve"> study</w:t>
      </w:r>
      <w:r w:rsidRPr="00302EB7">
        <w:rPr>
          <w:color w:val="000000"/>
          <w:sz w:val="20"/>
          <w:szCs w:val="20"/>
        </w:rPr>
        <w:t xml:space="preserve"> in Bladder preservation by using </w:t>
      </w:r>
      <w:proofErr w:type="spellStart"/>
      <w:r w:rsidRPr="00302EB7">
        <w:rPr>
          <w:color w:val="000000"/>
          <w:sz w:val="20"/>
          <w:szCs w:val="20"/>
        </w:rPr>
        <w:t>neoadjuvant</w:t>
      </w:r>
      <w:proofErr w:type="spellEnd"/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chemotherapy followed by </w:t>
      </w:r>
      <w:proofErr w:type="spellStart"/>
      <w:r w:rsidRPr="00302EB7">
        <w:rPr>
          <w:color w:val="000000"/>
          <w:sz w:val="20"/>
          <w:szCs w:val="20"/>
        </w:rPr>
        <w:t>chemoradiation</w:t>
      </w:r>
      <w:proofErr w:type="spellEnd"/>
      <w:r w:rsidRPr="00302EB7">
        <w:rPr>
          <w:color w:val="000000"/>
          <w:sz w:val="20"/>
          <w:szCs w:val="20"/>
        </w:rPr>
        <w:t xml:space="preserve"> after maximal TURBT</w:t>
      </w:r>
      <w:r w:rsidR="004C03D8">
        <w:rPr>
          <w:color w:val="000000"/>
          <w:sz w:val="20"/>
          <w:szCs w:val="20"/>
        </w:rPr>
        <w:t>.</w:t>
      </w:r>
    </w:p>
    <w:p w:rsidR="00302EB7" w:rsidRDefault="00302EB7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6D3A53" w:rsidRPr="00302EB7" w:rsidRDefault="00302EB7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2. </w:t>
      </w:r>
      <w:r w:rsidR="006D3A53" w:rsidRPr="00302EB7">
        <w:rPr>
          <w:b/>
          <w:bCs/>
          <w:color w:val="000000"/>
          <w:sz w:val="20"/>
          <w:szCs w:val="20"/>
        </w:rPr>
        <w:t>Patient and methods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Between January 2010 and July 2014, forty eight patients diagnosed as muscle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invasive bladder cancer T2b-T4aN0M0 and not amenable or refuse radical</w:t>
      </w:r>
      <w:r w:rsidR="00D90108" w:rsidRPr="00302EB7">
        <w:rPr>
          <w:color w:val="000000"/>
          <w:sz w:val="20"/>
          <w:szCs w:val="20"/>
        </w:rPr>
        <w:t xml:space="preserve"> </w:t>
      </w:r>
      <w:proofErr w:type="spellStart"/>
      <w:r w:rsidRPr="00302EB7">
        <w:rPr>
          <w:color w:val="000000"/>
          <w:sz w:val="20"/>
          <w:szCs w:val="20"/>
        </w:rPr>
        <w:t>cystectomy</w:t>
      </w:r>
      <w:proofErr w:type="spellEnd"/>
      <w:r w:rsidRPr="00302EB7">
        <w:rPr>
          <w:color w:val="000000"/>
          <w:sz w:val="20"/>
          <w:szCs w:val="20"/>
        </w:rPr>
        <w:t xml:space="preserve"> </w:t>
      </w:r>
      <w:r w:rsidR="00B9045A" w:rsidRPr="00302EB7">
        <w:rPr>
          <w:color w:val="000000"/>
          <w:sz w:val="20"/>
          <w:szCs w:val="20"/>
        </w:rPr>
        <w:t>were</w:t>
      </w:r>
      <w:r w:rsidRPr="00302EB7">
        <w:rPr>
          <w:color w:val="000000"/>
          <w:sz w:val="20"/>
          <w:szCs w:val="20"/>
        </w:rPr>
        <w:t xml:space="preserve"> enrolled in this prospective study. Eligibility criteria included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ECOG (Eastern Cooperative Oncology Group) performance status 0-2,</w:t>
      </w:r>
      <w:r w:rsidR="00D90108" w:rsidRPr="00302EB7">
        <w:rPr>
          <w:color w:val="000000"/>
          <w:sz w:val="20"/>
          <w:szCs w:val="20"/>
        </w:rPr>
        <w:t xml:space="preserve"> </w:t>
      </w:r>
      <w:proofErr w:type="spellStart"/>
      <w:r w:rsidRPr="00302EB7">
        <w:rPr>
          <w:color w:val="000000"/>
          <w:sz w:val="20"/>
          <w:szCs w:val="20"/>
        </w:rPr>
        <w:t>haemoglobin</w:t>
      </w:r>
      <w:proofErr w:type="spellEnd"/>
      <w:r w:rsidRPr="00302EB7">
        <w:rPr>
          <w:color w:val="000000"/>
          <w:sz w:val="20"/>
          <w:szCs w:val="20"/>
        </w:rPr>
        <w:t xml:space="preserve"> &gt; 10 gm/dl, white blood cells</w:t>
      </w:r>
      <w:r w:rsidR="00B9045A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(WBC) &gt; 3000/mm</w:t>
      </w:r>
      <w:r w:rsidRPr="00302EB7">
        <w:rPr>
          <w:color w:val="000000"/>
          <w:sz w:val="20"/>
          <w:szCs w:val="20"/>
          <w:vertAlign w:val="superscript"/>
        </w:rPr>
        <w:t>3</w:t>
      </w:r>
      <w:r w:rsidRPr="00302EB7">
        <w:rPr>
          <w:color w:val="000000"/>
          <w:sz w:val="20"/>
          <w:szCs w:val="20"/>
        </w:rPr>
        <w:t>, platelets &gt;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100,000/mm</w:t>
      </w:r>
      <w:r w:rsidRPr="00302EB7">
        <w:rPr>
          <w:color w:val="000000"/>
          <w:sz w:val="20"/>
          <w:szCs w:val="20"/>
          <w:vertAlign w:val="superscript"/>
        </w:rPr>
        <w:t>3</w:t>
      </w:r>
      <w:r w:rsidRPr="00302EB7">
        <w:rPr>
          <w:color w:val="000000"/>
          <w:sz w:val="20"/>
          <w:szCs w:val="20"/>
        </w:rPr>
        <w:t>,</w:t>
      </w:r>
      <w:r w:rsidR="00822A4E" w:rsidRPr="00302EB7">
        <w:rPr>
          <w:color w:val="000000"/>
          <w:sz w:val="20"/>
          <w:szCs w:val="20"/>
        </w:rPr>
        <w:t xml:space="preserve"> </w:t>
      </w:r>
      <w:proofErr w:type="spellStart"/>
      <w:r w:rsidRPr="00302EB7">
        <w:rPr>
          <w:color w:val="000000"/>
          <w:sz w:val="20"/>
          <w:szCs w:val="20"/>
        </w:rPr>
        <w:t>creatinine</w:t>
      </w:r>
      <w:proofErr w:type="spellEnd"/>
      <w:r w:rsidRPr="00302EB7">
        <w:rPr>
          <w:color w:val="000000"/>
          <w:sz w:val="20"/>
          <w:szCs w:val="20"/>
        </w:rPr>
        <w:t xml:space="preserve"> </w:t>
      </w:r>
      <w:r w:rsidR="00B9045A" w:rsidRPr="00302EB7">
        <w:rPr>
          <w:color w:val="000000"/>
          <w:sz w:val="20"/>
          <w:szCs w:val="20"/>
        </w:rPr>
        <w:t>clearance &lt; 60 ml/min</w:t>
      </w:r>
      <w:r w:rsidRPr="00302EB7">
        <w:rPr>
          <w:color w:val="000000"/>
          <w:sz w:val="20"/>
          <w:szCs w:val="20"/>
        </w:rPr>
        <w:t>.</w:t>
      </w:r>
      <w:r w:rsidR="00B9045A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Patients who received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chemotherapy, radiotherapy or had prior history of malignancy were excluded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from </w:t>
      </w:r>
      <w:r w:rsidR="00B9045A" w:rsidRPr="00302EB7">
        <w:rPr>
          <w:color w:val="000000"/>
          <w:sz w:val="20"/>
          <w:szCs w:val="20"/>
        </w:rPr>
        <w:t xml:space="preserve">the </w:t>
      </w:r>
      <w:r w:rsidRPr="00302EB7">
        <w:rPr>
          <w:color w:val="000000"/>
          <w:sz w:val="20"/>
          <w:szCs w:val="20"/>
        </w:rPr>
        <w:t xml:space="preserve">study. An </w:t>
      </w:r>
      <w:r w:rsidRPr="00302EB7">
        <w:rPr>
          <w:color w:val="000000"/>
          <w:sz w:val="20"/>
          <w:szCs w:val="20"/>
        </w:rPr>
        <w:lastRenderedPageBreak/>
        <w:t>approval of local ethics committee and an informed consent from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all patients were obtained.</w:t>
      </w:r>
    </w:p>
    <w:p w:rsidR="006D3A53" w:rsidRPr="00302EB7" w:rsidRDefault="006D3A53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proofErr w:type="spellStart"/>
      <w:r w:rsidRPr="00302EB7">
        <w:rPr>
          <w:b/>
          <w:bCs/>
          <w:color w:val="000000"/>
          <w:sz w:val="20"/>
          <w:szCs w:val="20"/>
        </w:rPr>
        <w:t>Neoadjuvant</w:t>
      </w:r>
      <w:proofErr w:type="spellEnd"/>
      <w:r w:rsidRPr="00302EB7">
        <w:rPr>
          <w:b/>
          <w:bCs/>
          <w:color w:val="000000"/>
          <w:sz w:val="20"/>
          <w:szCs w:val="20"/>
        </w:rPr>
        <w:t xml:space="preserve"> chemotherapy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All patients underwent routine laboratory and radiological work up for staging and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assessment of performance status. Maximal TURBT was carried out for all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patients followed by </w:t>
      </w:r>
      <w:proofErr w:type="spellStart"/>
      <w:r w:rsidRPr="00302EB7">
        <w:rPr>
          <w:color w:val="000000"/>
          <w:sz w:val="20"/>
          <w:szCs w:val="20"/>
        </w:rPr>
        <w:t>neoadjuvant</w:t>
      </w:r>
      <w:proofErr w:type="spellEnd"/>
      <w:r w:rsidRPr="00302EB7">
        <w:rPr>
          <w:color w:val="000000"/>
          <w:sz w:val="20"/>
          <w:szCs w:val="20"/>
        </w:rPr>
        <w:t xml:space="preserve"> chemotherapy within 1 week. Patients received</w:t>
      </w:r>
      <w:r w:rsidR="00D90108" w:rsidRPr="00302EB7">
        <w:rPr>
          <w:color w:val="000000"/>
          <w:sz w:val="20"/>
          <w:szCs w:val="20"/>
        </w:rPr>
        <w:t xml:space="preserve"> </w:t>
      </w:r>
      <w:proofErr w:type="spellStart"/>
      <w:r w:rsidRPr="00302EB7">
        <w:rPr>
          <w:color w:val="000000"/>
          <w:sz w:val="20"/>
          <w:szCs w:val="20"/>
        </w:rPr>
        <w:t>carboplatin</w:t>
      </w:r>
      <w:proofErr w:type="spellEnd"/>
      <w:r w:rsidRPr="00302EB7">
        <w:rPr>
          <w:color w:val="000000"/>
          <w:sz w:val="20"/>
          <w:szCs w:val="20"/>
        </w:rPr>
        <w:t xml:space="preserve"> AUC</w:t>
      </w:r>
      <w:r w:rsidR="00B9045A" w:rsidRPr="00302EB7">
        <w:rPr>
          <w:color w:val="000000"/>
          <w:sz w:val="20"/>
          <w:szCs w:val="20"/>
        </w:rPr>
        <w:t>5</w:t>
      </w:r>
      <w:r w:rsidRPr="00302EB7">
        <w:rPr>
          <w:color w:val="000000"/>
          <w:sz w:val="20"/>
          <w:szCs w:val="20"/>
        </w:rPr>
        <w:t xml:space="preserve"> on day 1 followed </w:t>
      </w:r>
      <w:proofErr w:type="spellStart"/>
      <w:r w:rsidRPr="00302EB7">
        <w:rPr>
          <w:color w:val="000000"/>
          <w:sz w:val="20"/>
          <w:szCs w:val="20"/>
        </w:rPr>
        <w:t>gemcitabine</w:t>
      </w:r>
      <w:proofErr w:type="spellEnd"/>
      <w:r w:rsidRPr="00302EB7">
        <w:rPr>
          <w:color w:val="000000"/>
          <w:sz w:val="20"/>
          <w:szCs w:val="20"/>
        </w:rPr>
        <w:t xml:space="preserve"> 1,000 mg/m</w:t>
      </w:r>
      <w:r w:rsidRPr="00302EB7">
        <w:rPr>
          <w:color w:val="000000"/>
          <w:sz w:val="20"/>
          <w:szCs w:val="20"/>
          <w:vertAlign w:val="superscript"/>
        </w:rPr>
        <w:t>2</w:t>
      </w:r>
      <w:r w:rsidRPr="00302EB7">
        <w:rPr>
          <w:color w:val="000000"/>
          <w:sz w:val="20"/>
          <w:szCs w:val="20"/>
        </w:rPr>
        <w:t xml:space="preserve"> on day 1 and 8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repeated every 21 days for 2 cycles.</w:t>
      </w:r>
    </w:p>
    <w:p w:rsidR="006D3A53" w:rsidRPr="00302EB7" w:rsidRDefault="006D3A53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302EB7">
        <w:rPr>
          <w:b/>
          <w:bCs/>
          <w:color w:val="000000"/>
          <w:sz w:val="20"/>
          <w:szCs w:val="20"/>
        </w:rPr>
        <w:t xml:space="preserve">Radiation and </w:t>
      </w:r>
      <w:proofErr w:type="spellStart"/>
      <w:r w:rsidRPr="00302EB7">
        <w:rPr>
          <w:b/>
          <w:bCs/>
          <w:color w:val="000000"/>
          <w:sz w:val="20"/>
          <w:szCs w:val="20"/>
        </w:rPr>
        <w:t>radiosensitizer</w:t>
      </w:r>
      <w:proofErr w:type="spellEnd"/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 xml:space="preserve">Radiotherapy started within 4 weeks after completion of </w:t>
      </w:r>
      <w:proofErr w:type="spellStart"/>
      <w:r w:rsidRPr="00302EB7">
        <w:rPr>
          <w:color w:val="000000"/>
          <w:sz w:val="20"/>
          <w:szCs w:val="20"/>
        </w:rPr>
        <w:t>neoadjuvant</w:t>
      </w:r>
      <w:proofErr w:type="spellEnd"/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chemotherapy. </w:t>
      </w:r>
      <w:proofErr w:type="spellStart"/>
      <w:r w:rsidRPr="00302EB7">
        <w:rPr>
          <w:color w:val="000000"/>
          <w:sz w:val="20"/>
          <w:szCs w:val="20"/>
        </w:rPr>
        <w:t>Gemcitabine</w:t>
      </w:r>
      <w:proofErr w:type="spellEnd"/>
      <w:r w:rsidRPr="00302EB7">
        <w:rPr>
          <w:color w:val="000000"/>
          <w:sz w:val="20"/>
          <w:szCs w:val="20"/>
        </w:rPr>
        <w:t xml:space="preserve"> 100 mg/m</w:t>
      </w:r>
      <w:r w:rsidRPr="00302EB7">
        <w:rPr>
          <w:color w:val="000000"/>
          <w:sz w:val="20"/>
          <w:szCs w:val="20"/>
          <w:vertAlign w:val="superscript"/>
        </w:rPr>
        <w:t>2</w:t>
      </w:r>
      <w:r w:rsidRPr="00302EB7">
        <w:rPr>
          <w:color w:val="000000"/>
          <w:sz w:val="20"/>
          <w:szCs w:val="20"/>
        </w:rPr>
        <w:t xml:space="preserve"> was given as </w:t>
      </w:r>
      <w:proofErr w:type="spellStart"/>
      <w:r w:rsidRPr="00302EB7">
        <w:rPr>
          <w:color w:val="000000"/>
          <w:sz w:val="20"/>
          <w:szCs w:val="20"/>
        </w:rPr>
        <w:t>radiosensetize</w:t>
      </w:r>
      <w:r w:rsidR="00822A4E" w:rsidRPr="00302EB7">
        <w:rPr>
          <w:color w:val="000000"/>
          <w:sz w:val="20"/>
          <w:szCs w:val="20"/>
        </w:rPr>
        <w:t>r</w:t>
      </w:r>
      <w:proofErr w:type="spellEnd"/>
      <w:r w:rsidRPr="00302EB7">
        <w:rPr>
          <w:color w:val="000000"/>
          <w:sz w:val="20"/>
          <w:szCs w:val="20"/>
        </w:rPr>
        <w:t xml:space="preserve"> 3 hours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before radiotherapy in </w:t>
      </w:r>
      <w:r w:rsidR="00822A4E" w:rsidRPr="00302EB7">
        <w:rPr>
          <w:color w:val="000000"/>
          <w:sz w:val="20"/>
          <w:szCs w:val="20"/>
        </w:rPr>
        <w:t>the course</w:t>
      </w:r>
      <w:r w:rsidRPr="00302EB7">
        <w:rPr>
          <w:color w:val="000000"/>
          <w:sz w:val="20"/>
          <w:szCs w:val="20"/>
        </w:rPr>
        <w:t xml:space="preserve"> of radiotherapy on days 1, 8, 15, and 22, 29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and 36.</w:t>
      </w:r>
    </w:p>
    <w:p w:rsidR="009A6059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i/>
          <w:iCs/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All patients were simulated on virtual simulator and three dimensional (3D)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conformal planning was performed. Sixty five </w:t>
      </w:r>
      <w:proofErr w:type="spellStart"/>
      <w:r w:rsidRPr="00302EB7">
        <w:rPr>
          <w:color w:val="000000"/>
          <w:sz w:val="20"/>
          <w:szCs w:val="20"/>
        </w:rPr>
        <w:t>Gy</w:t>
      </w:r>
      <w:proofErr w:type="spellEnd"/>
      <w:r w:rsidRPr="00302EB7">
        <w:rPr>
          <w:color w:val="000000"/>
          <w:sz w:val="20"/>
          <w:szCs w:val="20"/>
        </w:rPr>
        <w:t xml:space="preserve"> was given according to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shrinking field technique </w:t>
      </w:r>
      <w:r w:rsidRPr="00302EB7">
        <w:rPr>
          <w:b/>
          <w:bCs/>
          <w:color w:val="000000"/>
          <w:sz w:val="20"/>
          <w:szCs w:val="20"/>
        </w:rPr>
        <w:t>[6</w:t>
      </w:r>
      <w:r w:rsidR="00B9045A" w:rsidRPr="00302EB7">
        <w:rPr>
          <w:b/>
          <w:bCs/>
          <w:color w:val="000000"/>
          <w:sz w:val="20"/>
          <w:szCs w:val="20"/>
        </w:rPr>
        <w:t>].</w:t>
      </w:r>
    </w:p>
    <w:p w:rsidR="00B9045A" w:rsidRPr="00302EB7" w:rsidRDefault="000C178A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Phase</w:t>
      </w:r>
      <w:r w:rsidR="009A6059" w:rsidRPr="00302EB7">
        <w:rPr>
          <w:color w:val="000000"/>
          <w:sz w:val="20"/>
          <w:szCs w:val="20"/>
        </w:rPr>
        <w:t xml:space="preserve"> I;</w:t>
      </w:r>
      <w:r w:rsidR="006D3A53" w:rsidRPr="00302EB7">
        <w:rPr>
          <w:color w:val="000000"/>
          <w:sz w:val="20"/>
          <w:szCs w:val="20"/>
        </w:rPr>
        <w:t xml:space="preserve"> 45 </w:t>
      </w:r>
      <w:proofErr w:type="spellStart"/>
      <w:r w:rsidR="006D3A53" w:rsidRPr="00302EB7">
        <w:rPr>
          <w:color w:val="000000"/>
          <w:sz w:val="20"/>
          <w:szCs w:val="20"/>
        </w:rPr>
        <w:t>Gy</w:t>
      </w:r>
      <w:proofErr w:type="spellEnd"/>
      <w:r w:rsidR="006D3A53" w:rsidRPr="00302EB7">
        <w:rPr>
          <w:color w:val="000000"/>
          <w:sz w:val="20"/>
          <w:szCs w:val="20"/>
        </w:rPr>
        <w:t xml:space="preserve"> in 25 fractions</w:t>
      </w:r>
      <w:r w:rsidR="00822A4E" w:rsidRPr="00302EB7">
        <w:rPr>
          <w:color w:val="000000"/>
          <w:sz w:val="20"/>
          <w:szCs w:val="20"/>
        </w:rPr>
        <w:t xml:space="preserve"> five days/week, </w:t>
      </w:r>
      <w:r w:rsidR="009A6059" w:rsidRPr="00302EB7">
        <w:rPr>
          <w:color w:val="000000"/>
          <w:sz w:val="20"/>
          <w:szCs w:val="20"/>
        </w:rPr>
        <w:t xml:space="preserve">with borders to include bladder and </w:t>
      </w:r>
      <w:r w:rsidR="00B9045A" w:rsidRPr="00302EB7">
        <w:rPr>
          <w:color w:val="000000"/>
          <w:sz w:val="20"/>
          <w:szCs w:val="20"/>
        </w:rPr>
        <w:t>drainage</w:t>
      </w:r>
      <w:r w:rsidR="009A6059" w:rsidRPr="00302EB7">
        <w:rPr>
          <w:color w:val="000000"/>
          <w:sz w:val="20"/>
          <w:szCs w:val="20"/>
        </w:rPr>
        <w:t xml:space="preserve"> lymph </w:t>
      </w:r>
      <w:r w:rsidR="00AC736C" w:rsidRPr="00302EB7">
        <w:rPr>
          <w:color w:val="000000"/>
          <w:sz w:val="20"/>
          <w:szCs w:val="20"/>
        </w:rPr>
        <w:t>node (</w:t>
      </w:r>
      <w:r w:rsidR="003808EB" w:rsidRPr="00302EB7">
        <w:rPr>
          <w:color w:val="000000"/>
          <w:sz w:val="20"/>
          <w:szCs w:val="20"/>
        </w:rPr>
        <w:t>whole pelvis)</w:t>
      </w:r>
      <w:r w:rsidR="00B9045A" w:rsidRPr="00302EB7">
        <w:rPr>
          <w:color w:val="000000"/>
          <w:sz w:val="20"/>
          <w:szCs w:val="20"/>
        </w:rPr>
        <w:t xml:space="preserve"> </w:t>
      </w:r>
      <w:r w:rsidR="009A6059" w:rsidRPr="00302EB7">
        <w:rPr>
          <w:color w:val="000000"/>
          <w:sz w:val="20"/>
          <w:szCs w:val="20"/>
        </w:rPr>
        <w:t>as the following</w:t>
      </w:r>
      <w:r w:rsidR="00B9045A" w:rsidRPr="00302EB7">
        <w:rPr>
          <w:color w:val="000000"/>
          <w:sz w:val="20"/>
          <w:szCs w:val="20"/>
        </w:rPr>
        <w:t>:</w:t>
      </w:r>
    </w:p>
    <w:p w:rsidR="009A6059" w:rsidRPr="00302EB7" w:rsidRDefault="00B9045A" w:rsidP="00C73DB9">
      <w:pPr>
        <w:autoSpaceDE w:val="0"/>
        <w:autoSpaceDN w:val="0"/>
        <w:adjustRightInd w:val="0"/>
        <w:ind w:firstLine="425"/>
        <w:jc w:val="both"/>
        <w:rPr>
          <w:rFonts w:eastAsia="TimesNewRomanRegular"/>
          <w:color w:val="000000"/>
          <w:sz w:val="20"/>
          <w:szCs w:val="20"/>
        </w:rPr>
      </w:pPr>
      <w:r w:rsidRPr="00302EB7">
        <w:rPr>
          <w:rFonts w:eastAsia="TimesNewRomanRegular"/>
          <w:color w:val="000000"/>
          <w:sz w:val="20"/>
          <w:szCs w:val="20"/>
        </w:rPr>
        <w:t>A</w:t>
      </w:r>
      <w:r w:rsidR="009A6059" w:rsidRPr="00302EB7">
        <w:rPr>
          <w:rFonts w:eastAsia="TimesNewRomanRegular"/>
          <w:color w:val="000000"/>
          <w:sz w:val="20"/>
          <w:szCs w:val="20"/>
        </w:rPr>
        <w:t>nterior–posterior field</w:t>
      </w:r>
      <w:r w:rsidRPr="00302EB7">
        <w:rPr>
          <w:rFonts w:eastAsia="TimesNewRomanRegular"/>
          <w:color w:val="000000"/>
          <w:sz w:val="20"/>
          <w:szCs w:val="20"/>
        </w:rPr>
        <w:t xml:space="preserve">: </w:t>
      </w:r>
      <w:r w:rsidR="009A6059" w:rsidRPr="00302EB7">
        <w:rPr>
          <w:rFonts w:eastAsia="TimesNewRomanRegular"/>
          <w:color w:val="000000"/>
          <w:sz w:val="20"/>
          <w:szCs w:val="20"/>
        </w:rPr>
        <w:t xml:space="preserve">Superior: between </w:t>
      </w:r>
      <w:r w:rsidR="0041405A" w:rsidRPr="00302EB7">
        <w:rPr>
          <w:rFonts w:eastAsia="TimesNewRomanRegular"/>
          <w:color w:val="000000"/>
          <w:sz w:val="20"/>
          <w:szCs w:val="20"/>
        </w:rPr>
        <w:t>L5-</w:t>
      </w:r>
      <w:r w:rsidR="009A6059" w:rsidRPr="00302EB7">
        <w:rPr>
          <w:rFonts w:eastAsia="TimesNewRomanRegular"/>
          <w:color w:val="000000"/>
          <w:sz w:val="20"/>
          <w:szCs w:val="20"/>
        </w:rPr>
        <w:t>S1</w:t>
      </w:r>
      <w:r w:rsidR="0041405A" w:rsidRPr="00302EB7">
        <w:rPr>
          <w:rFonts w:eastAsia="TimesNewRomanRegular"/>
          <w:color w:val="000000"/>
          <w:sz w:val="20"/>
          <w:szCs w:val="20"/>
        </w:rPr>
        <w:t>.</w:t>
      </w:r>
      <w:r w:rsidR="009A6059" w:rsidRPr="00302EB7">
        <w:rPr>
          <w:rFonts w:eastAsia="TimesNewRomanRegular"/>
          <w:color w:val="000000"/>
          <w:sz w:val="20"/>
          <w:szCs w:val="20"/>
        </w:rPr>
        <w:t xml:space="preserve"> Inferior: </w:t>
      </w:r>
      <w:r w:rsidR="0041405A" w:rsidRPr="00302EB7">
        <w:rPr>
          <w:rFonts w:eastAsia="TimesNewRomanRegular"/>
          <w:color w:val="000000"/>
          <w:sz w:val="20"/>
          <w:szCs w:val="20"/>
        </w:rPr>
        <w:t xml:space="preserve">at the level of the bottom of the </w:t>
      </w:r>
      <w:proofErr w:type="spellStart"/>
      <w:r w:rsidR="0041405A" w:rsidRPr="00302EB7">
        <w:rPr>
          <w:rFonts w:eastAsia="TimesNewRomanRegular"/>
          <w:color w:val="000000"/>
          <w:sz w:val="20"/>
          <w:szCs w:val="20"/>
        </w:rPr>
        <w:t>obturator</w:t>
      </w:r>
      <w:proofErr w:type="spellEnd"/>
      <w:r w:rsidR="0041405A" w:rsidRPr="00302EB7">
        <w:rPr>
          <w:rFonts w:eastAsia="TimesNewRomanRegular"/>
          <w:color w:val="000000"/>
          <w:sz w:val="20"/>
          <w:szCs w:val="20"/>
        </w:rPr>
        <w:t xml:space="preserve"> foramina </w:t>
      </w:r>
      <w:r w:rsidR="009A6059" w:rsidRPr="00302EB7">
        <w:rPr>
          <w:rFonts w:eastAsia="TimesNewRomanRegular"/>
          <w:color w:val="000000"/>
          <w:sz w:val="20"/>
          <w:szCs w:val="20"/>
        </w:rPr>
        <w:t>(if bladder neck and/or prostatic urethra</w:t>
      </w:r>
      <w:r w:rsidRPr="00302EB7">
        <w:rPr>
          <w:rFonts w:eastAsia="TimesNewRomanRegular"/>
          <w:color w:val="000000"/>
          <w:sz w:val="20"/>
          <w:szCs w:val="20"/>
        </w:rPr>
        <w:t xml:space="preserve"> involvement</w:t>
      </w:r>
      <w:r w:rsidR="000C178A" w:rsidRPr="00302EB7">
        <w:rPr>
          <w:rFonts w:eastAsia="TimesNewRomanRegular"/>
          <w:color w:val="000000"/>
          <w:sz w:val="20"/>
          <w:szCs w:val="20"/>
        </w:rPr>
        <w:t>: 1.5</w:t>
      </w:r>
      <w:r w:rsidR="009A6059" w:rsidRPr="00302EB7">
        <w:rPr>
          <w:rFonts w:eastAsia="TimesNewRomanRegular"/>
          <w:color w:val="000000"/>
          <w:sz w:val="20"/>
          <w:szCs w:val="20"/>
        </w:rPr>
        <w:t xml:space="preserve"> cm below </w:t>
      </w:r>
      <w:proofErr w:type="spellStart"/>
      <w:r w:rsidR="009A6059" w:rsidRPr="00302EB7">
        <w:rPr>
          <w:rFonts w:eastAsia="TimesNewRomanRegular"/>
          <w:color w:val="000000"/>
          <w:sz w:val="20"/>
          <w:szCs w:val="20"/>
        </w:rPr>
        <w:t>obturator</w:t>
      </w:r>
      <w:proofErr w:type="spellEnd"/>
      <w:r w:rsidR="009A6059" w:rsidRPr="00302EB7">
        <w:rPr>
          <w:rFonts w:eastAsia="TimesNewRomanRegular"/>
          <w:color w:val="000000"/>
          <w:sz w:val="20"/>
          <w:szCs w:val="20"/>
        </w:rPr>
        <w:t xml:space="preserve"> foram</w:t>
      </w:r>
      <w:r w:rsidR="0041405A" w:rsidRPr="00302EB7">
        <w:rPr>
          <w:rFonts w:eastAsia="TimesNewRomanRegular"/>
          <w:color w:val="000000"/>
          <w:sz w:val="20"/>
          <w:szCs w:val="20"/>
        </w:rPr>
        <w:t>ina</w:t>
      </w:r>
      <w:r w:rsidR="009A6059" w:rsidRPr="00302EB7">
        <w:rPr>
          <w:rFonts w:eastAsia="TimesNewRomanRegular"/>
          <w:color w:val="000000"/>
          <w:sz w:val="20"/>
          <w:szCs w:val="20"/>
        </w:rPr>
        <w:t>). Lateral: bony pelvis + 1.5–2 cm</w:t>
      </w:r>
      <w:r w:rsidRPr="00302EB7">
        <w:rPr>
          <w:rFonts w:eastAsia="TimesNewRomanRegular"/>
          <w:color w:val="000000"/>
          <w:sz w:val="20"/>
          <w:szCs w:val="20"/>
        </w:rPr>
        <w:t>.</w:t>
      </w:r>
    </w:p>
    <w:p w:rsidR="000C178A" w:rsidRPr="00302EB7" w:rsidRDefault="009A6059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Lateral fields</w:t>
      </w:r>
      <w:r w:rsidR="00B9045A" w:rsidRPr="00302EB7">
        <w:rPr>
          <w:color w:val="000000"/>
          <w:sz w:val="20"/>
          <w:szCs w:val="20"/>
        </w:rPr>
        <w:t>:</w:t>
      </w:r>
      <w:r w:rsidRPr="00302EB7">
        <w:rPr>
          <w:color w:val="000000"/>
          <w:sz w:val="20"/>
          <w:szCs w:val="20"/>
        </w:rPr>
        <w:t xml:space="preserve"> Superior and inferior: same as anterior–posterior fields. Anterior: </w:t>
      </w:r>
      <w:r w:rsidR="0041405A" w:rsidRPr="00302EB7">
        <w:rPr>
          <w:color w:val="000000"/>
          <w:sz w:val="20"/>
          <w:szCs w:val="20"/>
        </w:rPr>
        <w:t>extends to the anterior bladder wall with a 1.5- to 2-cm margin</w:t>
      </w:r>
      <w:r w:rsidRPr="00302EB7">
        <w:rPr>
          <w:color w:val="000000"/>
          <w:sz w:val="20"/>
          <w:szCs w:val="20"/>
        </w:rPr>
        <w:t>. Posterior: at least 1–3 cm posterior to tumor</w:t>
      </w:r>
      <w:r w:rsidR="0041405A" w:rsidRPr="00302EB7">
        <w:rPr>
          <w:color w:val="000000"/>
          <w:sz w:val="20"/>
          <w:szCs w:val="20"/>
        </w:rPr>
        <w:t xml:space="preserve"> which will incorporate the </w:t>
      </w:r>
      <w:proofErr w:type="spellStart"/>
      <w:r w:rsidR="0041405A" w:rsidRPr="00302EB7">
        <w:rPr>
          <w:color w:val="000000"/>
          <w:sz w:val="20"/>
          <w:szCs w:val="20"/>
        </w:rPr>
        <w:t>presacral</w:t>
      </w:r>
      <w:proofErr w:type="spellEnd"/>
      <w:r w:rsidR="0041405A" w:rsidRPr="00302EB7">
        <w:rPr>
          <w:color w:val="000000"/>
          <w:sz w:val="20"/>
          <w:szCs w:val="20"/>
        </w:rPr>
        <w:t xml:space="preserve"> lymph nodes.</w:t>
      </w:r>
      <w:r w:rsidR="00B9045A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Anterior–posterior field: femur heads are shielded; lateral fields: two-thirds of posterior</w:t>
      </w:r>
      <w:r w:rsidR="00B9045A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rectum and small intestines are shielded.</w:t>
      </w:r>
    </w:p>
    <w:p w:rsidR="00153250" w:rsidRPr="00302EB7" w:rsidRDefault="00B9045A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In phase</w:t>
      </w:r>
      <w:r w:rsidR="009A6059" w:rsidRPr="00302EB7">
        <w:rPr>
          <w:color w:val="000000"/>
          <w:sz w:val="20"/>
          <w:szCs w:val="20"/>
        </w:rPr>
        <w:t xml:space="preserve"> II</w:t>
      </w:r>
      <w:r w:rsidR="006D3A53" w:rsidRPr="00302EB7">
        <w:rPr>
          <w:color w:val="000000"/>
          <w:sz w:val="20"/>
          <w:szCs w:val="20"/>
        </w:rPr>
        <w:t xml:space="preserve">; the dose was </w:t>
      </w:r>
      <w:r w:rsidR="00153250" w:rsidRPr="00302EB7">
        <w:rPr>
          <w:color w:val="000000"/>
          <w:sz w:val="20"/>
          <w:szCs w:val="20"/>
        </w:rPr>
        <w:t xml:space="preserve">given 20 </w:t>
      </w:r>
      <w:proofErr w:type="spellStart"/>
      <w:r w:rsidR="00153250" w:rsidRPr="00302EB7">
        <w:rPr>
          <w:color w:val="000000"/>
          <w:sz w:val="20"/>
          <w:szCs w:val="20"/>
        </w:rPr>
        <w:t>Gy</w:t>
      </w:r>
      <w:proofErr w:type="spellEnd"/>
      <w:r w:rsidR="00153250" w:rsidRPr="00302EB7">
        <w:rPr>
          <w:color w:val="000000"/>
          <w:sz w:val="20"/>
          <w:szCs w:val="20"/>
        </w:rPr>
        <w:t xml:space="preserve"> in ten fractions to</w:t>
      </w:r>
      <w:r w:rsidRPr="00302EB7">
        <w:rPr>
          <w:color w:val="000000"/>
          <w:sz w:val="20"/>
          <w:szCs w:val="20"/>
        </w:rPr>
        <w:t xml:space="preserve"> </w:t>
      </w:r>
      <w:r w:rsidR="00153250" w:rsidRPr="00302EB7">
        <w:rPr>
          <w:color w:val="000000"/>
          <w:sz w:val="20"/>
          <w:szCs w:val="20"/>
        </w:rPr>
        <w:t xml:space="preserve">the </w:t>
      </w:r>
      <w:r w:rsidRPr="00302EB7">
        <w:rPr>
          <w:color w:val="000000"/>
          <w:sz w:val="20"/>
          <w:szCs w:val="20"/>
        </w:rPr>
        <w:t>following</w:t>
      </w:r>
      <w:r w:rsidR="00153250" w:rsidRPr="00302EB7">
        <w:rPr>
          <w:color w:val="000000"/>
          <w:sz w:val="20"/>
          <w:szCs w:val="20"/>
        </w:rPr>
        <w:t xml:space="preserve"> volume</w:t>
      </w:r>
      <w:r w:rsidRPr="00302EB7">
        <w:rPr>
          <w:color w:val="000000"/>
          <w:sz w:val="20"/>
          <w:szCs w:val="20"/>
        </w:rPr>
        <w:t xml:space="preserve"> </w:t>
      </w:r>
      <w:r w:rsidR="000C178A" w:rsidRPr="00302EB7">
        <w:rPr>
          <w:color w:val="000000"/>
          <w:sz w:val="20"/>
          <w:szCs w:val="20"/>
        </w:rPr>
        <w:t>(Boost</w:t>
      </w:r>
      <w:r w:rsidR="00153250" w:rsidRPr="00302EB7">
        <w:rPr>
          <w:color w:val="000000"/>
          <w:sz w:val="20"/>
          <w:szCs w:val="20"/>
        </w:rPr>
        <w:t xml:space="preserve"> field)</w:t>
      </w:r>
      <w:r w:rsidRPr="00302EB7">
        <w:rPr>
          <w:color w:val="000000"/>
          <w:sz w:val="20"/>
          <w:szCs w:val="20"/>
        </w:rPr>
        <w:t>:</w:t>
      </w:r>
      <w:r w:rsidR="00153250" w:rsidRPr="00302EB7">
        <w:rPr>
          <w:sz w:val="20"/>
          <w:szCs w:val="20"/>
        </w:rPr>
        <w:t xml:space="preserve"> </w:t>
      </w:r>
      <w:r w:rsidR="00153250" w:rsidRPr="00302EB7">
        <w:rPr>
          <w:rFonts w:eastAsia="TimesNewRomanRegular"/>
          <w:sz w:val="20"/>
          <w:szCs w:val="20"/>
        </w:rPr>
        <w:t>Bladder + 1.5–2 cm margin</w:t>
      </w:r>
      <w:r w:rsidR="006D3A53" w:rsidRPr="00302EB7">
        <w:rPr>
          <w:color w:val="000000"/>
          <w:sz w:val="20"/>
          <w:szCs w:val="20"/>
        </w:rPr>
        <w:t>.</w:t>
      </w:r>
    </w:p>
    <w:p w:rsidR="006D3A53" w:rsidRPr="00302EB7" w:rsidRDefault="0041405A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 xml:space="preserve">Follow up </w:t>
      </w:r>
      <w:proofErr w:type="spellStart"/>
      <w:r w:rsidRPr="00302EB7">
        <w:rPr>
          <w:color w:val="000000"/>
          <w:sz w:val="20"/>
          <w:szCs w:val="20"/>
        </w:rPr>
        <w:t>cystoscop</w:t>
      </w:r>
      <w:r w:rsidR="006D3A53" w:rsidRPr="00302EB7">
        <w:rPr>
          <w:color w:val="000000"/>
          <w:sz w:val="20"/>
          <w:szCs w:val="20"/>
        </w:rPr>
        <w:t>y</w:t>
      </w:r>
      <w:proofErr w:type="spellEnd"/>
      <w:r w:rsidR="006D3A53" w:rsidRPr="00302EB7">
        <w:rPr>
          <w:color w:val="000000"/>
          <w:sz w:val="20"/>
          <w:szCs w:val="20"/>
        </w:rPr>
        <w:t xml:space="preserve"> and biopsy was performed 4-6 weeks</w:t>
      </w:r>
      <w:r w:rsidR="00D90108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after complet</w:t>
      </w:r>
      <w:r w:rsidR="000C178A" w:rsidRPr="00302EB7">
        <w:rPr>
          <w:color w:val="000000"/>
          <w:sz w:val="20"/>
          <w:szCs w:val="20"/>
        </w:rPr>
        <w:t xml:space="preserve">ion of radiotherapy cycles and </w:t>
      </w:r>
      <w:r w:rsidR="006D3A53" w:rsidRPr="00302EB7">
        <w:rPr>
          <w:color w:val="000000"/>
          <w:sz w:val="20"/>
          <w:szCs w:val="20"/>
        </w:rPr>
        <w:t>then every 3 months</w:t>
      </w:r>
      <w:r w:rsidR="00D90108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 xml:space="preserve">for </w:t>
      </w:r>
      <w:r w:rsidR="008E042C" w:rsidRPr="00302EB7">
        <w:rPr>
          <w:color w:val="000000"/>
          <w:sz w:val="20"/>
          <w:szCs w:val="20"/>
        </w:rPr>
        <w:t xml:space="preserve">the </w:t>
      </w:r>
      <w:r w:rsidR="006D3A53" w:rsidRPr="00302EB7">
        <w:rPr>
          <w:color w:val="000000"/>
          <w:sz w:val="20"/>
          <w:szCs w:val="20"/>
        </w:rPr>
        <w:t xml:space="preserve">first year and every 6 months for </w:t>
      </w:r>
      <w:r w:rsidR="008E042C" w:rsidRPr="00302EB7">
        <w:rPr>
          <w:color w:val="000000"/>
          <w:sz w:val="20"/>
          <w:szCs w:val="20"/>
        </w:rPr>
        <w:t xml:space="preserve">the </w:t>
      </w:r>
      <w:r w:rsidR="006D3A53" w:rsidRPr="00302EB7">
        <w:rPr>
          <w:color w:val="000000"/>
          <w:sz w:val="20"/>
          <w:szCs w:val="20"/>
        </w:rPr>
        <w:t xml:space="preserve">following years. Salvage </w:t>
      </w:r>
      <w:proofErr w:type="spellStart"/>
      <w:r w:rsidR="006D3A53" w:rsidRPr="00302EB7">
        <w:rPr>
          <w:color w:val="000000"/>
          <w:sz w:val="20"/>
          <w:szCs w:val="20"/>
        </w:rPr>
        <w:t>cystectomy</w:t>
      </w:r>
      <w:proofErr w:type="spellEnd"/>
      <w:r w:rsidR="006D3A53" w:rsidRPr="00302EB7">
        <w:rPr>
          <w:color w:val="000000"/>
          <w:sz w:val="20"/>
          <w:szCs w:val="20"/>
        </w:rPr>
        <w:t xml:space="preserve"> is</w:t>
      </w:r>
      <w:r w:rsidR="00D90108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performed if Patient has any residual tumor or recurrence of disease during the</w:t>
      </w:r>
      <w:r w:rsidR="00D90108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follow up period. Chest radiography abdominal and pelvic CT were performed</w:t>
      </w:r>
      <w:r w:rsidR="00D90108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every 6 months for 5 years after treatment.</w:t>
      </w:r>
    </w:p>
    <w:p w:rsidR="006D3A53" w:rsidRPr="00302EB7" w:rsidRDefault="006D3A53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302EB7">
        <w:rPr>
          <w:b/>
          <w:bCs/>
          <w:color w:val="000000"/>
          <w:sz w:val="20"/>
          <w:szCs w:val="20"/>
        </w:rPr>
        <w:t>Outcome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1- The National Cancer Institute Common Toxicity Criteria (NCI-CTC) version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2.0, were used to assess toxicity </w:t>
      </w:r>
      <w:r w:rsidRPr="00302EB7">
        <w:rPr>
          <w:b/>
          <w:bCs/>
          <w:color w:val="000000"/>
          <w:sz w:val="20"/>
          <w:szCs w:val="20"/>
        </w:rPr>
        <w:t>[7</w:t>
      </w:r>
      <w:r w:rsidR="000C178A" w:rsidRPr="00302EB7">
        <w:rPr>
          <w:b/>
          <w:bCs/>
          <w:color w:val="000000"/>
          <w:sz w:val="20"/>
          <w:szCs w:val="20"/>
        </w:rPr>
        <w:t xml:space="preserve">]. </w:t>
      </w:r>
      <w:r w:rsidRPr="00302EB7">
        <w:rPr>
          <w:color w:val="000000"/>
          <w:sz w:val="20"/>
          <w:szCs w:val="20"/>
        </w:rPr>
        <w:t>Late Radiation Morbidity Scoring Criteria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were used to score toxicity according to The Radiation Therapy Oncology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Group (RTOG) </w:t>
      </w:r>
      <w:r w:rsidRPr="00302EB7">
        <w:rPr>
          <w:b/>
          <w:bCs/>
          <w:color w:val="000000"/>
          <w:sz w:val="20"/>
          <w:szCs w:val="20"/>
        </w:rPr>
        <w:t>[8]</w:t>
      </w:r>
      <w:r w:rsidRPr="00302EB7">
        <w:rPr>
          <w:color w:val="000000"/>
          <w:sz w:val="20"/>
          <w:szCs w:val="20"/>
        </w:rPr>
        <w:t>.</w:t>
      </w:r>
      <w:r w:rsidR="000C178A" w:rsidRPr="00302EB7">
        <w:rPr>
          <w:color w:val="000000"/>
          <w:sz w:val="20"/>
          <w:szCs w:val="20"/>
        </w:rPr>
        <w:t xml:space="preserve"> The</w:t>
      </w:r>
      <w:r w:rsidR="00D26EE1" w:rsidRPr="00302EB7">
        <w:rPr>
          <w:color w:val="000000"/>
          <w:sz w:val="20"/>
          <w:szCs w:val="20"/>
        </w:rPr>
        <w:t xml:space="preserve"> </w:t>
      </w:r>
      <w:r w:rsidR="000C178A" w:rsidRPr="00302EB7">
        <w:rPr>
          <w:color w:val="000000"/>
          <w:sz w:val="20"/>
          <w:szCs w:val="20"/>
        </w:rPr>
        <w:t>assessment</w:t>
      </w:r>
      <w:r w:rsidR="00D26EE1" w:rsidRPr="00302EB7">
        <w:rPr>
          <w:color w:val="000000"/>
          <w:sz w:val="20"/>
          <w:szCs w:val="20"/>
        </w:rPr>
        <w:t xml:space="preserve"> of toxicities</w:t>
      </w:r>
      <w:r w:rsidR="000C178A" w:rsidRPr="00302EB7">
        <w:rPr>
          <w:color w:val="000000"/>
          <w:sz w:val="20"/>
          <w:szCs w:val="20"/>
        </w:rPr>
        <w:t xml:space="preserve"> were assessed every </w:t>
      </w:r>
      <w:r w:rsidR="000C178A" w:rsidRPr="00302EB7">
        <w:rPr>
          <w:color w:val="000000"/>
          <w:sz w:val="20"/>
          <w:szCs w:val="20"/>
        </w:rPr>
        <w:lastRenderedPageBreak/>
        <w:t>week in regular clinic visits</w:t>
      </w:r>
      <w:r w:rsidR="00D26EE1" w:rsidRPr="00302EB7">
        <w:rPr>
          <w:color w:val="000000"/>
          <w:sz w:val="20"/>
          <w:szCs w:val="20"/>
        </w:rPr>
        <w:t xml:space="preserve"> during treatment and every month after treatment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2-</w:t>
      </w:r>
      <w:r w:rsidR="000C178A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Outcome was evaluated at follow up </w:t>
      </w:r>
      <w:proofErr w:type="spellStart"/>
      <w:r w:rsidRPr="00302EB7">
        <w:rPr>
          <w:color w:val="000000"/>
          <w:sz w:val="20"/>
          <w:szCs w:val="20"/>
        </w:rPr>
        <w:t>cystoscopy</w:t>
      </w:r>
      <w:proofErr w:type="spellEnd"/>
      <w:r w:rsidRPr="00302EB7">
        <w:rPr>
          <w:color w:val="000000"/>
          <w:sz w:val="20"/>
          <w:szCs w:val="20"/>
        </w:rPr>
        <w:t xml:space="preserve"> and tumor site biopsy done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after completion </w:t>
      </w:r>
      <w:r w:rsidR="00D25218" w:rsidRPr="00302EB7">
        <w:rPr>
          <w:color w:val="000000"/>
          <w:sz w:val="20"/>
          <w:szCs w:val="20"/>
        </w:rPr>
        <w:t xml:space="preserve">of </w:t>
      </w:r>
      <w:r w:rsidR="000C178A" w:rsidRPr="00302EB7">
        <w:rPr>
          <w:color w:val="000000"/>
          <w:sz w:val="20"/>
          <w:szCs w:val="20"/>
        </w:rPr>
        <w:t xml:space="preserve">treatment. </w:t>
      </w:r>
      <w:r w:rsidRPr="00302EB7">
        <w:rPr>
          <w:color w:val="000000"/>
          <w:sz w:val="20"/>
          <w:szCs w:val="20"/>
        </w:rPr>
        <w:t>Response assessment</w:t>
      </w:r>
      <w:r w:rsidR="000C178A" w:rsidRPr="00302EB7">
        <w:rPr>
          <w:color w:val="000000"/>
          <w:sz w:val="20"/>
          <w:szCs w:val="20"/>
        </w:rPr>
        <w:t xml:space="preserve"> was assessed according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to response evaluation criteria in solid tumors (RECIST): Complete response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(CR): complete regression of all evidence of tumors. Partial response (PR): an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estimated decrease in tumors size of 50% or more. Stable disease (SD): less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than 50%</w:t>
      </w:r>
      <w:r w:rsidR="000C178A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in tumor size or more than 25% of pretreatment tumor size. Progressive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disease (PD): more than 25% increase in pretreatment tumor size </w:t>
      </w:r>
      <w:r w:rsidRPr="00302EB7">
        <w:rPr>
          <w:b/>
          <w:bCs/>
          <w:color w:val="000000"/>
          <w:sz w:val="20"/>
          <w:szCs w:val="20"/>
        </w:rPr>
        <w:t>[9]</w:t>
      </w:r>
      <w:r w:rsidRPr="00302EB7">
        <w:rPr>
          <w:color w:val="000000"/>
          <w:sz w:val="20"/>
          <w:szCs w:val="20"/>
        </w:rPr>
        <w:t>.</w:t>
      </w:r>
    </w:p>
    <w:p w:rsidR="006D3A53" w:rsidRPr="00302EB7" w:rsidRDefault="006D3A53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302EB7">
        <w:rPr>
          <w:b/>
          <w:bCs/>
          <w:color w:val="000000"/>
          <w:sz w:val="20"/>
          <w:szCs w:val="20"/>
        </w:rPr>
        <w:t>Endpoints: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The primary endpoints were tumor response and toxicity. Secondary end point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was the overall survival (OS) and Cancer-specific survival (CSS). OS was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measured from the date of initiation of treatment to the date of death from any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cause; detecting recurrences or metastases.</w:t>
      </w:r>
      <w:r w:rsidR="008E042C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CSS was measured from the date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initiation of treatment to the date of death from Cancer related cause.</w:t>
      </w:r>
    </w:p>
    <w:p w:rsidR="006D3A53" w:rsidRPr="00302EB7" w:rsidRDefault="006D3A53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302EB7">
        <w:rPr>
          <w:b/>
          <w:bCs/>
          <w:color w:val="000000"/>
          <w:sz w:val="20"/>
          <w:szCs w:val="20"/>
        </w:rPr>
        <w:t>Statistical analysis: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The unpaired student -t- test or chi-squared (x</w:t>
      </w:r>
      <w:r w:rsidRPr="00302EB7">
        <w:rPr>
          <w:color w:val="000000"/>
          <w:sz w:val="20"/>
          <w:szCs w:val="20"/>
          <w:vertAlign w:val="superscript"/>
        </w:rPr>
        <w:t>2</w:t>
      </w:r>
      <w:r w:rsidRPr="00302EB7">
        <w:rPr>
          <w:color w:val="000000"/>
          <w:sz w:val="20"/>
          <w:szCs w:val="20"/>
        </w:rPr>
        <w:t>) test was used for data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expression. Survival was evaluated and statistically analyzes using </w:t>
      </w:r>
      <w:proofErr w:type="spellStart"/>
      <w:r w:rsidRPr="00302EB7">
        <w:rPr>
          <w:color w:val="000000"/>
          <w:sz w:val="20"/>
          <w:szCs w:val="20"/>
        </w:rPr>
        <w:t>Kaplane</w:t>
      </w:r>
      <w:proofErr w:type="spellEnd"/>
      <w:r w:rsidRPr="00302EB7">
        <w:rPr>
          <w:color w:val="000000"/>
          <w:sz w:val="20"/>
          <w:szCs w:val="20"/>
        </w:rPr>
        <w:t>-Meier curves and the log-rank test with p&lt;0.050 considered as statistically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significant. All statistical analyses were done by </w:t>
      </w:r>
      <w:proofErr w:type="spellStart"/>
      <w:r w:rsidRPr="00302EB7">
        <w:rPr>
          <w:color w:val="000000"/>
          <w:sz w:val="20"/>
          <w:szCs w:val="20"/>
        </w:rPr>
        <w:t>MedCalc</w:t>
      </w:r>
      <w:proofErr w:type="spellEnd"/>
      <w:r w:rsidRPr="00302EB7">
        <w:rPr>
          <w:color w:val="000000"/>
          <w:sz w:val="20"/>
          <w:szCs w:val="20"/>
        </w:rPr>
        <w:t xml:space="preserve"> software, version</w:t>
      </w:r>
      <w:r w:rsidR="00D9010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14.8.1.</w:t>
      </w:r>
    </w:p>
    <w:p w:rsidR="00302EB7" w:rsidRDefault="00302EB7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6D3A53" w:rsidRPr="00302EB7" w:rsidRDefault="00302EB7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3. </w:t>
      </w:r>
      <w:r w:rsidR="006D3A53" w:rsidRPr="00302EB7">
        <w:rPr>
          <w:b/>
          <w:bCs/>
          <w:color w:val="000000"/>
          <w:sz w:val="20"/>
          <w:szCs w:val="20"/>
        </w:rPr>
        <w:t>Results</w:t>
      </w:r>
    </w:p>
    <w:p w:rsidR="006D3A53" w:rsidRDefault="006D3A53" w:rsidP="00C73DB9">
      <w:pPr>
        <w:autoSpaceDE w:val="0"/>
        <w:autoSpaceDN w:val="0"/>
        <w:adjustRightInd w:val="0"/>
        <w:ind w:firstLine="425"/>
        <w:jc w:val="both"/>
        <w:rPr>
          <w:b/>
          <w:bCs/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A total of 5</w:t>
      </w:r>
      <w:r w:rsidR="007C5C58" w:rsidRPr="00302EB7">
        <w:rPr>
          <w:color w:val="000000"/>
          <w:sz w:val="20"/>
          <w:szCs w:val="20"/>
        </w:rPr>
        <w:t>0</w:t>
      </w:r>
      <w:r w:rsidRPr="00302EB7">
        <w:rPr>
          <w:color w:val="000000"/>
          <w:sz w:val="20"/>
          <w:szCs w:val="20"/>
        </w:rPr>
        <w:t xml:space="preserve"> patients were enrolled in this study. </w:t>
      </w:r>
      <w:r w:rsidR="007C5C58" w:rsidRPr="00302EB7">
        <w:rPr>
          <w:color w:val="000000"/>
          <w:sz w:val="20"/>
          <w:szCs w:val="20"/>
        </w:rPr>
        <w:t>Two</w:t>
      </w:r>
      <w:r w:rsidRPr="00302EB7">
        <w:rPr>
          <w:color w:val="000000"/>
          <w:sz w:val="20"/>
          <w:szCs w:val="20"/>
        </w:rPr>
        <w:t xml:space="preserve"> patients were excluded</w:t>
      </w:r>
      <w:r w:rsidR="00786520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because of prior radiotherapy for another malignancy, making the final number</w:t>
      </w:r>
      <w:r w:rsidR="00786520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48 patients. The mean ± SD age of the patients was 62</w:t>
      </w:r>
      <w:r w:rsidR="00786520" w:rsidRPr="00302EB7">
        <w:rPr>
          <w:color w:val="000000"/>
          <w:sz w:val="20"/>
          <w:szCs w:val="20"/>
        </w:rPr>
        <w:t>.4</w:t>
      </w:r>
      <w:r w:rsidRPr="00302EB7">
        <w:rPr>
          <w:color w:val="000000"/>
          <w:sz w:val="20"/>
          <w:szCs w:val="20"/>
        </w:rPr>
        <w:t>±5.7. Two thirds of patients had</w:t>
      </w:r>
      <w:r w:rsidR="00786520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performance status I, while one third had performance status II. </w:t>
      </w:r>
      <w:r w:rsidR="00786520" w:rsidRPr="00302EB7">
        <w:rPr>
          <w:color w:val="000000"/>
          <w:sz w:val="20"/>
          <w:szCs w:val="20"/>
        </w:rPr>
        <w:t>Thirty two</w:t>
      </w:r>
      <w:r w:rsidRPr="00302EB7">
        <w:rPr>
          <w:color w:val="000000"/>
          <w:sz w:val="20"/>
          <w:szCs w:val="20"/>
        </w:rPr>
        <w:t xml:space="preserve"> patients</w:t>
      </w:r>
      <w:r w:rsidR="00786520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(66.6%) were stage T3N0M0, while T4aN0MO was found in </w:t>
      </w:r>
      <w:r w:rsidR="00786520" w:rsidRPr="00302EB7">
        <w:rPr>
          <w:color w:val="000000"/>
          <w:sz w:val="20"/>
          <w:szCs w:val="20"/>
        </w:rPr>
        <w:t xml:space="preserve">6 </w:t>
      </w:r>
      <w:r w:rsidRPr="00302EB7">
        <w:rPr>
          <w:color w:val="000000"/>
          <w:sz w:val="20"/>
          <w:szCs w:val="20"/>
        </w:rPr>
        <w:t>patients (12.5%).</w:t>
      </w:r>
      <w:r w:rsidR="007C5C58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Patients' demographics and pretreatment criteria are displayed in </w:t>
      </w:r>
      <w:r w:rsidRPr="00302EB7">
        <w:rPr>
          <w:b/>
          <w:bCs/>
          <w:color w:val="000000"/>
          <w:sz w:val="20"/>
          <w:szCs w:val="20"/>
        </w:rPr>
        <w:t>table 1</w:t>
      </w:r>
      <w:r w:rsidR="00302EB7">
        <w:rPr>
          <w:b/>
          <w:bCs/>
          <w:color w:val="000000"/>
          <w:sz w:val="20"/>
          <w:szCs w:val="20"/>
        </w:rPr>
        <w:t>.</w:t>
      </w:r>
    </w:p>
    <w:p w:rsidR="00302EB7" w:rsidRPr="00302EB7" w:rsidRDefault="00302EB7" w:rsidP="00C73DB9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proofErr w:type="spellStart"/>
      <w:r w:rsidRPr="00302EB7">
        <w:rPr>
          <w:sz w:val="20"/>
          <w:szCs w:val="20"/>
        </w:rPr>
        <w:t>Neoadjouvant</w:t>
      </w:r>
      <w:proofErr w:type="spellEnd"/>
      <w:r w:rsidRPr="00302EB7">
        <w:rPr>
          <w:sz w:val="20"/>
          <w:szCs w:val="20"/>
        </w:rPr>
        <w:t xml:space="preserve"> Chemotherapy and chemo-radiotherapy was successively accomplished in all patients. </w:t>
      </w:r>
      <w:proofErr w:type="spellStart"/>
      <w:r w:rsidRPr="00302EB7">
        <w:rPr>
          <w:sz w:val="20"/>
          <w:szCs w:val="20"/>
        </w:rPr>
        <w:t>Neutropenia</w:t>
      </w:r>
      <w:proofErr w:type="spellEnd"/>
      <w:r w:rsidRPr="00302EB7">
        <w:rPr>
          <w:sz w:val="20"/>
          <w:szCs w:val="20"/>
        </w:rPr>
        <w:t xml:space="preserve"> occurred in 4 patients (8.3%) while febrile </w:t>
      </w:r>
      <w:proofErr w:type="spellStart"/>
      <w:r w:rsidRPr="00302EB7">
        <w:rPr>
          <w:sz w:val="20"/>
          <w:szCs w:val="20"/>
        </w:rPr>
        <w:t>neutropenia</w:t>
      </w:r>
      <w:proofErr w:type="spellEnd"/>
      <w:r w:rsidRPr="00302EB7">
        <w:rPr>
          <w:sz w:val="20"/>
          <w:szCs w:val="20"/>
        </w:rPr>
        <w:t xml:space="preserve"> in 1 patient (2%). Nausea and vomiting occurred in 6 patients (12.5%) while </w:t>
      </w:r>
      <w:proofErr w:type="spellStart"/>
      <w:r w:rsidRPr="00302EB7">
        <w:rPr>
          <w:sz w:val="20"/>
          <w:szCs w:val="20"/>
        </w:rPr>
        <w:t>nephrotoxicity</w:t>
      </w:r>
      <w:proofErr w:type="spellEnd"/>
      <w:r w:rsidRPr="00302EB7">
        <w:rPr>
          <w:sz w:val="20"/>
          <w:szCs w:val="20"/>
        </w:rPr>
        <w:t xml:space="preserve"> occurred in 2 patients (4.1%). Acute toxicities during </w:t>
      </w:r>
      <w:proofErr w:type="spellStart"/>
      <w:r w:rsidRPr="00302EB7">
        <w:rPr>
          <w:sz w:val="20"/>
          <w:szCs w:val="20"/>
        </w:rPr>
        <w:t>chemoradiotherapy</w:t>
      </w:r>
      <w:proofErr w:type="spellEnd"/>
      <w:r w:rsidRPr="00302EB7">
        <w:rPr>
          <w:sz w:val="20"/>
          <w:szCs w:val="20"/>
        </w:rPr>
        <w:t xml:space="preserve">  was  Bladder </w:t>
      </w:r>
      <w:proofErr w:type="spellStart"/>
      <w:r w:rsidRPr="00302EB7">
        <w:rPr>
          <w:sz w:val="20"/>
          <w:szCs w:val="20"/>
        </w:rPr>
        <w:t>irritative</w:t>
      </w:r>
      <w:proofErr w:type="spellEnd"/>
      <w:r w:rsidRPr="00302EB7">
        <w:rPr>
          <w:sz w:val="20"/>
          <w:szCs w:val="20"/>
        </w:rPr>
        <w:t xml:space="preserve"> symptoms developed in 2 patients (4.1%) and successfully managed with </w:t>
      </w:r>
      <w:proofErr w:type="spellStart"/>
      <w:r w:rsidRPr="00302EB7">
        <w:rPr>
          <w:sz w:val="20"/>
          <w:szCs w:val="20"/>
        </w:rPr>
        <w:t>antimuscarinic</w:t>
      </w:r>
      <w:proofErr w:type="spellEnd"/>
      <w:r w:rsidRPr="00302EB7">
        <w:rPr>
          <w:sz w:val="20"/>
          <w:szCs w:val="20"/>
        </w:rPr>
        <w:t xml:space="preserve">, </w:t>
      </w:r>
      <w:proofErr w:type="spellStart"/>
      <w:r w:rsidRPr="00302EB7">
        <w:rPr>
          <w:sz w:val="20"/>
          <w:szCs w:val="20"/>
        </w:rPr>
        <w:t>procitis</w:t>
      </w:r>
      <w:proofErr w:type="spellEnd"/>
      <w:r w:rsidRPr="00302EB7">
        <w:rPr>
          <w:sz w:val="20"/>
          <w:szCs w:val="20"/>
        </w:rPr>
        <w:t xml:space="preserve"> was 8.3% , dermatitis was 12.5% and diarrhea 12.5%.while late toxicities were </w:t>
      </w:r>
      <w:proofErr w:type="spellStart"/>
      <w:r w:rsidRPr="00302EB7">
        <w:rPr>
          <w:sz w:val="20"/>
          <w:szCs w:val="20"/>
        </w:rPr>
        <w:t>proctitis</w:t>
      </w:r>
      <w:proofErr w:type="spellEnd"/>
      <w:r w:rsidRPr="00302EB7">
        <w:rPr>
          <w:sz w:val="20"/>
          <w:szCs w:val="20"/>
        </w:rPr>
        <w:t xml:space="preserve"> was 4.1% and cystitis 8.3%  as in tables (2,3,4)  below</w:t>
      </w:r>
      <w:r>
        <w:rPr>
          <w:sz w:val="20"/>
          <w:szCs w:val="20"/>
        </w:rPr>
        <w:t>.</w:t>
      </w:r>
    </w:p>
    <w:p w:rsidR="00302EB7" w:rsidRDefault="00302EB7" w:rsidP="00302EB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0"/>
          <w:szCs w:val="20"/>
        </w:rPr>
        <w:sectPr w:rsidR="00302EB7" w:rsidSect="006519B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86520" w:rsidRPr="00302EB7" w:rsidRDefault="00786520" w:rsidP="00C73DB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02EB7">
        <w:rPr>
          <w:b/>
          <w:bCs/>
          <w:sz w:val="18"/>
          <w:szCs w:val="18"/>
        </w:rPr>
        <w:lastRenderedPageBreak/>
        <w:t>Table (1) Distribution of Patient's characteristics.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786520" w:rsidRPr="00CD2F7F" w:rsidTr="00AF046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Parameter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No. or Mean ± SD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Percentage or Range</w:t>
            </w:r>
          </w:p>
        </w:tc>
      </w:tr>
      <w:tr w:rsidR="00786520" w:rsidRPr="00CD2F7F" w:rsidTr="00AF046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Number of patients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48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100%</w:t>
            </w:r>
          </w:p>
        </w:tc>
      </w:tr>
      <w:tr w:rsidR="00786520" w:rsidRPr="00CD2F7F" w:rsidTr="00AF046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Age (years)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62.4 ± 5.7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41 – 75</w:t>
            </w:r>
          </w:p>
        </w:tc>
      </w:tr>
      <w:tr w:rsidR="00786520" w:rsidRPr="00CD2F7F" w:rsidTr="00AF046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Sex: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Male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Female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38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79.16%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20.8%</w:t>
            </w:r>
          </w:p>
        </w:tc>
      </w:tr>
      <w:tr w:rsidR="00786520" w:rsidRPr="00CD2F7F" w:rsidTr="00AF046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Performance status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PSI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PSII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34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70.8%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29.16%</w:t>
            </w:r>
          </w:p>
        </w:tc>
      </w:tr>
      <w:tr w:rsidR="00786520" w:rsidRPr="00CD2F7F" w:rsidTr="00AF046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Tumor Grade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GII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GIII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40</w:t>
            </w: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83.3%</w:t>
            </w: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16.6%</w:t>
            </w:r>
          </w:p>
        </w:tc>
      </w:tr>
      <w:tr w:rsidR="00786520" w:rsidRPr="00CD2F7F" w:rsidTr="00AF046B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Stage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II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III</w:t>
            </w:r>
          </w:p>
          <w:p w:rsidR="00786520" w:rsidRPr="00CD2F7F" w:rsidRDefault="00786520" w:rsidP="00AF046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Via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32</w:t>
            </w: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20.8%</w:t>
            </w: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66.6 %</w:t>
            </w:r>
          </w:p>
          <w:p w:rsidR="00786520" w:rsidRPr="00CD2F7F" w:rsidRDefault="00786520" w:rsidP="00AF046B">
            <w:pPr>
              <w:pStyle w:val="DecimalAligned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2F7F">
              <w:rPr>
                <w:rFonts w:ascii="Times New Roman" w:eastAsiaTheme="minorEastAsia" w:hAnsi="Times New Roman" w:cs="Times New Roman"/>
                <w:sz w:val="18"/>
                <w:szCs w:val="18"/>
              </w:rPr>
              <w:t>12.5%</w:t>
            </w:r>
          </w:p>
        </w:tc>
      </w:tr>
      <w:tr w:rsidR="00786520" w:rsidRPr="00CD2F7F" w:rsidTr="00AF046B">
        <w:tblPrEx>
          <w:tblLook w:val="04A0"/>
        </w:tblPrEx>
        <w:trPr>
          <w:jc w:val="center"/>
        </w:trPr>
        <w:tc>
          <w:tcPr>
            <w:tcW w:w="2952" w:type="dxa"/>
            <w:shd w:val="clear" w:color="auto" w:fill="auto"/>
            <w:noWrap/>
            <w:vAlign w:val="center"/>
          </w:tcPr>
          <w:p w:rsidR="00786520" w:rsidRPr="00CD2F7F" w:rsidRDefault="00786520" w:rsidP="00AF046B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CD2F7F">
              <w:rPr>
                <w:rFonts w:eastAsiaTheme="minorEastAsia"/>
                <w:sz w:val="18"/>
                <w:szCs w:val="18"/>
              </w:rPr>
              <w:t>Hydronephrosis</w:t>
            </w:r>
            <w:proofErr w:type="spellEnd"/>
          </w:p>
          <w:p w:rsidR="00786520" w:rsidRPr="00CD2F7F" w:rsidRDefault="00786520" w:rsidP="00AF046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-Yes</w:t>
            </w:r>
          </w:p>
          <w:p w:rsidR="00786520" w:rsidRPr="00CD2F7F" w:rsidRDefault="00786520" w:rsidP="00AF046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-No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jc w:val="center"/>
              <w:rPr>
                <w:rFonts w:eastAsiaTheme="minorEastAsia"/>
                <w:i/>
                <w:iCs/>
                <w:sz w:val="18"/>
                <w:szCs w:val="18"/>
              </w:rPr>
            </w:pPr>
          </w:p>
          <w:p w:rsidR="00786520" w:rsidRPr="00CD2F7F" w:rsidRDefault="00786520" w:rsidP="00AF046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</w:t>
            </w:r>
          </w:p>
          <w:p w:rsidR="00786520" w:rsidRPr="00CD2F7F" w:rsidRDefault="00786520" w:rsidP="00AF046B">
            <w:pPr>
              <w:jc w:val="center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6520" w:rsidRPr="00CD2F7F" w:rsidRDefault="00786520" w:rsidP="00AF046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786520" w:rsidRPr="00CD2F7F" w:rsidRDefault="00786520" w:rsidP="00AF046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8.3%</w:t>
            </w:r>
          </w:p>
          <w:p w:rsidR="00786520" w:rsidRPr="00CD2F7F" w:rsidRDefault="00786520" w:rsidP="00AF046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91.7%</w:t>
            </w:r>
          </w:p>
        </w:tc>
      </w:tr>
    </w:tbl>
    <w:p w:rsidR="00786520" w:rsidRPr="00302EB7" w:rsidRDefault="00786520" w:rsidP="00302EB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8"/>
          <w:szCs w:val="18"/>
        </w:rPr>
      </w:pPr>
    </w:p>
    <w:p w:rsidR="00432940" w:rsidRPr="00302EB7" w:rsidRDefault="00786520" w:rsidP="00C73DB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02EB7">
        <w:rPr>
          <w:b/>
          <w:bCs/>
          <w:sz w:val="18"/>
          <w:szCs w:val="18"/>
        </w:rPr>
        <w:t xml:space="preserve">Table 2: </w:t>
      </w:r>
      <w:r w:rsidR="00491344" w:rsidRPr="00302EB7">
        <w:rPr>
          <w:b/>
          <w:bCs/>
          <w:sz w:val="18"/>
          <w:szCs w:val="18"/>
        </w:rPr>
        <w:t>Toxicities during chemotherapy</w:t>
      </w:r>
      <w:r w:rsidR="00400E7C" w:rsidRPr="00302EB7">
        <w:rPr>
          <w:b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3185"/>
        <w:gridCol w:w="3147"/>
      </w:tblGrid>
      <w:tr w:rsidR="00432940" w:rsidRPr="00CD2F7F" w:rsidTr="00CB4BD7">
        <w:tc>
          <w:tcPr>
            <w:tcW w:w="3492" w:type="dxa"/>
            <w:vAlign w:val="center"/>
          </w:tcPr>
          <w:p w:rsidR="00432940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T</w:t>
            </w:r>
            <w:r w:rsidR="00432940" w:rsidRPr="00CD2F7F">
              <w:rPr>
                <w:rFonts w:eastAsiaTheme="minorEastAsia"/>
                <w:b/>
                <w:bCs/>
                <w:sz w:val="18"/>
                <w:szCs w:val="18"/>
              </w:rPr>
              <w:t>oxicity</w:t>
            </w:r>
          </w:p>
        </w:tc>
        <w:tc>
          <w:tcPr>
            <w:tcW w:w="3492" w:type="dxa"/>
            <w:vAlign w:val="center"/>
          </w:tcPr>
          <w:p w:rsidR="00432940" w:rsidRPr="00CD2F7F" w:rsidRDefault="00432940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Number of patients</w:t>
            </w:r>
          </w:p>
        </w:tc>
        <w:tc>
          <w:tcPr>
            <w:tcW w:w="3492" w:type="dxa"/>
            <w:vAlign w:val="center"/>
          </w:tcPr>
          <w:p w:rsidR="00432940" w:rsidRPr="00CD2F7F" w:rsidRDefault="00432940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%</w:t>
            </w:r>
          </w:p>
        </w:tc>
      </w:tr>
      <w:tr w:rsidR="00432940" w:rsidRPr="00CD2F7F" w:rsidTr="00CB4BD7">
        <w:tc>
          <w:tcPr>
            <w:tcW w:w="3492" w:type="dxa"/>
            <w:vAlign w:val="center"/>
          </w:tcPr>
          <w:p w:rsidR="00432940" w:rsidRPr="00CD2F7F" w:rsidRDefault="00432940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proofErr w:type="spellStart"/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Neutropenia</w:t>
            </w:r>
            <w:proofErr w:type="spellEnd"/>
          </w:p>
        </w:tc>
        <w:tc>
          <w:tcPr>
            <w:tcW w:w="3492" w:type="dxa"/>
            <w:vAlign w:val="center"/>
          </w:tcPr>
          <w:p w:rsidR="00432940" w:rsidRPr="00CD2F7F" w:rsidRDefault="00432940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3492" w:type="dxa"/>
            <w:vAlign w:val="center"/>
          </w:tcPr>
          <w:p w:rsidR="00432940" w:rsidRPr="00CD2F7F" w:rsidRDefault="00432940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8</w:t>
            </w:r>
            <w:r w:rsidR="00491344" w:rsidRPr="00CD2F7F">
              <w:rPr>
                <w:rFonts w:eastAsiaTheme="minorEastAsia"/>
                <w:sz w:val="18"/>
                <w:szCs w:val="18"/>
              </w:rPr>
              <w:t>.3</w:t>
            </w:r>
          </w:p>
        </w:tc>
      </w:tr>
      <w:tr w:rsidR="00432940" w:rsidRPr="00CD2F7F" w:rsidTr="00CB4BD7">
        <w:tc>
          <w:tcPr>
            <w:tcW w:w="3492" w:type="dxa"/>
            <w:vAlign w:val="center"/>
          </w:tcPr>
          <w:p w:rsidR="00432940" w:rsidRPr="00CD2F7F" w:rsidRDefault="00432940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Nausea and vomiting</w:t>
            </w:r>
          </w:p>
        </w:tc>
        <w:tc>
          <w:tcPr>
            <w:tcW w:w="3492" w:type="dxa"/>
            <w:vAlign w:val="center"/>
          </w:tcPr>
          <w:p w:rsidR="00432940" w:rsidRPr="00CD2F7F" w:rsidRDefault="00432940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3492" w:type="dxa"/>
            <w:vAlign w:val="center"/>
          </w:tcPr>
          <w:p w:rsidR="00432940" w:rsidRPr="00CD2F7F" w:rsidRDefault="0049134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12.5</w:t>
            </w:r>
          </w:p>
        </w:tc>
      </w:tr>
      <w:tr w:rsidR="00432940" w:rsidRPr="00CD2F7F" w:rsidTr="00CB4BD7">
        <w:tc>
          <w:tcPr>
            <w:tcW w:w="3492" w:type="dxa"/>
            <w:vAlign w:val="center"/>
          </w:tcPr>
          <w:p w:rsidR="00432940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proofErr w:type="spellStart"/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N</w:t>
            </w:r>
            <w:r w:rsidR="00432940" w:rsidRPr="00CD2F7F">
              <w:rPr>
                <w:rFonts w:eastAsiaTheme="minorEastAsia"/>
                <w:b/>
                <w:bCs/>
                <w:sz w:val="18"/>
                <w:szCs w:val="18"/>
              </w:rPr>
              <w:t>ephrotoxicity</w:t>
            </w:r>
            <w:proofErr w:type="spellEnd"/>
          </w:p>
        </w:tc>
        <w:tc>
          <w:tcPr>
            <w:tcW w:w="3492" w:type="dxa"/>
            <w:vAlign w:val="center"/>
          </w:tcPr>
          <w:p w:rsidR="00432940" w:rsidRPr="00CD2F7F" w:rsidRDefault="00432940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3492" w:type="dxa"/>
            <w:vAlign w:val="center"/>
          </w:tcPr>
          <w:p w:rsidR="00432940" w:rsidRPr="00CD2F7F" w:rsidRDefault="0049134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4.1</w:t>
            </w:r>
          </w:p>
        </w:tc>
      </w:tr>
      <w:tr w:rsidR="00432940" w:rsidRPr="00CD2F7F" w:rsidTr="00CB4BD7">
        <w:tc>
          <w:tcPr>
            <w:tcW w:w="3492" w:type="dxa"/>
            <w:vAlign w:val="center"/>
          </w:tcPr>
          <w:p w:rsidR="00432940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F</w:t>
            </w:r>
            <w:r w:rsidR="00491344" w:rsidRPr="00CD2F7F">
              <w:rPr>
                <w:rFonts w:eastAsiaTheme="minorEastAsia"/>
                <w:b/>
                <w:bCs/>
                <w:sz w:val="18"/>
                <w:szCs w:val="18"/>
              </w:rPr>
              <w:t xml:space="preserve">ebrile </w:t>
            </w:r>
            <w:proofErr w:type="spellStart"/>
            <w:r w:rsidR="00491344" w:rsidRPr="00CD2F7F">
              <w:rPr>
                <w:rFonts w:eastAsiaTheme="minorEastAsia"/>
                <w:b/>
                <w:bCs/>
                <w:sz w:val="18"/>
                <w:szCs w:val="18"/>
              </w:rPr>
              <w:t>neutropenia</w:t>
            </w:r>
            <w:proofErr w:type="spellEnd"/>
          </w:p>
        </w:tc>
        <w:tc>
          <w:tcPr>
            <w:tcW w:w="3492" w:type="dxa"/>
            <w:vAlign w:val="center"/>
          </w:tcPr>
          <w:p w:rsidR="00432940" w:rsidRPr="00CD2F7F" w:rsidRDefault="0049134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3492" w:type="dxa"/>
            <w:vAlign w:val="center"/>
          </w:tcPr>
          <w:p w:rsidR="00432940" w:rsidRPr="00CD2F7F" w:rsidRDefault="0049134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2</w:t>
            </w:r>
          </w:p>
        </w:tc>
      </w:tr>
    </w:tbl>
    <w:p w:rsidR="00D03538" w:rsidRPr="00302EB7" w:rsidRDefault="00D03538" w:rsidP="00302EB7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491344" w:rsidRPr="00302EB7" w:rsidRDefault="00786520" w:rsidP="00C73DB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02EB7">
        <w:rPr>
          <w:b/>
          <w:bCs/>
          <w:sz w:val="18"/>
          <w:szCs w:val="18"/>
        </w:rPr>
        <w:t xml:space="preserve">Table 3: </w:t>
      </w:r>
      <w:r w:rsidR="00491344" w:rsidRPr="00302EB7">
        <w:rPr>
          <w:b/>
          <w:bCs/>
          <w:sz w:val="18"/>
          <w:szCs w:val="18"/>
        </w:rPr>
        <w:t xml:space="preserve">Acute toxicities during </w:t>
      </w:r>
      <w:proofErr w:type="spellStart"/>
      <w:r w:rsidR="00491344" w:rsidRPr="00302EB7">
        <w:rPr>
          <w:b/>
          <w:bCs/>
          <w:sz w:val="18"/>
          <w:szCs w:val="18"/>
        </w:rPr>
        <w:t>chemoradiotherapy</w:t>
      </w:r>
      <w:proofErr w:type="spellEnd"/>
      <w:r w:rsidR="00400E7C" w:rsidRPr="00302EB7">
        <w:rPr>
          <w:b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198"/>
        <w:gridCol w:w="3158"/>
      </w:tblGrid>
      <w:tr w:rsidR="00491344" w:rsidRPr="00CD2F7F" w:rsidTr="00786520">
        <w:tc>
          <w:tcPr>
            <w:tcW w:w="3493" w:type="dxa"/>
            <w:vAlign w:val="center"/>
          </w:tcPr>
          <w:p w:rsidR="00491344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  <w:rtl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T</w:t>
            </w:r>
            <w:r w:rsidR="00491344" w:rsidRPr="00CD2F7F">
              <w:rPr>
                <w:rFonts w:eastAsiaTheme="minorEastAsia"/>
                <w:b/>
                <w:bCs/>
                <w:sz w:val="18"/>
                <w:szCs w:val="18"/>
              </w:rPr>
              <w:t>oxicity</w:t>
            </w:r>
          </w:p>
        </w:tc>
        <w:tc>
          <w:tcPr>
            <w:tcW w:w="3494" w:type="dxa"/>
            <w:vAlign w:val="center"/>
          </w:tcPr>
          <w:p w:rsidR="00491344" w:rsidRPr="00CD2F7F" w:rsidRDefault="0049134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Number of patients</w:t>
            </w:r>
          </w:p>
        </w:tc>
        <w:tc>
          <w:tcPr>
            <w:tcW w:w="3489" w:type="dxa"/>
            <w:vAlign w:val="center"/>
          </w:tcPr>
          <w:p w:rsidR="00491344" w:rsidRPr="00CD2F7F" w:rsidRDefault="0049134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%</w:t>
            </w:r>
          </w:p>
        </w:tc>
      </w:tr>
      <w:tr w:rsidR="00491344" w:rsidRPr="00CD2F7F" w:rsidTr="00786520">
        <w:tc>
          <w:tcPr>
            <w:tcW w:w="3493" w:type="dxa"/>
            <w:vAlign w:val="center"/>
          </w:tcPr>
          <w:p w:rsidR="00491344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C</w:t>
            </w:r>
            <w:r w:rsidR="00491344" w:rsidRPr="00CD2F7F">
              <w:rPr>
                <w:rFonts w:eastAsiaTheme="minorEastAsia"/>
                <w:b/>
                <w:bCs/>
                <w:sz w:val="18"/>
                <w:szCs w:val="18"/>
              </w:rPr>
              <w:t xml:space="preserve">ystitis (Urinary Bladder </w:t>
            </w:r>
            <w:proofErr w:type="spellStart"/>
            <w:r w:rsidR="00491344" w:rsidRPr="00CD2F7F">
              <w:rPr>
                <w:rFonts w:eastAsiaTheme="minorEastAsia"/>
                <w:b/>
                <w:bCs/>
                <w:sz w:val="18"/>
                <w:szCs w:val="18"/>
              </w:rPr>
              <w:t>irritative</w:t>
            </w:r>
            <w:proofErr w:type="spellEnd"/>
            <w:r w:rsidR="00491344" w:rsidRPr="00CD2F7F">
              <w:rPr>
                <w:rFonts w:eastAsiaTheme="minorEastAsia"/>
                <w:b/>
                <w:bCs/>
                <w:sz w:val="18"/>
                <w:szCs w:val="18"/>
              </w:rPr>
              <w:t xml:space="preserve"> symptoms)</w:t>
            </w:r>
          </w:p>
        </w:tc>
        <w:tc>
          <w:tcPr>
            <w:tcW w:w="3494" w:type="dxa"/>
            <w:vAlign w:val="center"/>
          </w:tcPr>
          <w:p w:rsidR="00491344" w:rsidRPr="00CD2F7F" w:rsidRDefault="0049134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3489" w:type="dxa"/>
            <w:vAlign w:val="center"/>
          </w:tcPr>
          <w:p w:rsidR="00491344" w:rsidRPr="00CD2F7F" w:rsidRDefault="0049134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4.1</w:t>
            </w:r>
          </w:p>
        </w:tc>
      </w:tr>
      <w:tr w:rsidR="00491344" w:rsidRPr="00CD2F7F" w:rsidTr="00786520">
        <w:tc>
          <w:tcPr>
            <w:tcW w:w="3493" w:type="dxa"/>
            <w:vAlign w:val="center"/>
          </w:tcPr>
          <w:p w:rsidR="00491344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proofErr w:type="spellStart"/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P</w:t>
            </w:r>
            <w:r w:rsidR="00351C34" w:rsidRPr="00CD2F7F">
              <w:rPr>
                <w:rFonts w:eastAsiaTheme="minorEastAsia"/>
                <w:b/>
                <w:bCs/>
                <w:sz w:val="18"/>
                <w:szCs w:val="18"/>
              </w:rPr>
              <w:t>roctitis</w:t>
            </w:r>
            <w:proofErr w:type="spellEnd"/>
          </w:p>
        </w:tc>
        <w:tc>
          <w:tcPr>
            <w:tcW w:w="3494" w:type="dxa"/>
            <w:vAlign w:val="center"/>
          </w:tcPr>
          <w:p w:rsidR="00491344" w:rsidRPr="00CD2F7F" w:rsidRDefault="00351C3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3489" w:type="dxa"/>
            <w:vAlign w:val="center"/>
          </w:tcPr>
          <w:p w:rsidR="00491344" w:rsidRPr="00CD2F7F" w:rsidRDefault="00351C3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8.3</w:t>
            </w:r>
          </w:p>
        </w:tc>
      </w:tr>
      <w:tr w:rsidR="00491344" w:rsidRPr="00CD2F7F" w:rsidTr="00786520">
        <w:tc>
          <w:tcPr>
            <w:tcW w:w="3493" w:type="dxa"/>
            <w:vAlign w:val="center"/>
          </w:tcPr>
          <w:p w:rsidR="00491344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D</w:t>
            </w:r>
            <w:r w:rsidR="00351C34" w:rsidRPr="00CD2F7F">
              <w:rPr>
                <w:rFonts w:eastAsiaTheme="minorEastAsia"/>
                <w:b/>
                <w:bCs/>
                <w:sz w:val="18"/>
                <w:szCs w:val="18"/>
              </w:rPr>
              <w:t>ermatitis</w:t>
            </w:r>
          </w:p>
        </w:tc>
        <w:tc>
          <w:tcPr>
            <w:tcW w:w="3494" w:type="dxa"/>
            <w:vAlign w:val="center"/>
          </w:tcPr>
          <w:p w:rsidR="00491344" w:rsidRPr="00CD2F7F" w:rsidRDefault="00351C3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3489" w:type="dxa"/>
            <w:vAlign w:val="center"/>
          </w:tcPr>
          <w:p w:rsidR="00491344" w:rsidRPr="00CD2F7F" w:rsidRDefault="00351C3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12.5</w:t>
            </w:r>
          </w:p>
        </w:tc>
      </w:tr>
      <w:tr w:rsidR="00815B68" w:rsidRPr="00CD2F7F" w:rsidTr="00786520">
        <w:tc>
          <w:tcPr>
            <w:tcW w:w="3493" w:type="dxa"/>
            <w:vAlign w:val="center"/>
          </w:tcPr>
          <w:p w:rsidR="00815B68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D</w:t>
            </w:r>
            <w:r w:rsidR="00815B68" w:rsidRPr="00CD2F7F">
              <w:rPr>
                <w:rFonts w:eastAsiaTheme="minorEastAsia"/>
                <w:b/>
                <w:bCs/>
                <w:sz w:val="18"/>
                <w:szCs w:val="18"/>
              </w:rPr>
              <w:t>iarrhea</w:t>
            </w:r>
          </w:p>
        </w:tc>
        <w:tc>
          <w:tcPr>
            <w:tcW w:w="3494" w:type="dxa"/>
            <w:vAlign w:val="center"/>
          </w:tcPr>
          <w:p w:rsidR="00815B68" w:rsidRPr="00CD2F7F" w:rsidRDefault="00815B6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3489" w:type="dxa"/>
            <w:vAlign w:val="center"/>
          </w:tcPr>
          <w:p w:rsidR="00815B68" w:rsidRPr="00CD2F7F" w:rsidRDefault="00815B6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12.5</w:t>
            </w:r>
          </w:p>
        </w:tc>
      </w:tr>
    </w:tbl>
    <w:p w:rsidR="00400E7C" w:rsidRPr="00302EB7" w:rsidRDefault="00400E7C" w:rsidP="00302EB7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815B68" w:rsidRPr="00302EB7" w:rsidRDefault="00786520" w:rsidP="00C73DB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02EB7">
        <w:rPr>
          <w:b/>
          <w:bCs/>
          <w:sz w:val="18"/>
          <w:szCs w:val="18"/>
        </w:rPr>
        <w:t xml:space="preserve">Table 3: </w:t>
      </w:r>
      <w:r w:rsidR="00815B68" w:rsidRPr="00302EB7">
        <w:rPr>
          <w:b/>
          <w:bCs/>
          <w:sz w:val="18"/>
          <w:szCs w:val="18"/>
        </w:rPr>
        <w:t xml:space="preserve">Late toxicities after </w:t>
      </w:r>
      <w:proofErr w:type="spellStart"/>
      <w:r w:rsidR="00815B68" w:rsidRPr="00302EB7">
        <w:rPr>
          <w:b/>
          <w:bCs/>
          <w:sz w:val="18"/>
          <w:szCs w:val="18"/>
        </w:rPr>
        <w:t>chemoradiotherapy</w:t>
      </w:r>
      <w:proofErr w:type="spellEnd"/>
      <w:r w:rsidR="00400E7C" w:rsidRPr="00302EB7">
        <w:rPr>
          <w:b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3162"/>
      </w:tblGrid>
      <w:tr w:rsidR="00815B68" w:rsidRPr="00CD2F7F" w:rsidTr="00786520">
        <w:tc>
          <w:tcPr>
            <w:tcW w:w="3492" w:type="dxa"/>
            <w:vAlign w:val="center"/>
          </w:tcPr>
          <w:p w:rsidR="00815B68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proofErr w:type="spellStart"/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T</w:t>
            </w:r>
            <w:r w:rsidR="00815B68" w:rsidRPr="00CD2F7F">
              <w:rPr>
                <w:rFonts w:eastAsiaTheme="minorEastAsia"/>
                <w:b/>
                <w:bCs/>
                <w:sz w:val="18"/>
                <w:szCs w:val="18"/>
              </w:rPr>
              <w:t>oxcity</w:t>
            </w:r>
            <w:proofErr w:type="spellEnd"/>
          </w:p>
        </w:tc>
        <w:tc>
          <w:tcPr>
            <w:tcW w:w="3492" w:type="dxa"/>
            <w:vAlign w:val="center"/>
          </w:tcPr>
          <w:p w:rsidR="00815B68" w:rsidRPr="00CD2F7F" w:rsidRDefault="00815B6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Number of patients</w:t>
            </w:r>
          </w:p>
        </w:tc>
        <w:tc>
          <w:tcPr>
            <w:tcW w:w="3492" w:type="dxa"/>
            <w:vAlign w:val="center"/>
          </w:tcPr>
          <w:p w:rsidR="00815B68" w:rsidRPr="00CD2F7F" w:rsidRDefault="00815B6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%</w:t>
            </w:r>
          </w:p>
        </w:tc>
      </w:tr>
      <w:tr w:rsidR="00815B68" w:rsidRPr="00CD2F7F" w:rsidTr="00786520">
        <w:tc>
          <w:tcPr>
            <w:tcW w:w="3492" w:type="dxa"/>
            <w:vAlign w:val="center"/>
          </w:tcPr>
          <w:p w:rsidR="00815B68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C</w:t>
            </w:r>
            <w:r w:rsidR="00815B68" w:rsidRPr="00CD2F7F">
              <w:rPr>
                <w:rFonts w:eastAsiaTheme="minorEastAsia"/>
                <w:b/>
                <w:bCs/>
                <w:sz w:val="18"/>
                <w:szCs w:val="18"/>
              </w:rPr>
              <w:t>ystitis</w:t>
            </w:r>
          </w:p>
        </w:tc>
        <w:tc>
          <w:tcPr>
            <w:tcW w:w="3492" w:type="dxa"/>
            <w:vAlign w:val="center"/>
          </w:tcPr>
          <w:p w:rsidR="00815B68" w:rsidRPr="00CD2F7F" w:rsidRDefault="00815B6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3492" w:type="dxa"/>
            <w:vAlign w:val="center"/>
          </w:tcPr>
          <w:p w:rsidR="00815B68" w:rsidRPr="00CD2F7F" w:rsidRDefault="00815B6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8.3</w:t>
            </w:r>
          </w:p>
        </w:tc>
      </w:tr>
      <w:tr w:rsidR="00815B68" w:rsidRPr="00CD2F7F" w:rsidTr="00786520">
        <w:tc>
          <w:tcPr>
            <w:tcW w:w="3492" w:type="dxa"/>
            <w:vAlign w:val="center"/>
          </w:tcPr>
          <w:p w:rsidR="00815B68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proofErr w:type="spellStart"/>
            <w:r w:rsidRPr="00CD2F7F">
              <w:rPr>
                <w:rFonts w:eastAsiaTheme="minorEastAsia"/>
                <w:b/>
                <w:bCs/>
                <w:sz w:val="18"/>
                <w:szCs w:val="18"/>
              </w:rPr>
              <w:t>P</w:t>
            </w:r>
            <w:r w:rsidR="00815B68" w:rsidRPr="00CD2F7F">
              <w:rPr>
                <w:rFonts w:eastAsiaTheme="minorEastAsia"/>
                <w:b/>
                <w:bCs/>
                <w:sz w:val="18"/>
                <w:szCs w:val="18"/>
              </w:rPr>
              <w:t>roctitis</w:t>
            </w:r>
            <w:proofErr w:type="spellEnd"/>
          </w:p>
        </w:tc>
        <w:tc>
          <w:tcPr>
            <w:tcW w:w="3492" w:type="dxa"/>
            <w:vAlign w:val="center"/>
          </w:tcPr>
          <w:p w:rsidR="00815B68" w:rsidRPr="00CD2F7F" w:rsidRDefault="00815B6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3492" w:type="dxa"/>
            <w:vAlign w:val="center"/>
          </w:tcPr>
          <w:p w:rsidR="00815B68" w:rsidRPr="00CD2F7F" w:rsidRDefault="00815B6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D2F7F">
              <w:rPr>
                <w:rFonts w:eastAsiaTheme="minorEastAsia"/>
                <w:sz w:val="18"/>
                <w:szCs w:val="18"/>
              </w:rPr>
              <w:t>4.1</w:t>
            </w:r>
          </w:p>
        </w:tc>
      </w:tr>
    </w:tbl>
    <w:p w:rsidR="00CB4BD7" w:rsidRPr="00302EB7" w:rsidRDefault="00CB4BD7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302EB7" w:rsidRDefault="00302EB7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  <w:sectPr w:rsidR="00302EB7" w:rsidSect="006519B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02EB7" w:rsidRDefault="006D3A53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lastRenderedPageBreak/>
        <w:t>Complete response with disappearance of all evidence of tumor in CT images</w:t>
      </w:r>
      <w:r w:rsidR="00CB4BD7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and during </w:t>
      </w:r>
      <w:proofErr w:type="spellStart"/>
      <w:r w:rsidRPr="00302EB7">
        <w:rPr>
          <w:color w:val="000000"/>
          <w:sz w:val="20"/>
          <w:szCs w:val="20"/>
        </w:rPr>
        <w:t>cystoscopy</w:t>
      </w:r>
      <w:proofErr w:type="spellEnd"/>
      <w:r w:rsidRPr="00302EB7">
        <w:rPr>
          <w:color w:val="000000"/>
          <w:sz w:val="20"/>
          <w:szCs w:val="20"/>
        </w:rPr>
        <w:t xml:space="preserve"> with negative tumor site biopsy was noted in 28 patients</w:t>
      </w:r>
      <w:r w:rsidR="00CB4BD7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(58.3%).</w:t>
      </w:r>
      <w:r w:rsidR="00013987" w:rsidRPr="00302EB7">
        <w:rPr>
          <w:color w:val="000000"/>
          <w:sz w:val="20"/>
          <w:szCs w:val="20"/>
        </w:rPr>
        <w:t xml:space="preserve"> P</w:t>
      </w:r>
      <w:r w:rsidRPr="00302EB7">
        <w:rPr>
          <w:color w:val="000000"/>
          <w:sz w:val="20"/>
          <w:szCs w:val="20"/>
        </w:rPr>
        <w:t>artial response was observed in 15 patients (31.25%).</w:t>
      </w:r>
      <w:r w:rsidR="00CB4BD7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Eight of them</w:t>
      </w:r>
      <w:r w:rsidR="00CB4BD7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(16.6 %)</w:t>
      </w:r>
      <w:r w:rsidR="00CB4BD7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 xml:space="preserve">underwent salvage </w:t>
      </w:r>
      <w:proofErr w:type="spellStart"/>
      <w:r w:rsidRPr="00302EB7">
        <w:rPr>
          <w:color w:val="000000"/>
          <w:sz w:val="20"/>
          <w:szCs w:val="20"/>
        </w:rPr>
        <w:t>cystectomy</w:t>
      </w:r>
      <w:proofErr w:type="spellEnd"/>
      <w:r w:rsidRPr="00302EB7">
        <w:rPr>
          <w:color w:val="000000"/>
          <w:sz w:val="20"/>
          <w:szCs w:val="20"/>
        </w:rPr>
        <w:t xml:space="preserve"> and the other 7</w:t>
      </w:r>
      <w:r w:rsidR="00A76CDD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lastRenderedPageBreak/>
        <w:t>(14.5%) were found still</w:t>
      </w:r>
      <w:r w:rsidR="00CB4BD7" w:rsidRPr="00302EB7">
        <w:rPr>
          <w:color w:val="000000"/>
          <w:sz w:val="20"/>
          <w:szCs w:val="20"/>
        </w:rPr>
        <w:t xml:space="preserve"> </w:t>
      </w:r>
      <w:r w:rsidRPr="00302EB7">
        <w:rPr>
          <w:color w:val="000000"/>
          <w:sz w:val="20"/>
          <w:szCs w:val="20"/>
        </w:rPr>
        <w:t>inoperable and were treated with chemotherapy.</w:t>
      </w:r>
      <w:r w:rsidR="00844B35" w:rsidRPr="00302EB7">
        <w:rPr>
          <w:color w:val="000000"/>
          <w:sz w:val="20"/>
          <w:szCs w:val="20"/>
        </w:rPr>
        <w:t xml:space="preserve"> Progressive disease was reported in 5 patients (10.4 %) with concomitant metastasis to lung and brain and treated with palliative radiotherapy and chemotherapy. </w:t>
      </w:r>
      <w:r w:rsidR="007714A9" w:rsidRPr="00302EB7">
        <w:rPr>
          <w:color w:val="000000"/>
          <w:sz w:val="20"/>
          <w:szCs w:val="20"/>
        </w:rPr>
        <w:t xml:space="preserve"> </w:t>
      </w:r>
      <w:r w:rsidR="00CB4BD7" w:rsidRPr="00302EB7">
        <w:rPr>
          <w:b/>
          <w:bCs/>
          <w:color w:val="000000"/>
          <w:sz w:val="20"/>
          <w:szCs w:val="20"/>
        </w:rPr>
        <w:t>T</w:t>
      </w:r>
      <w:r w:rsidR="007714A9" w:rsidRPr="00302EB7">
        <w:rPr>
          <w:b/>
          <w:bCs/>
          <w:color w:val="000000"/>
          <w:sz w:val="20"/>
          <w:szCs w:val="20"/>
        </w:rPr>
        <w:t>able (</w:t>
      </w:r>
      <w:r w:rsidR="00CB4BD7" w:rsidRPr="00302EB7">
        <w:rPr>
          <w:b/>
          <w:bCs/>
          <w:color w:val="000000"/>
          <w:sz w:val="20"/>
          <w:szCs w:val="20"/>
        </w:rPr>
        <w:t>5</w:t>
      </w:r>
      <w:r w:rsidR="007714A9" w:rsidRPr="00302EB7">
        <w:rPr>
          <w:b/>
          <w:bCs/>
          <w:color w:val="000000"/>
          <w:sz w:val="20"/>
          <w:szCs w:val="20"/>
        </w:rPr>
        <w:t>)</w:t>
      </w:r>
      <w:r w:rsidR="007714A9" w:rsidRPr="00302EB7">
        <w:rPr>
          <w:color w:val="000000"/>
          <w:sz w:val="20"/>
          <w:szCs w:val="20"/>
        </w:rPr>
        <w:t xml:space="preserve"> </w:t>
      </w:r>
      <w:r w:rsidR="00844B35" w:rsidRPr="00302EB7">
        <w:rPr>
          <w:color w:val="000000"/>
          <w:sz w:val="20"/>
          <w:szCs w:val="20"/>
        </w:rPr>
        <w:t>shows</w:t>
      </w:r>
      <w:r w:rsidR="007714A9" w:rsidRPr="00302EB7">
        <w:rPr>
          <w:color w:val="000000"/>
          <w:sz w:val="20"/>
          <w:szCs w:val="20"/>
        </w:rPr>
        <w:t xml:space="preserve"> different protocols in bladder </w:t>
      </w:r>
      <w:r w:rsidR="00A76CDD" w:rsidRPr="00302EB7">
        <w:rPr>
          <w:color w:val="000000"/>
          <w:sz w:val="20"/>
          <w:szCs w:val="20"/>
        </w:rPr>
        <w:t>preservation</w:t>
      </w:r>
      <w:r w:rsidR="007714A9" w:rsidRPr="00302EB7">
        <w:rPr>
          <w:color w:val="000000"/>
          <w:sz w:val="20"/>
          <w:szCs w:val="20"/>
        </w:rPr>
        <w:t xml:space="preserve"> technique</w:t>
      </w:r>
      <w:r w:rsidR="00302EB7">
        <w:rPr>
          <w:color w:val="000000"/>
          <w:sz w:val="20"/>
          <w:szCs w:val="20"/>
        </w:rPr>
        <w:t>.</w:t>
      </w:r>
    </w:p>
    <w:p w:rsidR="00302EB7" w:rsidRDefault="00302EB7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  <w:sectPr w:rsidR="00302EB7" w:rsidSect="006519B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4A9" w:rsidRPr="00302EB7" w:rsidRDefault="007714A9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lastRenderedPageBreak/>
        <w:t xml:space="preserve"> </w:t>
      </w:r>
    </w:p>
    <w:p w:rsidR="00044A0F" w:rsidRPr="00302EB7" w:rsidRDefault="00CB4BD7" w:rsidP="00C73DB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2EB7">
        <w:rPr>
          <w:b/>
          <w:bCs/>
          <w:sz w:val="20"/>
          <w:szCs w:val="20"/>
        </w:rPr>
        <w:t>Table</w:t>
      </w:r>
      <w:r w:rsidR="00DE001F" w:rsidRPr="00302EB7">
        <w:rPr>
          <w:b/>
          <w:bCs/>
          <w:sz w:val="20"/>
          <w:szCs w:val="20"/>
        </w:rPr>
        <w:t xml:space="preserve"> (</w:t>
      </w:r>
      <w:r w:rsidRPr="00302EB7">
        <w:rPr>
          <w:b/>
          <w:bCs/>
          <w:sz w:val="20"/>
          <w:szCs w:val="20"/>
        </w:rPr>
        <w:t>5</w:t>
      </w:r>
      <w:r w:rsidR="00DE001F" w:rsidRPr="00302EB7">
        <w:rPr>
          <w:b/>
          <w:bCs/>
          <w:sz w:val="20"/>
          <w:szCs w:val="20"/>
        </w:rPr>
        <w:t>)</w:t>
      </w:r>
      <w:r w:rsidR="00D96AA6" w:rsidRPr="00302EB7">
        <w:rPr>
          <w:b/>
          <w:bCs/>
          <w:sz w:val="20"/>
          <w:szCs w:val="20"/>
        </w:rPr>
        <w:t xml:space="preserve"> </w:t>
      </w:r>
      <w:r w:rsidR="00DE001F" w:rsidRPr="00302EB7">
        <w:rPr>
          <w:b/>
          <w:bCs/>
          <w:sz w:val="20"/>
          <w:szCs w:val="20"/>
        </w:rPr>
        <w:t>Comparison of results of present study</w:t>
      </w:r>
      <w:r w:rsidR="00333EB0" w:rsidRPr="00302EB7">
        <w:rPr>
          <w:b/>
          <w:bCs/>
          <w:sz w:val="20"/>
          <w:szCs w:val="20"/>
        </w:rPr>
        <w:t xml:space="preserve"> and different bladder p</w:t>
      </w:r>
      <w:r w:rsidR="00D96AA6" w:rsidRPr="00302EB7">
        <w:rPr>
          <w:b/>
          <w:bCs/>
          <w:sz w:val="20"/>
          <w:szCs w:val="20"/>
        </w:rPr>
        <w:t>r</w:t>
      </w:r>
      <w:r w:rsidR="00333EB0" w:rsidRPr="00302EB7">
        <w:rPr>
          <w:b/>
          <w:bCs/>
          <w:sz w:val="20"/>
          <w:szCs w:val="20"/>
        </w:rPr>
        <w:t>e</w:t>
      </w:r>
      <w:r w:rsidR="00D96AA6" w:rsidRPr="00302EB7">
        <w:rPr>
          <w:b/>
          <w:bCs/>
          <w:sz w:val="20"/>
          <w:szCs w:val="20"/>
        </w:rPr>
        <w:t>servation trails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927"/>
        <w:gridCol w:w="1130"/>
        <w:gridCol w:w="845"/>
        <w:gridCol w:w="4790"/>
      </w:tblGrid>
      <w:tr w:rsidR="00CB4BD7" w:rsidRPr="00CD2F7F" w:rsidTr="00BF41E0">
        <w:tc>
          <w:tcPr>
            <w:tcW w:w="984" w:type="pct"/>
            <w:vAlign w:val="center"/>
          </w:tcPr>
          <w:p w:rsidR="007714A9" w:rsidRPr="00CD2F7F" w:rsidRDefault="005224A2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D2F7F">
              <w:rPr>
                <w:rFonts w:eastAsiaTheme="minorEastAsia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484" w:type="pct"/>
            <w:vAlign w:val="center"/>
          </w:tcPr>
          <w:p w:rsidR="007714A9" w:rsidRPr="00CD2F7F" w:rsidRDefault="005224A2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D2F7F">
              <w:rPr>
                <w:rFonts w:eastAsiaTheme="minorEastAsia"/>
                <w:b/>
                <w:bCs/>
                <w:sz w:val="20"/>
                <w:szCs w:val="20"/>
              </w:rPr>
              <w:t>Patients</w:t>
            </w:r>
          </w:p>
        </w:tc>
        <w:tc>
          <w:tcPr>
            <w:tcW w:w="590" w:type="pct"/>
            <w:vAlign w:val="center"/>
          </w:tcPr>
          <w:p w:rsidR="007714A9" w:rsidRPr="00CD2F7F" w:rsidRDefault="005224A2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D2F7F">
              <w:rPr>
                <w:rFonts w:eastAsiaTheme="minorEastAsia"/>
                <w:b/>
                <w:bCs/>
                <w:sz w:val="20"/>
                <w:szCs w:val="20"/>
              </w:rPr>
              <w:t>Follow up by month</w:t>
            </w:r>
          </w:p>
        </w:tc>
        <w:tc>
          <w:tcPr>
            <w:tcW w:w="441" w:type="pct"/>
            <w:vAlign w:val="center"/>
          </w:tcPr>
          <w:p w:rsidR="007714A9" w:rsidRPr="00CD2F7F" w:rsidRDefault="005224A2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D2F7F">
              <w:rPr>
                <w:rFonts w:eastAsiaTheme="minorEastAsia"/>
                <w:b/>
                <w:bCs/>
                <w:sz w:val="20"/>
                <w:szCs w:val="20"/>
              </w:rPr>
              <w:t>Initial CR</w:t>
            </w:r>
          </w:p>
        </w:tc>
        <w:tc>
          <w:tcPr>
            <w:tcW w:w="2501" w:type="pct"/>
            <w:vAlign w:val="center"/>
          </w:tcPr>
          <w:p w:rsidR="007714A9" w:rsidRPr="00CD2F7F" w:rsidRDefault="00CB4BD7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CD2F7F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="00333EB0" w:rsidRPr="00CD2F7F">
              <w:rPr>
                <w:rFonts w:eastAsiaTheme="minorEastAsia"/>
                <w:b/>
                <w:bCs/>
                <w:sz w:val="20"/>
                <w:szCs w:val="20"/>
              </w:rPr>
              <w:t>reservation techniques</w:t>
            </w:r>
          </w:p>
        </w:tc>
      </w:tr>
      <w:tr w:rsidR="00CB4BD7" w:rsidRPr="00CD2F7F" w:rsidTr="00BF41E0">
        <w:tc>
          <w:tcPr>
            <w:tcW w:w="984" w:type="pct"/>
            <w:vAlign w:val="center"/>
          </w:tcPr>
          <w:p w:rsidR="007714A9" w:rsidRPr="00CD2F7F" w:rsidRDefault="009F7AFC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RTOG 85-12</w:t>
            </w:r>
            <w:r w:rsidR="005A36F3" w:rsidRPr="00CD2F7F">
              <w:rPr>
                <w:rFonts w:eastAsiaTheme="minorEastAsia"/>
                <w:sz w:val="20"/>
                <w:szCs w:val="20"/>
              </w:rPr>
              <w:t xml:space="preserve"> </w:t>
            </w:r>
            <w:r w:rsidR="00A76CDD" w:rsidRPr="00CD2F7F">
              <w:rPr>
                <w:rFonts w:eastAsiaTheme="minorEastAsia"/>
                <w:sz w:val="20"/>
                <w:szCs w:val="20"/>
              </w:rPr>
              <w:t>(</w:t>
            </w:r>
            <w:r w:rsidR="005A36F3" w:rsidRPr="00CD2F7F">
              <w:rPr>
                <w:rFonts w:eastAsiaTheme="minorEastAsia"/>
                <w:sz w:val="20"/>
                <w:szCs w:val="20"/>
              </w:rPr>
              <w:t>10</w:t>
            </w:r>
            <w:r w:rsidR="00A76CDD" w:rsidRPr="00CD2F7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484" w:type="pct"/>
            <w:vAlign w:val="center"/>
          </w:tcPr>
          <w:p w:rsidR="007714A9" w:rsidRPr="00CD2F7F" w:rsidRDefault="009F7AFC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590" w:type="pct"/>
            <w:vAlign w:val="center"/>
          </w:tcPr>
          <w:p w:rsidR="007714A9" w:rsidRPr="00CD2F7F" w:rsidRDefault="009F7AFC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441" w:type="pct"/>
            <w:vAlign w:val="center"/>
          </w:tcPr>
          <w:p w:rsidR="007714A9" w:rsidRPr="00CD2F7F" w:rsidRDefault="009F7AFC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67%</w:t>
            </w:r>
          </w:p>
        </w:tc>
        <w:tc>
          <w:tcPr>
            <w:tcW w:w="2501" w:type="pct"/>
            <w:vAlign w:val="center"/>
          </w:tcPr>
          <w:p w:rsidR="007714A9" w:rsidRPr="00CD2F7F" w:rsidRDefault="009F7AFC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 xml:space="preserve">Concurrent </w:t>
            </w:r>
            <w:proofErr w:type="spellStart"/>
            <w:r w:rsidRPr="00CD2F7F">
              <w:rPr>
                <w:rFonts w:eastAsiaTheme="minorEastAsia"/>
                <w:sz w:val="20"/>
                <w:szCs w:val="20"/>
              </w:rPr>
              <w:t>cisplatin</w:t>
            </w:r>
            <w:proofErr w:type="spellEnd"/>
            <w:r w:rsidRPr="00CD2F7F">
              <w:rPr>
                <w:rFonts w:eastAsiaTheme="minorEastAsia"/>
                <w:sz w:val="20"/>
                <w:szCs w:val="20"/>
              </w:rPr>
              <w:t xml:space="preserve"> + RT</w:t>
            </w:r>
          </w:p>
        </w:tc>
      </w:tr>
      <w:tr w:rsidR="00CB4BD7" w:rsidRPr="00CD2F7F" w:rsidTr="00BF41E0">
        <w:tc>
          <w:tcPr>
            <w:tcW w:w="984" w:type="pct"/>
            <w:vAlign w:val="center"/>
          </w:tcPr>
          <w:p w:rsidR="007714A9" w:rsidRPr="00CD2F7F" w:rsidRDefault="00053DF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 xml:space="preserve">Lin CC, </w:t>
            </w:r>
            <w:r w:rsidRPr="00CD2F7F">
              <w:rPr>
                <w:rFonts w:eastAsiaTheme="minorEastAsia"/>
                <w:i/>
                <w:iCs/>
                <w:sz w:val="20"/>
                <w:szCs w:val="20"/>
              </w:rPr>
              <w:t>et al</w:t>
            </w:r>
            <w:r w:rsidR="005A3BB5" w:rsidRPr="00CD2F7F">
              <w:rPr>
                <w:rFonts w:eastAsiaTheme="minorEastAsia"/>
                <w:i/>
                <w:iCs/>
                <w:sz w:val="20"/>
                <w:szCs w:val="20"/>
              </w:rPr>
              <w:t>.</w:t>
            </w:r>
            <w:r w:rsidR="00A76CDD" w:rsidRPr="00CD2F7F">
              <w:rPr>
                <w:rFonts w:eastAsiaTheme="minorEastAsia"/>
                <w:sz w:val="20"/>
                <w:szCs w:val="20"/>
              </w:rPr>
              <w:t xml:space="preserve"> (</w:t>
            </w:r>
            <w:r w:rsidRPr="00CD2F7F">
              <w:rPr>
                <w:rFonts w:eastAsiaTheme="minorEastAsia"/>
                <w:sz w:val="20"/>
                <w:szCs w:val="20"/>
              </w:rPr>
              <w:t>1</w:t>
            </w:r>
            <w:r w:rsidR="005A36F3" w:rsidRPr="00CD2F7F">
              <w:rPr>
                <w:rFonts w:eastAsiaTheme="minorEastAsia"/>
                <w:sz w:val="20"/>
                <w:szCs w:val="20"/>
              </w:rPr>
              <w:t>1</w:t>
            </w:r>
            <w:r w:rsidR="00A76CDD" w:rsidRPr="00CD2F7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484" w:type="pct"/>
            <w:vAlign w:val="center"/>
          </w:tcPr>
          <w:p w:rsidR="007714A9" w:rsidRPr="00CD2F7F" w:rsidRDefault="00053DF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590" w:type="pct"/>
            <w:vAlign w:val="center"/>
          </w:tcPr>
          <w:p w:rsidR="007714A9" w:rsidRPr="00CD2F7F" w:rsidRDefault="00053DF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441" w:type="pct"/>
            <w:vAlign w:val="center"/>
          </w:tcPr>
          <w:p w:rsidR="007714A9" w:rsidRPr="00CD2F7F" w:rsidRDefault="00053DF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73.3</w:t>
            </w:r>
          </w:p>
        </w:tc>
        <w:tc>
          <w:tcPr>
            <w:tcW w:w="2501" w:type="pct"/>
            <w:vAlign w:val="center"/>
          </w:tcPr>
          <w:p w:rsidR="007714A9" w:rsidRPr="00CD2F7F" w:rsidRDefault="00053DF4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D2F7F">
              <w:rPr>
                <w:rFonts w:eastAsiaTheme="minorEastAsia"/>
                <w:sz w:val="20"/>
                <w:szCs w:val="20"/>
              </w:rPr>
              <w:t>Neoadjuvant</w:t>
            </w:r>
            <w:proofErr w:type="spellEnd"/>
            <w:r w:rsidRPr="00CD2F7F">
              <w:rPr>
                <w:rFonts w:eastAsiaTheme="minorEastAsia"/>
                <w:sz w:val="20"/>
                <w:szCs w:val="20"/>
              </w:rPr>
              <w:t xml:space="preserve"> CF X 3</w:t>
            </w:r>
            <w:r w:rsidR="00CB4BD7" w:rsidRPr="00CD2F7F">
              <w:rPr>
                <w:rFonts w:eastAsiaTheme="minorEastAsia"/>
                <w:sz w:val="20"/>
                <w:szCs w:val="20"/>
              </w:rPr>
              <w:t xml:space="preserve"> </w:t>
            </w:r>
            <w:r w:rsidRPr="00CD2F7F">
              <w:rPr>
                <w:rFonts w:eastAsiaTheme="minorEastAsia"/>
                <w:sz w:val="20"/>
                <w:szCs w:val="20"/>
              </w:rPr>
              <w:t xml:space="preserve">cycles ± </w:t>
            </w:r>
            <w:proofErr w:type="spellStart"/>
            <w:r w:rsidRPr="00CD2F7F">
              <w:rPr>
                <w:rFonts w:eastAsiaTheme="minorEastAsia"/>
                <w:sz w:val="20"/>
                <w:szCs w:val="20"/>
              </w:rPr>
              <w:t>paclitaxel</w:t>
            </w:r>
            <w:proofErr w:type="spellEnd"/>
            <w:r w:rsidR="007A2291" w:rsidRPr="00CD2F7F">
              <w:rPr>
                <w:rFonts w:eastAsiaTheme="minorEastAsia"/>
                <w:sz w:val="20"/>
                <w:szCs w:val="20"/>
              </w:rPr>
              <w:t>,</w:t>
            </w:r>
            <w:r w:rsidRPr="00CD2F7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D2F7F">
              <w:rPr>
                <w:rFonts w:eastAsiaTheme="minorEastAsia"/>
                <w:sz w:val="20"/>
                <w:szCs w:val="20"/>
              </w:rPr>
              <w:t>cisplatin</w:t>
            </w:r>
            <w:proofErr w:type="spellEnd"/>
          </w:p>
        </w:tc>
      </w:tr>
      <w:tr w:rsidR="00CB4BD7" w:rsidRPr="00CD2F7F" w:rsidTr="00BF41E0">
        <w:tc>
          <w:tcPr>
            <w:tcW w:w="984" w:type="pct"/>
            <w:vAlign w:val="center"/>
          </w:tcPr>
          <w:p w:rsidR="007714A9" w:rsidRPr="00CD2F7F" w:rsidRDefault="00CB756D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D2F7F">
              <w:rPr>
                <w:rFonts w:eastAsiaTheme="minorEastAsia"/>
                <w:sz w:val="20"/>
                <w:szCs w:val="20"/>
              </w:rPr>
              <w:t>Kuafman</w:t>
            </w:r>
            <w:proofErr w:type="spellEnd"/>
            <w:r w:rsidRPr="00CD2F7F">
              <w:rPr>
                <w:rFonts w:eastAsiaTheme="minorEastAsia"/>
                <w:sz w:val="20"/>
                <w:szCs w:val="20"/>
              </w:rPr>
              <w:t xml:space="preserve"> </w:t>
            </w:r>
            <w:r w:rsidR="005A3BB5" w:rsidRPr="00CD2F7F">
              <w:rPr>
                <w:rFonts w:eastAsiaTheme="minorEastAsia"/>
                <w:i/>
                <w:iCs/>
                <w:sz w:val="20"/>
                <w:szCs w:val="20"/>
              </w:rPr>
              <w:t>et al.</w:t>
            </w:r>
            <w:r w:rsidR="005A3BB5" w:rsidRPr="00CD2F7F">
              <w:rPr>
                <w:rFonts w:eastAsiaTheme="minorEastAsia"/>
                <w:sz w:val="20"/>
                <w:szCs w:val="20"/>
              </w:rPr>
              <w:t xml:space="preserve"> </w:t>
            </w:r>
            <w:r w:rsidR="00A76CDD" w:rsidRPr="00CD2F7F">
              <w:rPr>
                <w:rFonts w:eastAsiaTheme="minorEastAsia"/>
                <w:sz w:val="20"/>
                <w:szCs w:val="20"/>
              </w:rPr>
              <w:t>(</w:t>
            </w:r>
            <w:r w:rsidR="005A36F3" w:rsidRPr="00CD2F7F">
              <w:rPr>
                <w:rFonts w:eastAsiaTheme="minorEastAsia"/>
                <w:sz w:val="20"/>
                <w:szCs w:val="20"/>
              </w:rPr>
              <w:t>12</w:t>
            </w:r>
            <w:r w:rsidR="00A76CDD" w:rsidRPr="00CD2F7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484" w:type="pct"/>
            <w:vAlign w:val="center"/>
          </w:tcPr>
          <w:p w:rsidR="007714A9" w:rsidRPr="00CD2F7F" w:rsidRDefault="00CB756D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53</w:t>
            </w:r>
          </w:p>
        </w:tc>
        <w:tc>
          <w:tcPr>
            <w:tcW w:w="590" w:type="pct"/>
            <w:vAlign w:val="center"/>
          </w:tcPr>
          <w:p w:rsidR="007714A9" w:rsidRPr="00CD2F7F" w:rsidRDefault="00CB756D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48</w:t>
            </w:r>
          </w:p>
        </w:tc>
        <w:tc>
          <w:tcPr>
            <w:tcW w:w="441" w:type="pct"/>
            <w:vAlign w:val="center"/>
          </w:tcPr>
          <w:p w:rsidR="007714A9" w:rsidRPr="00CD2F7F" w:rsidRDefault="00D65236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58%</w:t>
            </w:r>
          </w:p>
        </w:tc>
        <w:tc>
          <w:tcPr>
            <w:tcW w:w="2501" w:type="pct"/>
            <w:vAlign w:val="center"/>
          </w:tcPr>
          <w:p w:rsidR="007714A9" w:rsidRPr="00CD2F7F" w:rsidRDefault="00D65236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D2F7F">
              <w:rPr>
                <w:rFonts w:eastAsiaTheme="minorEastAsia"/>
                <w:sz w:val="20"/>
                <w:szCs w:val="20"/>
              </w:rPr>
              <w:t>Neoadjuvant</w:t>
            </w:r>
            <w:proofErr w:type="spellEnd"/>
            <w:r w:rsidRPr="00CD2F7F">
              <w:rPr>
                <w:rFonts w:eastAsiaTheme="minorEastAsia"/>
                <w:sz w:val="20"/>
                <w:szCs w:val="20"/>
              </w:rPr>
              <w:t xml:space="preserve"> CMV x 3 cycles </w:t>
            </w:r>
            <w:r w:rsidR="00013987" w:rsidRPr="00CD2F7F">
              <w:rPr>
                <w:rFonts w:eastAsiaTheme="minorEastAsia"/>
                <w:sz w:val="20"/>
                <w:szCs w:val="20"/>
              </w:rPr>
              <w:t xml:space="preserve">+ </w:t>
            </w:r>
            <w:proofErr w:type="spellStart"/>
            <w:r w:rsidRPr="00CD2F7F">
              <w:rPr>
                <w:rFonts w:eastAsiaTheme="minorEastAsia"/>
                <w:sz w:val="20"/>
                <w:szCs w:val="20"/>
              </w:rPr>
              <w:t>cisplatin</w:t>
            </w:r>
            <w:proofErr w:type="spellEnd"/>
            <w:r w:rsidRPr="00CD2F7F">
              <w:rPr>
                <w:rFonts w:eastAsiaTheme="minorEastAsia"/>
                <w:sz w:val="20"/>
                <w:szCs w:val="20"/>
              </w:rPr>
              <w:t xml:space="preserve"> + RT</w:t>
            </w:r>
          </w:p>
        </w:tc>
      </w:tr>
      <w:tr w:rsidR="00CB4BD7" w:rsidRPr="00CD2F7F" w:rsidTr="00BF41E0">
        <w:tc>
          <w:tcPr>
            <w:tcW w:w="984" w:type="pct"/>
            <w:vAlign w:val="center"/>
          </w:tcPr>
          <w:p w:rsidR="007714A9" w:rsidRPr="00CD2F7F" w:rsidRDefault="001A487D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Our study</w:t>
            </w:r>
          </w:p>
        </w:tc>
        <w:tc>
          <w:tcPr>
            <w:tcW w:w="484" w:type="pct"/>
            <w:vAlign w:val="center"/>
          </w:tcPr>
          <w:p w:rsidR="007714A9" w:rsidRPr="00CD2F7F" w:rsidRDefault="001A487D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48</w:t>
            </w:r>
          </w:p>
        </w:tc>
        <w:tc>
          <w:tcPr>
            <w:tcW w:w="590" w:type="pct"/>
            <w:vAlign w:val="center"/>
          </w:tcPr>
          <w:p w:rsidR="007714A9" w:rsidRPr="00CD2F7F" w:rsidRDefault="00C30DD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31±3.7</w:t>
            </w:r>
          </w:p>
        </w:tc>
        <w:tc>
          <w:tcPr>
            <w:tcW w:w="441" w:type="pct"/>
            <w:vAlign w:val="center"/>
          </w:tcPr>
          <w:p w:rsidR="007714A9" w:rsidRPr="00CD2F7F" w:rsidRDefault="00E97ABE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D2F7F">
              <w:rPr>
                <w:rFonts w:eastAsiaTheme="minorEastAsia"/>
                <w:sz w:val="20"/>
                <w:szCs w:val="20"/>
              </w:rPr>
              <w:t>58.3%</w:t>
            </w:r>
          </w:p>
        </w:tc>
        <w:tc>
          <w:tcPr>
            <w:tcW w:w="2501" w:type="pct"/>
            <w:vAlign w:val="center"/>
          </w:tcPr>
          <w:p w:rsidR="007714A9" w:rsidRPr="00CD2F7F" w:rsidRDefault="00C30DD8" w:rsidP="00302EB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D2F7F">
              <w:rPr>
                <w:rFonts w:eastAsiaTheme="minorEastAsia"/>
                <w:sz w:val="20"/>
                <w:szCs w:val="20"/>
              </w:rPr>
              <w:t>Neoadjouvant</w:t>
            </w:r>
            <w:proofErr w:type="spellEnd"/>
            <w:r w:rsidRPr="00CD2F7F">
              <w:rPr>
                <w:rFonts w:eastAsiaTheme="minorEastAsia"/>
                <w:sz w:val="20"/>
                <w:szCs w:val="20"/>
              </w:rPr>
              <w:t xml:space="preserve"> gem/</w:t>
            </w:r>
            <w:proofErr w:type="spellStart"/>
            <w:r w:rsidRPr="00CD2F7F">
              <w:rPr>
                <w:rFonts w:eastAsiaTheme="minorEastAsia"/>
                <w:sz w:val="20"/>
                <w:szCs w:val="20"/>
              </w:rPr>
              <w:t>carboplatin</w:t>
            </w:r>
            <w:proofErr w:type="spellEnd"/>
            <w:r w:rsidR="00013987" w:rsidRPr="00CD2F7F">
              <w:rPr>
                <w:rFonts w:eastAsiaTheme="minorEastAsia"/>
                <w:sz w:val="20"/>
                <w:szCs w:val="20"/>
              </w:rPr>
              <w:t xml:space="preserve"> x </w:t>
            </w:r>
            <w:r w:rsidRPr="00CD2F7F">
              <w:rPr>
                <w:rFonts w:eastAsiaTheme="minorEastAsia"/>
                <w:sz w:val="20"/>
                <w:szCs w:val="20"/>
              </w:rPr>
              <w:t>2 cycles and gem +RT</w:t>
            </w:r>
          </w:p>
        </w:tc>
      </w:tr>
    </w:tbl>
    <w:p w:rsidR="0061162A" w:rsidRPr="00302EB7" w:rsidRDefault="00F25F29" w:rsidP="00C73D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RTOG</w:t>
      </w:r>
      <w:r w:rsidR="0061162A" w:rsidRPr="00302EB7">
        <w:rPr>
          <w:color w:val="000000"/>
          <w:sz w:val="20"/>
          <w:szCs w:val="20"/>
        </w:rPr>
        <w:t xml:space="preserve"> =</w:t>
      </w:r>
      <w:r w:rsidR="0061162A" w:rsidRPr="00302EB7">
        <w:rPr>
          <w:sz w:val="20"/>
          <w:szCs w:val="20"/>
        </w:rPr>
        <w:t xml:space="preserve">Radiation Therapy Oncology </w:t>
      </w:r>
      <w:r w:rsidR="007C5C58" w:rsidRPr="00302EB7">
        <w:rPr>
          <w:sz w:val="20"/>
          <w:szCs w:val="20"/>
        </w:rPr>
        <w:t>Group,</w:t>
      </w:r>
      <w:r w:rsidR="0061162A" w:rsidRPr="00302EB7">
        <w:rPr>
          <w:sz w:val="20"/>
          <w:szCs w:val="20"/>
        </w:rPr>
        <w:t xml:space="preserve"> CR</w:t>
      </w:r>
      <w:r w:rsidR="007C5C58" w:rsidRPr="00302EB7">
        <w:rPr>
          <w:sz w:val="20"/>
          <w:szCs w:val="20"/>
        </w:rPr>
        <w:t>= complete</w:t>
      </w:r>
      <w:r w:rsidR="0061162A" w:rsidRPr="00302EB7">
        <w:rPr>
          <w:sz w:val="20"/>
          <w:szCs w:val="20"/>
        </w:rPr>
        <w:t xml:space="preserve"> </w:t>
      </w:r>
      <w:r w:rsidR="007C5C58" w:rsidRPr="00302EB7">
        <w:rPr>
          <w:sz w:val="20"/>
          <w:szCs w:val="20"/>
        </w:rPr>
        <w:t>response</w:t>
      </w:r>
      <w:r w:rsidR="007C5C58" w:rsidRPr="00302EB7">
        <w:rPr>
          <w:color w:val="000000"/>
          <w:sz w:val="20"/>
          <w:szCs w:val="20"/>
        </w:rPr>
        <w:t>, RT</w:t>
      </w:r>
      <w:r w:rsidR="0061162A" w:rsidRPr="00302EB7">
        <w:rPr>
          <w:sz w:val="20"/>
          <w:szCs w:val="20"/>
        </w:rPr>
        <w:t xml:space="preserve">= Radiation </w:t>
      </w:r>
      <w:r w:rsidR="007C5C58" w:rsidRPr="00302EB7">
        <w:rPr>
          <w:sz w:val="20"/>
          <w:szCs w:val="20"/>
        </w:rPr>
        <w:t>therapy</w:t>
      </w:r>
      <w:r w:rsidR="007C5C58" w:rsidRPr="00302EB7">
        <w:rPr>
          <w:color w:val="000000"/>
          <w:sz w:val="20"/>
          <w:szCs w:val="20"/>
        </w:rPr>
        <w:t xml:space="preserve"> CMV</w:t>
      </w:r>
      <w:r w:rsidR="00CB4BD7" w:rsidRPr="00302EB7">
        <w:rPr>
          <w:sz w:val="20"/>
          <w:szCs w:val="20"/>
        </w:rPr>
        <w:t>=</w:t>
      </w:r>
      <w:r w:rsidR="0061162A" w:rsidRPr="00302EB7">
        <w:rPr>
          <w:sz w:val="20"/>
          <w:szCs w:val="20"/>
        </w:rPr>
        <w:t xml:space="preserve"> </w:t>
      </w:r>
      <w:proofErr w:type="spellStart"/>
      <w:r w:rsidR="0061162A" w:rsidRPr="00302EB7">
        <w:rPr>
          <w:sz w:val="20"/>
          <w:szCs w:val="20"/>
        </w:rPr>
        <w:t>cisplatinum</w:t>
      </w:r>
      <w:proofErr w:type="spellEnd"/>
      <w:r w:rsidR="0061162A" w:rsidRPr="00302EB7">
        <w:rPr>
          <w:sz w:val="20"/>
          <w:szCs w:val="20"/>
        </w:rPr>
        <w:t xml:space="preserve">, </w:t>
      </w:r>
      <w:proofErr w:type="spellStart"/>
      <w:r w:rsidR="0061162A" w:rsidRPr="00302EB7">
        <w:rPr>
          <w:sz w:val="20"/>
          <w:szCs w:val="20"/>
        </w:rPr>
        <w:t>methotrexate</w:t>
      </w:r>
      <w:proofErr w:type="spellEnd"/>
      <w:r w:rsidR="0061162A" w:rsidRPr="00302EB7">
        <w:rPr>
          <w:sz w:val="20"/>
          <w:szCs w:val="20"/>
        </w:rPr>
        <w:t xml:space="preserve"> and </w:t>
      </w:r>
      <w:proofErr w:type="spellStart"/>
      <w:r w:rsidR="0061162A" w:rsidRPr="00302EB7">
        <w:rPr>
          <w:sz w:val="20"/>
          <w:szCs w:val="20"/>
        </w:rPr>
        <w:t>vinblastine</w:t>
      </w:r>
      <w:proofErr w:type="spellEnd"/>
    </w:p>
    <w:p w:rsidR="00302EB7" w:rsidRDefault="00302EB7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302EB7" w:rsidRDefault="00302EB7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  <w:sectPr w:rsidR="00302EB7" w:rsidSect="006519B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D3A53" w:rsidRPr="00302EB7" w:rsidRDefault="00CB4BD7" w:rsidP="00C73DB9">
      <w:pPr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lastRenderedPageBreak/>
        <w:t xml:space="preserve">Patient's </w:t>
      </w:r>
      <w:r w:rsidR="006D3A53" w:rsidRPr="00302EB7">
        <w:rPr>
          <w:color w:val="000000"/>
          <w:sz w:val="20"/>
          <w:szCs w:val="20"/>
        </w:rPr>
        <w:t xml:space="preserve">response to treatment is displayed in </w:t>
      </w:r>
      <w:r w:rsidR="006D3A53" w:rsidRPr="00302EB7">
        <w:rPr>
          <w:b/>
          <w:bCs/>
          <w:color w:val="000000"/>
          <w:sz w:val="20"/>
          <w:szCs w:val="20"/>
        </w:rPr>
        <w:t>figure 1</w:t>
      </w:r>
      <w:r w:rsidRPr="00302EB7">
        <w:rPr>
          <w:b/>
          <w:bCs/>
          <w:color w:val="000000"/>
          <w:sz w:val="20"/>
          <w:szCs w:val="20"/>
        </w:rPr>
        <w:t>.</w:t>
      </w:r>
      <w:r w:rsidR="007714A9" w:rsidRPr="00302EB7">
        <w:rPr>
          <w:b/>
          <w:bCs/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The mean ±SD months of follow up were 31±3.7 months ranged (24-36</w:t>
      </w:r>
      <w:r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months).</w:t>
      </w:r>
      <w:r w:rsidR="00A76CDD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Three patients developed local recurrence of muscle invasive disease,</w:t>
      </w:r>
      <w:r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 xml:space="preserve">detected during follow up </w:t>
      </w:r>
      <w:proofErr w:type="spellStart"/>
      <w:r w:rsidR="006D3A53" w:rsidRPr="00302EB7">
        <w:rPr>
          <w:color w:val="000000"/>
          <w:sz w:val="20"/>
          <w:szCs w:val="20"/>
        </w:rPr>
        <w:t>cystoscopy</w:t>
      </w:r>
      <w:proofErr w:type="spellEnd"/>
      <w:r w:rsidR="006D3A53" w:rsidRPr="00302EB7">
        <w:rPr>
          <w:color w:val="000000"/>
          <w:sz w:val="20"/>
          <w:szCs w:val="20"/>
        </w:rPr>
        <w:t xml:space="preserve"> and underwent salvage </w:t>
      </w:r>
      <w:proofErr w:type="spellStart"/>
      <w:r w:rsidR="006D3A53" w:rsidRPr="00302EB7">
        <w:rPr>
          <w:color w:val="000000"/>
          <w:sz w:val="20"/>
          <w:szCs w:val="20"/>
        </w:rPr>
        <w:t>cystectomy</w:t>
      </w:r>
      <w:proofErr w:type="spellEnd"/>
      <w:r w:rsidR="006D3A53" w:rsidRPr="00302EB7">
        <w:rPr>
          <w:color w:val="000000"/>
          <w:sz w:val="20"/>
          <w:szCs w:val="20"/>
        </w:rPr>
        <w:t xml:space="preserve"> at 11,</w:t>
      </w:r>
      <w:r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19 and 32 months. Two patients (4.1 %%) developed bone metastasis at 25</w:t>
      </w:r>
      <w:r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and</w:t>
      </w:r>
      <w:r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 xml:space="preserve">31 months and were </w:t>
      </w:r>
      <w:r w:rsidR="006D3A53" w:rsidRPr="00302EB7">
        <w:rPr>
          <w:color w:val="000000"/>
          <w:sz w:val="20"/>
          <w:szCs w:val="20"/>
        </w:rPr>
        <w:lastRenderedPageBreak/>
        <w:t xml:space="preserve">managed with palliative radiotherapy. Two patients died due to </w:t>
      </w:r>
      <w:proofErr w:type="spellStart"/>
      <w:r w:rsidR="006D3A53" w:rsidRPr="00302EB7">
        <w:rPr>
          <w:color w:val="000000"/>
          <w:sz w:val="20"/>
          <w:szCs w:val="20"/>
        </w:rPr>
        <w:t>cerebrovascular</w:t>
      </w:r>
      <w:proofErr w:type="spellEnd"/>
      <w:r w:rsidR="006D3A53" w:rsidRPr="00302EB7">
        <w:rPr>
          <w:color w:val="000000"/>
          <w:sz w:val="20"/>
          <w:szCs w:val="20"/>
        </w:rPr>
        <w:t xml:space="preserve"> accident at 20 and 27</w:t>
      </w:r>
      <w:r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months. At time of analysis, there were fourteen deaths (29.1%) due to bladder</w:t>
      </w:r>
      <w:r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cancer. Three-year CSS and OS were 69.9% and 66.6%.</w:t>
      </w:r>
      <w:r w:rsidR="00A76CDD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Twenty one patients</w:t>
      </w:r>
      <w:r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(43.7%) were tumor free and kept their bladder at time of analysis. Detailed</w:t>
      </w:r>
      <w:r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 xml:space="preserve">survival analysis is displayed in </w:t>
      </w:r>
      <w:r w:rsidR="006D3A53" w:rsidRPr="00302EB7">
        <w:rPr>
          <w:b/>
          <w:bCs/>
          <w:color w:val="000000"/>
          <w:sz w:val="20"/>
          <w:szCs w:val="20"/>
        </w:rPr>
        <w:t>figure2</w:t>
      </w:r>
      <w:r w:rsidR="006D3A53" w:rsidRPr="00302EB7">
        <w:rPr>
          <w:color w:val="000000"/>
          <w:sz w:val="20"/>
          <w:szCs w:val="20"/>
        </w:rPr>
        <w:t>.</w:t>
      </w:r>
    </w:p>
    <w:p w:rsidR="00302EB7" w:rsidRDefault="00302EB7" w:rsidP="00302EB7">
      <w:pPr>
        <w:rPr>
          <w:b/>
          <w:bCs/>
          <w:sz w:val="20"/>
          <w:szCs w:val="20"/>
        </w:rPr>
        <w:sectPr w:rsidR="00302EB7" w:rsidSect="006519B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2D5B96" w:rsidRDefault="002D5B96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tbl>
      <w:tblPr>
        <w:tblW w:w="10162" w:type="dxa"/>
        <w:jc w:val="center"/>
        <w:tblLook w:val="04A0"/>
      </w:tblPr>
      <w:tblGrid>
        <w:gridCol w:w="10162"/>
      </w:tblGrid>
      <w:tr w:rsidR="00302EB7" w:rsidRPr="00CD2F7F" w:rsidTr="007E7A91">
        <w:trPr>
          <w:trHeight w:val="9890"/>
          <w:jc w:val="center"/>
        </w:trPr>
        <w:tc>
          <w:tcPr>
            <w:tcW w:w="10162" w:type="dxa"/>
          </w:tcPr>
          <w:p w:rsidR="00302EB7" w:rsidRPr="00CD2F7F" w:rsidRDefault="008F736A" w:rsidP="007E7A91">
            <w:pPr>
              <w:autoSpaceDE w:val="0"/>
              <w:autoSpaceDN w:val="0"/>
              <w:bidi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</w:rPr>
              <w:pict>
                <v:group id="_x0000_s1096" editas="canvas" style="position:absolute;margin-left:-495.45pt;margin-top:1.75pt;width:495.55pt;height:486.15pt;z-index:251659264;mso-position-horizontal-relative:char;mso-position-vertical-relative:line" coordorigin="1549,2077" coordsize="9911,972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7" type="#_x0000_t75" style="position:absolute;left:1549;top:2077;width:9911;height:9723" o:preferrelative="f">
                    <v:fill o:detectmouseclick="t"/>
                    <v:path o:extrusionok="t" o:connecttype="none"/>
                    <o:lock v:ext="edit" text="t"/>
                  </v:shape>
                  <v:rect id="_x0000_s1098" style="position:absolute;left:3780;top:2077;width:2880;height:359">
                    <v:textbox style="mso-next-textbox:#_x0000_s1098">
                      <w:txbxContent>
                        <w:p w:rsidR="00302EB7" w:rsidRPr="0001265F" w:rsidRDefault="00302EB7" w:rsidP="00302EB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265F">
                            <w:rPr>
                              <w:sz w:val="18"/>
                              <w:szCs w:val="18"/>
                            </w:rPr>
                            <w:t>Assessed for eligibility (</w:t>
                          </w:r>
                          <w:r>
                            <w:rPr>
                              <w:sz w:val="18"/>
                              <w:szCs w:val="18"/>
                            </w:rPr>
                            <w:t>n=53)</w:t>
                          </w:r>
                        </w:p>
                      </w:txbxContent>
                    </v:textbox>
                  </v:rect>
                  <v:rect id="_x0000_s1099" style="position:absolute;left:3780;top:4236;width:4635;height:360">
                    <v:textbox style="mso-next-textbox:#_x0000_s1099">
                      <w:txbxContent>
                        <w:p w:rsidR="00302EB7" w:rsidRPr="0001265F" w:rsidRDefault="00302EB7" w:rsidP="00302EB7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TURBT+neoadjuvant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chemotherapy+Radiotherapy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(n=48</w:t>
                          </w:r>
                          <w:r w:rsidRPr="0001265F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100" style="position:absolute;left:3780;top:5316;width:3420;height:360">
                    <v:textbox style="mso-next-textbox:#_x0000_s1100">
                      <w:txbxContent>
                        <w:p w:rsidR="00302EB7" w:rsidRDefault="00302EB7" w:rsidP="00302EB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  <w:t xml:space="preserve">Follow up </w:t>
                          </w:r>
                          <w:proofErr w:type="spellStart"/>
                          <w:r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  <w:t>cystoscopy</w:t>
                          </w:r>
                          <w:proofErr w:type="spellEnd"/>
                          <w:r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  <w:t xml:space="preserve"> and biopsy (n=48)</w:t>
                          </w:r>
                        </w:p>
                        <w:p w:rsidR="00302EB7" w:rsidRPr="00C23332" w:rsidRDefault="00302EB7" w:rsidP="00302EB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</w:pPr>
                        </w:p>
                        <w:p w:rsidR="00302EB7" w:rsidRDefault="00302EB7" w:rsidP="00302EB7"/>
                      </w:txbxContent>
                    </v:textbox>
                  </v:rect>
                  <v:rect id="_x0000_s1101" style="position:absolute;left:9135;top:10716;width:2325;height:720">
                    <v:textbox style="mso-next-textbox:#_x0000_s1101">
                      <w:txbxContent>
                        <w:p w:rsidR="00302EB7" w:rsidRDefault="00302EB7" w:rsidP="00302EB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  <w:t>Reach end point/36months</w:t>
                          </w:r>
                        </w:p>
                        <w:p w:rsidR="00302EB7" w:rsidRDefault="00302EB7" w:rsidP="00302EB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-Roman" w:hAnsi="Times-Roman" w:cs="Times-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  <w:t>n=32</w:t>
                          </w:r>
                        </w:p>
                        <w:p w:rsidR="00302EB7" w:rsidRDefault="00302EB7" w:rsidP="00302EB7"/>
                      </w:txbxContent>
                    </v:textbox>
                  </v:rect>
                  <v:line id="_x0000_s1102" style="position:absolute" from="5220,2436" to="5221,4236">
                    <v:stroke endarrow="block"/>
                  </v:line>
                  <v:line id="_x0000_s1103" style="position:absolute" from="5220,4596" to="5221,5316">
                    <v:stroke endarrow="block"/>
                  </v:line>
                  <v:rect id="_x0000_s1104" style="position:absolute;left:5760;top:3336;width:1980;height:360">
                    <v:textbox style="mso-next-textbox:#_x0000_s1104">
                      <w:txbxContent>
                        <w:p w:rsidR="00302EB7" w:rsidRDefault="00302EB7" w:rsidP="00302EB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  <w:t>Excluded (n= 3)</w:t>
                          </w:r>
                        </w:p>
                        <w:p w:rsidR="00302EB7" w:rsidRDefault="00302EB7" w:rsidP="00302EB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-Roman" w:hAnsi="Times-Roman" w:cs="Times-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-Roman" w:hAnsi="Times-Roman" w:cs="Times-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302EB7" w:rsidRDefault="00302EB7" w:rsidP="00302EB7"/>
                      </w:txbxContent>
                    </v:textbox>
                  </v:rect>
                  <v:rect id="_x0000_s1105" style="position:absolute;left:9945;top:2091;width:1260;height:360">
                    <v:textbox style="mso-next-textbox:#_x0000_s1105">
                      <w:txbxContent>
                        <w:p w:rsidR="00302EB7" w:rsidRPr="0046523C" w:rsidRDefault="00302EB7" w:rsidP="00302EB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6523C">
                            <w:rPr>
                              <w:sz w:val="18"/>
                              <w:szCs w:val="18"/>
                            </w:rPr>
                            <w:t>Enrollment</w:t>
                          </w:r>
                        </w:p>
                      </w:txbxContent>
                    </v:textbox>
                  </v:rect>
                  <v:rect id="_x0000_s1106" style="position:absolute;left:10039;top:4476;width:1301;height:360">
                    <v:textbox style="mso-next-textbox:#_x0000_s1106">
                      <w:txbxContent>
                        <w:p w:rsidR="00302EB7" w:rsidRPr="0046523C" w:rsidRDefault="00302EB7" w:rsidP="00302EB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6523C">
                            <w:rPr>
                              <w:sz w:val="18"/>
                              <w:szCs w:val="18"/>
                            </w:rPr>
                            <w:t>Interventio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rect>
                  <v:line id="_x0000_s1107" style="position:absolute;flip:x" from="2520,5676" to="3780,5676"/>
                  <v:line id="_x0000_s1108" style="position:absolute" from="2520,5676" to="2520,6216">
                    <v:stroke endarrow="block"/>
                  </v:line>
                  <v:line id="_x0000_s1109" style="position:absolute" from="5220,5676" to="5221,6216">
                    <v:stroke endarrow="block"/>
                  </v:line>
                  <v:line id="_x0000_s1110" style="position:absolute" from="7200,5676" to="8926,5677"/>
                  <v:line id="_x0000_s1111" style="position:absolute" from="8925,5676" to="8926,6216">
                    <v:stroke endarrow="block"/>
                  </v:line>
                  <v:rect id="_x0000_s1112" style="position:absolute;left:1980;top:6216;width:1620;height:375">
                    <v:textbox style="mso-next-textbox:#_x0000_s1112">
                      <w:txbxContent>
                        <w:p w:rsidR="00302EB7" w:rsidRPr="004B268A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B268A">
                            <w:rPr>
                              <w:sz w:val="16"/>
                              <w:szCs w:val="16"/>
                            </w:rPr>
                            <w:t>CR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268A">
                            <w:rPr>
                              <w:sz w:val="16"/>
                              <w:szCs w:val="16"/>
                            </w:rPr>
                            <w:t>(n=28)</w:t>
                          </w:r>
                        </w:p>
                      </w:txbxContent>
                    </v:textbox>
                  </v:rect>
                  <v:rect id="_x0000_s1113" style="position:absolute;left:4320;top:6216;width:1620;height:375">
                    <v:textbox style="mso-next-textbox:#_x0000_s1113">
                      <w:txbxContent>
                        <w:p w:rsidR="00302EB7" w:rsidRPr="004B268A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B268A">
                            <w:rPr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268A">
                            <w:rPr>
                              <w:sz w:val="16"/>
                              <w:szCs w:val="16"/>
                            </w:rPr>
                            <w:t>(n=15)</w:t>
                          </w:r>
                        </w:p>
                      </w:txbxContent>
                    </v:textbox>
                  </v:rect>
                  <v:rect id="_x0000_s1114" style="position:absolute;left:8415;top:6216;width:1440;height:375">
                    <v:textbox style="mso-next-textbox:#_x0000_s1114">
                      <w:txbxContent>
                        <w:p w:rsidR="00302EB7" w:rsidRPr="004B268A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B268A">
                            <w:rPr>
                              <w:sz w:val="16"/>
                              <w:szCs w:val="16"/>
                            </w:rPr>
                            <w:t>PD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268A">
                            <w:rPr>
                              <w:sz w:val="16"/>
                              <w:szCs w:val="16"/>
                            </w:rPr>
                            <w:t>(n=5)</w:t>
                          </w:r>
                        </w:p>
                      </w:txbxContent>
                    </v:textbox>
                  </v:rect>
                  <v:rect id="_x0000_s1115" style="position:absolute;left:2910;top:10881;width:1099;height:720">
                    <v:textbox style="mso-next-textbox:#_x0000_s1115">
                      <w:txbxContent>
                        <w:p w:rsidR="00302EB7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793E">
                            <w:rPr>
                              <w:sz w:val="16"/>
                              <w:szCs w:val="16"/>
                            </w:rPr>
                            <w:t>Recurrence</w:t>
                          </w:r>
                        </w:p>
                        <w:p w:rsidR="00302EB7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793E">
                            <w:rPr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20793E">
                            <w:rPr>
                              <w:sz w:val="16"/>
                              <w:szCs w:val="16"/>
                            </w:rPr>
                            <w:t>cystectomy</w:t>
                          </w:r>
                          <w:proofErr w:type="spellEnd"/>
                        </w:p>
                        <w:p w:rsidR="00302EB7" w:rsidRPr="0020793E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793E">
                            <w:rPr>
                              <w:sz w:val="16"/>
                              <w:szCs w:val="16"/>
                            </w:rPr>
                            <w:t xml:space="preserve">(n=3) </w:t>
                          </w:r>
                        </w:p>
                      </w:txbxContent>
                    </v:textbox>
                  </v:re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116" type="#_x0000_t109" style="position:absolute;left:2224;top:8091;width:1065;height:705">
                    <v:textbox style="mso-next-textbox:#_x0000_s1116">
                      <w:txbxContent>
                        <w:p w:rsidR="00302EB7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793E">
                            <w:rPr>
                              <w:sz w:val="16"/>
                              <w:szCs w:val="16"/>
                            </w:rPr>
                            <w:t>Metastasis</w:t>
                          </w:r>
                        </w:p>
                        <w:p w:rsidR="00302EB7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793E">
                            <w:rPr>
                              <w:sz w:val="16"/>
                              <w:szCs w:val="16"/>
                            </w:rPr>
                            <w:t>Died</w:t>
                          </w:r>
                        </w:p>
                        <w:p w:rsidR="00302EB7" w:rsidRPr="0020793E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n=2</w:t>
                          </w:r>
                        </w:p>
                      </w:txbxContent>
                    </v:textbox>
                  </v:shape>
                  <v:shape id="_x0000_s1117" type="#_x0000_t109" style="position:absolute;left:1549;top:10851;width:1275;height:750">
                    <v:textbox style="mso-next-textbox:#_x0000_s1117">
                      <w:txbxContent>
                        <w:p w:rsidR="00302EB7" w:rsidRPr="0020793E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793E">
                            <w:rPr>
                              <w:sz w:val="16"/>
                              <w:szCs w:val="16"/>
                            </w:rPr>
                            <w:t>No recurrence</w:t>
                          </w:r>
                        </w:p>
                        <w:p w:rsidR="00302EB7" w:rsidRPr="0020793E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793E">
                            <w:rPr>
                              <w:sz w:val="16"/>
                              <w:szCs w:val="16"/>
                            </w:rPr>
                            <w:t>/No metastasis</w:t>
                          </w:r>
                        </w:p>
                        <w:p w:rsidR="00302EB7" w:rsidRPr="0020793E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(n=</w:t>
                          </w:r>
                          <w:r w:rsidRPr="0020793E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1)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8" type="#_x0000_t32" style="position:absolute;left:1714;top:6591;width:15;height:4125" o:connectortype="straight">
                    <v:stroke endarrow="block"/>
                  </v:shape>
                  <v:shape id="_x0000_s1119" type="#_x0000_t32" style="position:absolute;left:1729;top:6404;width:251;height:187;flip:x" o:connectortype="straight"/>
                  <v:shape id="_x0000_s1120" type="#_x0000_t32" style="position:absolute;left:2757;top:6591;width:33;height:1500;flip:x" o:connectortype="straight">
                    <v:stroke endarrow="block"/>
                  </v:shape>
                  <v:shape id="_x0000_s1121" type="#_x0000_t32" style="position:absolute;left:3600;top:6404;width:0;height:4312" o:connectortype="straight">
                    <v:stroke endarrow="block"/>
                  </v:shape>
                  <v:shape id="_x0000_s1122" type="#_x0000_t109" style="position:absolute;left:3810;top:8166;width:1440;height:885">
                    <v:textbox style="mso-next-textbox:#_x0000_s1122">
                      <w:txbxContent>
                        <w:p w:rsidR="00302EB7" w:rsidRPr="004B268A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B268A">
                            <w:rPr>
                              <w:sz w:val="16"/>
                              <w:szCs w:val="16"/>
                            </w:rPr>
                            <w:t>Salvage</w:t>
                          </w:r>
                        </w:p>
                        <w:p w:rsidR="00302EB7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B268A">
                            <w:rPr>
                              <w:sz w:val="16"/>
                              <w:szCs w:val="16"/>
                            </w:rPr>
                            <w:t>Chemotherapy</w:t>
                          </w:r>
                        </w:p>
                        <w:p w:rsidR="00302EB7" w:rsidRPr="004B268A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Died</w:t>
                          </w:r>
                        </w:p>
                        <w:p w:rsidR="00302EB7" w:rsidRPr="004B268A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B268A">
                            <w:rPr>
                              <w:sz w:val="16"/>
                              <w:szCs w:val="16"/>
                            </w:rPr>
                            <w:t>N=7</w:t>
                          </w:r>
                        </w:p>
                      </w:txbxContent>
                    </v:textbox>
                  </v:shape>
                  <v:shape id="_x0000_s1123" type="#_x0000_t32" style="position:absolute;left:4510;top:6591;width:620;height:1687;flip:x" o:connectortype="straight">
                    <v:stroke endarrow="block"/>
                  </v:shape>
                  <v:shape id="_x0000_s1124" type="#_x0000_t109" style="position:absolute;left:4639;top:10851;width:1661;height:750">
                    <v:textbox style="mso-next-textbox:#_x0000_s1124">
                      <w:txbxContent>
                        <w:p w:rsidR="00302EB7" w:rsidRPr="00C6621B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21B">
                            <w:rPr>
                              <w:sz w:val="16"/>
                              <w:szCs w:val="16"/>
                            </w:rPr>
                            <w:t>Salvage</w:t>
                          </w:r>
                        </w:p>
                        <w:p w:rsidR="00302EB7" w:rsidRPr="00C6621B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621B">
                            <w:rPr>
                              <w:sz w:val="16"/>
                              <w:szCs w:val="16"/>
                            </w:rPr>
                            <w:t>Cystectomy</w:t>
                          </w:r>
                          <w:proofErr w:type="spellEnd"/>
                        </w:p>
                        <w:p w:rsidR="00302EB7" w:rsidRPr="00C6621B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(n</w:t>
                          </w:r>
                          <w:r w:rsidRPr="00C6621B">
                            <w:rPr>
                              <w:sz w:val="16"/>
                              <w:szCs w:val="16"/>
                            </w:rPr>
                            <w:t>=8</w:t>
                          </w:r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25" type="#_x0000_t32" style="position:absolute;left:5940;top:6591;width:1;height:4312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26" type="#_x0000_t202" style="position:absolute;left:7035;top:8166;width:2404;height:990">
                    <v:textbox style="mso-next-textbox:#_x0000_s1126">
                      <w:txbxContent>
                        <w:p w:rsidR="00302EB7" w:rsidRPr="00C6621B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21B">
                            <w:rPr>
                              <w:sz w:val="16"/>
                              <w:szCs w:val="16"/>
                            </w:rPr>
                            <w:t xml:space="preserve">Salvage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radiotherapy and/or</w:t>
                          </w:r>
                        </w:p>
                        <w:p w:rsidR="00302EB7" w:rsidRPr="00C6621B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21B">
                            <w:rPr>
                              <w:sz w:val="16"/>
                              <w:szCs w:val="16"/>
                            </w:rPr>
                            <w:t>Chemotherapy</w:t>
                          </w:r>
                        </w:p>
                        <w:p w:rsidR="00302EB7" w:rsidRPr="00C6621B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21B">
                            <w:rPr>
                              <w:sz w:val="16"/>
                              <w:szCs w:val="16"/>
                            </w:rPr>
                            <w:t>Died</w:t>
                          </w:r>
                        </w:p>
                        <w:p w:rsidR="00302EB7" w:rsidRPr="00C6621B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21B">
                            <w:rPr>
                              <w:sz w:val="16"/>
                              <w:szCs w:val="16"/>
                            </w:rPr>
                            <w:t>(n=5)</w:t>
                          </w:r>
                        </w:p>
                      </w:txbxContent>
                    </v:textbox>
                  </v:shape>
                  <v:shape id="_x0000_s1127" type="#_x0000_t32" style="position:absolute;left:8237;top:6591;width:898;height:1575;flip:x" o:connectortype="straight">
                    <v:stroke endarrow="block"/>
                  </v:shape>
                  <v:shape id="_x0000_s1128" type="#_x0000_t109" style="position:absolute;left:1980;top:9369;width:930;height:675">
                    <v:textbox>
                      <w:txbxContent>
                        <w:p w:rsidR="00302EB7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93707">
                            <w:rPr>
                              <w:sz w:val="16"/>
                              <w:szCs w:val="16"/>
                            </w:rPr>
                            <w:t>Died due to CVA</w:t>
                          </w:r>
                        </w:p>
                        <w:p w:rsidR="00302EB7" w:rsidRPr="00593707" w:rsidRDefault="00302EB7" w:rsidP="00302EB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n=2</w:t>
                          </w:r>
                        </w:p>
                      </w:txbxContent>
                    </v:textbox>
                  </v:shape>
                  <v:shape id="_x0000_s1129" type="#_x0000_t32" style="position:absolute;left:1729;top:9707;width:251;height:22;flip:x" o:connectortype="straight"/>
                </v:group>
              </w:pict>
            </w:r>
          </w:p>
        </w:tc>
      </w:tr>
    </w:tbl>
    <w:p w:rsidR="00844B35" w:rsidRPr="00302EB7" w:rsidRDefault="00302EB7" w:rsidP="00C73DB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02EB7">
        <w:rPr>
          <w:b/>
          <w:bCs/>
          <w:sz w:val="20"/>
          <w:szCs w:val="20"/>
        </w:rPr>
        <w:t>Figure 1</w:t>
      </w:r>
      <w:r w:rsidRPr="00302EB7">
        <w:rPr>
          <w:sz w:val="20"/>
          <w:szCs w:val="20"/>
        </w:rPr>
        <w:t>: Patients' response to treatment</w:t>
      </w:r>
    </w:p>
    <w:p w:rsidR="00844B35" w:rsidRPr="00302EB7" w:rsidRDefault="00844B35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844B35" w:rsidRPr="00302EB7" w:rsidRDefault="00844B35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844B35" w:rsidRPr="00302EB7" w:rsidRDefault="00844B35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844B35" w:rsidRPr="00302EB7" w:rsidRDefault="008F736A" w:rsidP="00302EB7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highlight w:val="yellow"/>
        </w:rPr>
      </w:pPr>
      <w:r w:rsidRPr="008F736A">
        <w:rPr>
          <w:b/>
          <w:bCs/>
          <w:color w:val="000000"/>
          <w:sz w:val="18"/>
          <w:szCs w:val="18"/>
          <w:highlight w:val="yellow"/>
        </w:rPr>
        <w:lastRenderedPageBreak/>
        <w:pict>
          <v:shape id="_x0000_i1025" type="#_x0000_t75" style="width:398.2pt;height:478.95pt">
            <v:imagedata r:id="rId14" o:title=""/>
          </v:shape>
        </w:pict>
      </w:r>
    </w:p>
    <w:p w:rsidR="00302EB7" w:rsidRPr="00302EB7" w:rsidRDefault="00302EB7" w:rsidP="00C73DB9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02EB7">
        <w:rPr>
          <w:b/>
          <w:bCs/>
          <w:sz w:val="18"/>
          <w:szCs w:val="18"/>
        </w:rPr>
        <w:t>Figure 2: Detailed survival A: overall survival, B: cancer specific survival, C: Tumor stage, D: Tumor grade, E: Gender, F: performance status</w:t>
      </w:r>
    </w:p>
    <w:p w:rsidR="00844B35" w:rsidRPr="00302EB7" w:rsidRDefault="00844B35" w:rsidP="00302EB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0"/>
          <w:szCs w:val="20"/>
          <w:highlight w:val="yellow"/>
        </w:rPr>
      </w:pPr>
    </w:p>
    <w:p w:rsidR="006D3A53" w:rsidRPr="00302EB7" w:rsidRDefault="00302EB7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</w:t>
      </w:r>
      <w:r w:rsidR="006D3A53" w:rsidRPr="00302EB7">
        <w:rPr>
          <w:b/>
          <w:bCs/>
          <w:color w:val="000000"/>
          <w:sz w:val="20"/>
          <w:szCs w:val="20"/>
        </w:rPr>
        <w:t>Discussion</w:t>
      </w:r>
    </w:p>
    <w:p w:rsidR="00302EB7" w:rsidRDefault="00302EB7" w:rsidP="00302EB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  <w:sectPr w:rsidR="00302EB7" w:rsidSect="006519B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A2291" w:rsidRPr="00302EB7" w:rsidRDefault="00BB0655" w:rsidP="00C73DB9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02EB7">
        <w:rPr>
          <w:color w:val="000000"/>
          <w:sz w:val="20"/>
          <w:szCs w:val="20"/>
        </w:rPr>
        <w:lastRenderedPageBreak/>
        <w:t xml:space="preserve">One </w:t>
      </w:r>
      <w:r w:rsidR="002D5B96" w:rsidRPr="00302EB7">
        <w:rPr>
          <w:color w:val="000000"/>
          <w:sz w:val="20"/>
          <w:szCs w:val="20"/>
        </w:rPr>
        <w:t>of the</w:t>
      </w:r>
      <w:r w:rsidRPr="00302EB7">
        <w:rPr>
          <w:color w:val="000000"/>
          <w:sz w:val="20"/>
          <w:szCs w:val="20"/>
        </w:rPr>
        <w:t xml:space="preserve"> </w:t>
      </w:r>
      <w:r w:rsidR="00473651" w:rsidRPr="00302EB7">
        <w:rPr>
          <w:color w:val="000000"/>
          <w:sz w:val="20"/>
          <w:szCs w:val="20"/>
        </w:rPr>
        <w:t xml:space="preserve">modalities </w:t>
      </w:r>
      <w:r w:rsidR="006D3A53" w:rsidRPr="00302EB7">
        <w:rPr>
          <w:color w:val="000000"/>
          <w:sz w:val="20"/>
          <w:szCs w:val="20"/>
        </w:rPr>
        <w:t>of care for localized muscle-invasive bladder cancer is radical</w:t>
      </w:r>
      <w:r w:rsidR="002D5B96" w:rsidRPr="00302EB7">
        <w:rPr>
          <w:color w:val="000000"/>
          <w:sz w:val="20"/>
          <w:szCs w:val="20"/>
        </w:rPr>
        <w:t xml:space="preserve"> </w:t>
      </w:r>
      <w:proofErr w:type="spellStart"/>
      <w:r w:rsidR="006D3A53" w:rsidRPr="00302EB7">
        <w:rPr>
          <w:color w:val="000000"/>
          <w:sz w:val="20"/>
          <w:szCs w:val="20"/>
        </w:rPr>
        <w:t>cystectomy</w:t>
      </w:r>
      <w:proofErr w:type="spellEnd"/>
      <w:r w:rsidR="006D3A53" w:rsidRPr="00302EB7">
        <w:rPr>
          <w:color w:val="000000"/>
          <w:sz w:val="20"/>
          <w:szCs w:val="20"/>
        </w:rPr>
        <w:t>; however, although this procedure is associated with excellent local</w:t>
      </w:r>
      <w:r w:rsidR="002D5B96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 xml:space="preserve">control, it has high risk of complications and, poor quality of life </w:t>
      </w:r>
      <w:r w:rsidR="006D3A53" w:rsidRPr="00302EB7">
        <w:rPr>
          <w:b/>
          <w:bCs/>
          <w:color w:val="000000"/>
          <w:sz w:val="20"/>
          <w:szCs w:val="20"/>
        </w:rPr>
        <w:t>[</w:t>
      </w:r>
      <w:r w:rsidR="00B33267" w:rsidRPr="00302EB7">
        <w:rPr>
          <w:b/>
          <w:bCs/>
          <w:color w:val="000000"/>
          <w:sz w:val="20"/>
          <w:szCs w:val="20"/>
        </w:rPr>
        <w:t>13</w:t>
      </w:r>
      <w:r w:rsidR="006D3A53" w:rsidRPr="00302EB7">
        <w:rPr>
          <w:b/>
          <w:bCs/>
          <w:color w:val="000000"/>
          <w:sz w:val="20"/>
          <w:szCs w:val="20"/>
        </w:rPr>
        <w:t>]</w:t>
      </w:r>
      <w:r w:rsidR="006D3A53" w:rsidRPr="00302EB7">
        <w:rPr>
          <w:color w:val="000000"/>
          <w:sz w:val="20"/>
          <w:szCs w:val="20"/>
        </w:rPr>
        <w:t>.</w:t>
      </w:r>
      <w:r w:rsidR="002D5B96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The era of organ preservation in muscle-invasive bladder cancer has</w:t>
      </w:r>
      <w:r w:rsidR="002D5B96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been investigated in several prospective series</w:t>
      </w:r>
      <w:r w:rsidRPr="00302EB7">
        <w:rPr>
          <w:b/>
          <w:bCs/>
          <w:color w:val="000000"/>
          <w:sz w:val="20"/>
          <w:szCs w:val="20"/>
        </w:rPr>
        <w:t xml:space="preserve"> [4]</w:t>
      </w:r>
      <w:r w:rsidRPr="00302EB7">
        <w:rPr>
          <w:color w:val="000000"/>
          <w:sz w:val="20"/>
          <w:szCs w:val="20"/>
        </w:rPr>
        <w:t>.</w:t>
      </w:r>
      <w:r w:rsidR="002D5B96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Most strategies use combination</w:t>
      </w:r>
      <w:r w:rsidR="002D5B96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of complete TUR of the tumor, che</w:t>
      </w:r>
      <w:r w:rsidR="0085117E" w:rsidRPr="00302EB7">
        <w:rPr>
          <w:color w:val="000000"/>
          <w:sz w:val="20"/>
          <w:szCs w:val="20"/>
        </w:rPr>
        <w:t>motherapy and/</w:t>
      </w:r>
      <w:r w:rsidR="00E95B2C" w:rsidRPr="00302EB7">
        <w:rPr>
          <w:color w:val="000000"/>
          <w:sz w:val="20"/>
          <w:szCs w:val="20"/>
        </w:rPr>
        <w:t xml:space="preserve">or </w:t>
      </w:r>
      <w:r w:rsidR="00E95B2C" w:rsidRPr="000152BA">
        <w:rPr>
          <w:sz w:val="20"/>
          <w:szCs w:val="20"/>
        </w:rPr>
        <w:t>radiotherapy</w:t>
      </w:r>
      <w:r w:rsidR="002D5B96" w:rsidRPr="000152BA">
        <w:rPr>
          <w:sz w:val="20"/>
          <w:szCs w:val="20"/>
        </w:rPr>
        <w:t xml:space="preserve"> </w:t>
      </w:r>
      <w:r w:rsidR="00447A65" w:rsidRPr="000152BA">
        <w:rPr>
          <w:b/>
          <w:bCs/>
          <w:sz w:val="20"/>
          <w:szCs w:val="20"/>
        </w:rPr>
        <w:t>[4]</w:t>
      </w:r>
      <w:r w:rsidR="00E95B2C" w:rsidRPr="000152BA">
        <w:rPr>
          <w:sz w:val="20"/>
          <w:szCs w:val="20"/>
        </w:rPr>
        <w:t>.</w:t>
      </w:r>
      <w:r w:rsidR="002D5B96" w:rsidRPr="000152BA">
        <w:rPr>
          <w:sz w:val="20"/>
          <w:szCs w:val="20"/>
        </w:rPr>
        <w:t xml:space="preserve"> </w:t>
      </w:r>
      <w:r w:rsidR="006D3A53" w:rsidRPr="000152BA">
        <w:rPr>
          <w:i/>
          <w:iCs/>
          <w:sz w:val="20"/>
          <w:szCs w:val="20"/>
        </w:rPr>
        <w:t>In vitro</w:t>
      </w:r>
      <w:r w:rsidR="006D3A53" w:rsidRPr="000152BA">
        <w:rPr>
          <w:sz w:val="20"/>
          <w:szCs w:val="20"/>
        </w:rPr>
        <w:t xml:space="preserve"> and </w:t>
      </w:r>
      <w:r w:rsidR="006D3A53" w:rsidRPr="000152BA">
        <w:rPr>
          <w:i/>
          <w:iCs/>
          <w:sz w:val="20"/>
          <w:szCs w:val="20"/>
        </w:rPr>
        <w:t>in vivo</w:t>
      </w:r>
      <w:r w:rsidR="006D3A53" w:rsidRPr="000152BA">
        <w:rPr>
          <w:sz w:val="20"/>
          <w:szCs w:val="20"/>
        </w:rPr>
        <w:t xml:space="preserve"> studies have </w:t>
      </w:r>
      <w:r w:rsidR="006D3A53" w:rsidRPr="000152BA">
        <w:rPr>
          <w:sz w:val="20"/>
          <w:szCs w:val="20"/>
        </w:rPr>
        <w:lastRenderedPageBreak/>
        <w:t>revealed t</w:t>
      </w:r>
      <w:r w:rsidR="00E95B2C" w:rsidRPr="000152BA">
        <w:rPr>
          <w:sz w:val="20"/>
          <w:szCs w:val="20"/>
        </w:rPr>
        <w:t xml:space="preserve">hat </w:t>
      </w:r>
      <w:proofErr w:type="spellStart"/>
      <w:r w:rsidR="00E95B2C" w:rsidRPr="000152BA">
        <w:rPr>
          <w:sz w:val="20"/>
          <w:szCs w:val="20"/>
        </w:rPr>
        <w:t>gemcitabine</w:t>
      </w:r>
      <w:proofErr w:type="spellEnd"/>
      <w:r w:rsidR="00E95B2C" w:rsidRPr="000152BA">
        <w:rPr>
          <w:sz w:val="20"/>
          <w:szCs w:val="20"/>
        </w:rPr>
        <w:t xml:space="preserve"> is an effective </w:t>
      </w:r>
      <w:proofErr w:type="spellStart"/>
      <w:r w:rsidR="006D3A53" w:rsidRPr="000152BA">
        <w:rPr>
          <w:sz w:val="20"/>
          <w:szCs w:val="20"/>
        </w:rPr>
        <w:t>radiosensitizer</w:t>
      </w:r>
      <w:proofErr w:type="spellEnd"/>
      <w:r w:rsidR="006D3A53" w:rsidRPr="000152BA">
        <w:rPr>
          <w:sz w:val="20"/>
          <w:szCs w:val="20"/>
        </w:rPr>
        <w:t>, and its potency has been confir</w:t>
      </w:r>
      <w:r w:rsidR="00E95B2C" w:rsidRPr="000152BA">
        <w:rPr>
          <w:sz w:val="20"/>
          <w:szCs w:val="20"/>
        </w:rPr>
        <w:t xml:space="preserve">med in several types of cancer, </w:t>
      </w:r>
      <w:r w:rsidR="006D3A53" w:rsidRPr="000152BA">
        <w:rPr>
          <w:sz w:val="20"/>
          <w:szCs w:val="20"/>
        </w:rPr>
        <w:t>including</w:t>
      </w:r>
      <w:r w:rsidR="006D3A53" w:rsidRPr="00302EB7">
        <w:rPr>
          <w:sz w:val="20"/>
          <w:szCs w:val="20"/>
        </w:rPr>
        <w:t xml:space="preserve"> bladder tumors </w:t>
      </w:r>
      <w:r w:rsidR="006D3A53" w:rsidRPr="00302EB7">
        <w:rPr>
          <w:b/>
          <w:bCs/>
          <w:sz w:val="20"/>
          <w:szCs w:val="20"/>
        </w:rPr>
        <w:t>[4]</w:t>
      </w:r>
      <w:r w:rsidR="006D3A53" w:rsidRPr="00302EB7">
        <w:rPr>
          <w:sz w:val="20"/>
          <w:szCs w:val="20"/>
        </w:rPr>
        <w:t>.</w:t>
      </w:r>
    </w:p>
    <w:p w:rsidR="008B7390" w:rsidRPr="00302EB7" w:rsidRDefault="005D26A3" w:rsidP="00C73DB9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02EB7">
        <w:rPr>
          <w:sz w:val="20"/>
          <w:szCs w:val="20"/>
        </w:rPr>
        <w:t xml:space="preserve">In </w:t>
      </w:r>
      <w:r w:rsidR="007A2291" w:rsidRPr="00302EB7">
        <w:rPr>
          <w:sz w:val="20"/>
          <w:szCs w:val="20"/>
        </w:rPr>
        <w:t>our prospective</w:t>
      </w:r>
      <w:r w:rsidRPr="00302EB7">
        <w:rPr>
          <w:sz w:val="20"/>
          <w:szCs w:val="20"/>
        </w:rPr>
        <w:t xml:space="preserve"> phase II study of muscle invasive bladder cancer </w:t>
      </w:r>
      <w:r w:rsidR="007A2291" w:rsidRPr="00302EB7">
        <w:rPr>
          <w:sz w:val="20"/>
          <w:szCs w:val="20"/>
        </w:rPr>
        <w:t>the multimodality</w:t>
      </w:r>
      <w:r w:rsidRPr="00302EB7">
        <w:rPr>
          <w:sz w:val="20"/>
          <w:szCs w:val="20"/>
        </w:rPr>
        <w:t xml:space="preserve"> regimen of </w:t>
      </w:r>
      <w:proofErr w:type="spellStart"/>
      <w:r w:rsidRPr="00302EB7">
        <w:rPr>
          <w:sz w:val="20"/>
          <w:szCs w:val="20"/>
        </w:rPr>
        <w:t>neoadjuvant</w:t>
      </w:r>
      <w:proofErr w:type="spellEnd"/>
      <w:r w:rsidRPr="00302EB7">
        <w:rPr>
          <w:sz w:val="20"/>
          <w:szCs w:val="20"/>
        </w:rPr>
        <w:t xml:space="preserve"> </w:t>
      </w:r>
      <w:proofErr w:type="spellStart"/>
      <w:r w:rsidRPr="00302EB7">
        <w:rPr>
          <w:sz w:val="20"/>
          <w:szCs w:val="20"/>
        </w:rPr>
        <w:t>carboplatin</w:t>
      </w:r>
      <w:proofErr w:type="spellEnd"/>
      <w:r w:rsidRPr="00302EB7">
        <w:rPr>
          <w:sz w:val="20"/>
          <w:szCs w:val="20"/>
        </w:rPr>
        <w:t xml:space="preserve"> </w:t>
      </w:r>
      <w:r w:rsidR="00D81708" w:rsidRPr="00302EB7">
        <w:rPr>
          <w:sz w:val="20"/>
          <w:szCs w:val="20"/>
        </w:rPr>
        <w:t xml:space="preserve">and </w:t>
      </w:r>
      <w:proofErr w:type="spellStart"/>
      <w:r w:rsidR="00D81708" w:rsidRPr="00302EB7">
        <w:rPr>
          <w:sz w:val="20"/>
          <w:szCs w:val="20"/>
        </w:rPr>
        <w:t>gemcitabine</w:t>
      </w:r>
      <w:proofErr w:type="spellEnd"/>
      <w:r w:rsidR="00D81708" w:rsidRPr="00302EB7">
        <w:rPr>
          <w:sz w:val="20"/>
          <w:szCs w:val="20"/>
        </w:rPr>
        <w:t xml:space="preserve"> based chemotherapy followed</w:t>
      </w:r>
      <w:r w:rsidR="007A2291" w:rsidRPr="00302EB7">
        <w:rPr>
          <w:sz w:val="20"/>
          <w:szCs w:val="20"/>
        </w:rPr>
        <w:t xml:space="preserve"> by </w:t>
      </w:r>
      <w:proofErr w:type="spellStart"/>
      <w:r w:rsidRPr="00302EB7">
        <w:rPr>
          <w:sz w:val="20"/>
          <w:szCs w:val="20"/>
        </w:rPr>
        <w:t>gemcitabine</w:t>
      </w:r>
      <w:proofErr w:type="spellEnd"/>
      <w:r w:rsidR="00D81708" w:rsidRPr="00302EB7">
        <w:rPr>
          <w:sz w:val="20"/>
          <w:szCs w:val="20"/>
        </w:rPr>
        <w:t xml:space="preserve"> </w:t>
      </w:r>
      <w:r w:rsidR="007A2291" w:rsidRPr="00302EB7">
        <w:rPr>
          <w:sz w:val="20"/>
          <w:szCs w:val="20"/>
        </w:rPr>
        <w:t xml:space="preserve">as </w:t>
      </w:r>
      <w:proofErr w:type="spellStart"/>
      <w:r w:rsidR="007A2291" w:rsidRPr="00302EB7">
        <w:rPr>
          <w:sz w:val="20"/>
          <w:szCs w:val="20"/>
        </w:rPr>
        <w:t>radiatiosensitizer</w:t>
      </w:r>
      <w:proofErr w:type="spellEnd"/>
      <w:r w:rsidR="007A2291" w:rsidRPr="00302EB7">
        <w:rPr>
          <w:sz w:val="20"/>
          <w:szCs w:val="20"/>
        </w:rPr>
        <w:t xml:space="preserve"> results were:</w:t>
      </w:r>
      <w:r w:rsidRPr="00302EB7">
        <w:rPr>
          <w:sz w:val="20"/>
          <w:szCs w:val="20"/>
        </w:rPr>
        <w:t xml:space="preserve"> </w:t>
      </w:r>
      <w:r w:rsidR="00473651" w:rsidRPr="00302EB7">
        <w:rPr>
          <w:sz w:val="20"/>
          <w:szCs w:val="20"/>
        </w:rPr>
        <w:t>the complete response</w:t>
      </w:r>
      <w:r w:rsidR="00E95B2C" w:rsidRPr="00302EB7">
        <w:rPr>
          <w:sz w:val="20"/>
          <w:szCs w:val="20"/>
        </w:rPr>
        <w:t xml:space="preserve"> </w:t>
      </w:r>
      <w:r w:rsidR="007A2291" w:rsidRPr="00302EB7">
        <w:rPr>
          <w:sz w:val="20"/>
          <w:szCs w:val="20"/>
        </w:rPr>
        <w:t>was 58.3</w:t>
      </w:r>
      <w:r w:rsidR="00DB2FE9" w:rsidRPr="00302EB7">
        <w:rPr>
          <w:sz w:val="20"/>
          <w:szCs w:val="20"/>
        </w:rPr>
        <w:t>%,</w:t>
      </w:r>
      <w:r w:rsidR="007A2291" w:rsidRPr="00302EB7">
        <w:rPr>
          <w:sz w:val="20"/>
          <w:szCs w:val="20"/>
        </w:rPr>
        <w:t xml:space="preserve"> </w:t>
      </w:r>
      <w:r w:rsidR="00473651" w:rsidRPr="00302EB7">
        <w:rPr>
          <w:sz w:val="20"/>
          <w:szCs w:val="20"/>
        </w:rPr>
        <w:t>partial response was 31.25%</w:t>
      </w:r>
      <w:r w:rsidR="00285575" w:rsidRPr="00302EB7">
        <w:rPr>
          <w:sz w:val="20"/>
          <w:szCs w:val="20"/>
        </w:rPr>
        <w:t xml:space="preserve"> and </w:t>
      </w:r>
      <w:r w:rsidR="007A2291" w:rsidRPr="00302EB7">
        <w:rPr>
          <w:sz w:val="20"/>
          <w:szCs w:val="20"/>
        </w:rPr>
        <w:t>t</w:t>
      </w:r>
      <w:r w:rsidR="00285575" w:rsidRPr="00302EB7">
        <w:rPr>
          <w:sz w:val="20"/>
          <w:szCs w:val="20"/>
        </w:rPr>
        <w:t xml:space="preserve">hree-year cancer specific survival (CSS) and overall </w:t>
      </w:r>
      <w:r w:rsidR="00285575" w:rsidRPr="000152BA">
        <w:rPr>
          <w:sz w:val="20"/>
          <w:szCs w:val="20"/>
        </w:rPr>
        <w:lastRenderedPageBreak/>
        <w:t>survival (OS) were 69.9% and 66.6%</w:t>
      </w:r>
      <w:r w:rsidR="0085117E" w:rsidRPr="000152BA">
        <w:rPr>
          <w:sz w:val="20"/>
          <w:szCs w:val="20"/>
        </w:rPr>
        <w:t xml:space="preserve"> respectively</w:t>
      </w:r>
      <w:r w:rsidR="00285575" w:rsidRPr="000152BA">
        <w:rPr>
          <w:sz w:val="20"/>
          <w:szCs w:val="20"/>
        </w:rPr>
        <w:t>.</w:t>
      </w:r>
      <w:r w:rsidR="007A2291" w:rsidRPr="000152BA">
        <w:rPr>
          <w:sz w:val="20"/>
          <w:szCs w:val="20"/>
        </w:rPr>
        <w:t xml:space="preserve"> </w:t>
      </w:r>
      <w:r w:rsidR="00285575" w:rsidRPr="000152BA">
        <w:rPr>
          <w:sz w:val="20"/>
          <w:szCs w:val="20"/>
        </w:rPr>
        <w:t xml:space="preserve">Twenty one patients (43.7%) were tumor free and kept their bladder at time of </w:t>
      </w:r>
      <w:r w:rsidR="007A2291" w:rsidRPr="000152BA">
        <w:rPr>
          <w:sz w:val="20"/>
          <w:szCs w:val="20"/>
        </w:rPr>
        <w:t>analysis but</w:t>
      </w:r>
      <w:r w:rsidR="00970EB7" w:rsidRPr="000152BA">
        <w:rPr>
          <w:sz w:val="20"/>
          <w:szCs w:val="20"/>
        </w:rPr>
        <w:t xml:space="preserve"> in study done by</w:t>
      </w:r>
      <w:r w:rsidR="003D7CCD" w:rsidRPr="000152BA">
        <w:rPr>
          <w:sz w:val="20"/>
          <w:szCs w:val="20"/>
        </w:rPr>
        <w:t xml:space="preserve"> </w:t>
      </w:r>
      <w:proofErr w:type="spellStart"/>
      <w:r w:rsidR="003D7CCD" w:rsidRPr="000152BA">
        <w:rPr>
          <w:sz w:val="20"/>
          <w:szCs w:val="20"/>
        </w:rPr>
        <w:t>Mutahir</w:t>
      </w:r>
      <w:proofErr w:type="spellEnd"/>
      <w:r w:rsidR="003D7CCD" w:rsidRPr="000152BA">
        <w:rPr>
          <w:sz w:val="20"/>
          <w:szCs w:val="20"/>
        </w:rPr>
        <w:t xml:space="preserve"> </w:t>
      </w:r>
      <w:r w:rsidR="005A3BB5" w:rsidRPr="000152BA">
        <w:rPr>
          <w:i/>
          <w:iCs/>
          <w:sz w:val="20"/>
          <w:szCs w:val="20"/>
        </w:rPr>
        <w:t>et al.</w:t>
      </w:r>
      <w:r w:rsidR="007A2291" w:rsidRPr="000152BA">
        <w:rPr>
          <w:sz w:val="20"/>
          <w:szCs w:val="20"/>
        </w:rPr>
        <w:t xml:space="preserve"> the</w:t>
      </w:r>
      <w:r w:rsidR="003D7CCD" w:rsidRPr="000152BA">
        <w:rPr>
          <w:sz w:val="20"/>
          <w:szCs w:val="20"/>
        </w:rPr>
        <w:t xml:space="preserve"> </w:t>
      </w:r>
      <w:proofErr w:type="spellStart"/>
      <w:r w:rsidR="007A2291" w:rsidRPr="000152BA">
        <w:rPr>
          <w:sz w:val="20"/>
          <w:szCs w:val="20"/>
        </w:rPr>
        <w:t>comlete</w:t>
      </w:r>
      <w:proofErr w:type="spellEnd"/>
      <w:r w:rsidR="007A2291" w:rsidRPr="000152BA">
        <w:rPr>
          <w:sz w:val="20"/>
          <w:szCs w:val="20"/>
        </w:rPr>
        <w:t xml:space="preserve"> response</w:t>
      </w:r>
      <w:r w:rsidR="003D7CCD" w:rsidRPr="000152BA">
        <w:rPr>
          <w:sz w:val="20"/>
          <w:szCs w:val="20"/>
        </w:rPr>
        <w:t xml:space="preserve"> was </w:t>
      </w:r>
      <w:r w:rsidR="00970EB7" w:rsidRPr="000152BA">
        <w:rPr>
          <w:sz w:val="20"/>
          <w:szCs w:val="20"/>
        </w:rPr>
        <w:t xml:space="preserve">(78.04%) at time of </w:t>
      </w:r>
      <w:proofErr w:type="spellStart"/>
      <w:r w:rsidR="00970EB7" w:rsidRPr="000152BA">
        <w:rPr>
          <w:sz w:val="20"/>
          <w:szCs w:val="20"/>
        </w:rPr>
        <w:t>cystoscopic</w:t>
      </w:r>
      <w:proofErr w:type="spellEnd"/>
      <w:r w:rsidR="00970EB7" w:rsidRPr="000152BA">
        <w:rPr>
          <w:sz w:val="20"/>
          <w:szCs w:val="20"/>
        </w:rPr>
        <w:t xml:space="preserve"> evaluation</w:t>
      </w:r>
      <w:r w:rsidR="006555E5" w:rsidRPr="000152BA">
        <w:rPr>
          <w:sz w:val="20"/>
          <w:szCs w:val="20"/>
        </w:rPr>
        <w:t xml:space="preserve"> of </w:t>
      </w:r>
      <w:proofErr w:type="spellStart"/>
      <w:r w:rsidR="0085117E" w:rsidRPr="000152BA">
        <w:rPr>
          <w:sz w:val="20"/>
          <w:szCs w:val="20"/>
        </w:rPr>
        <w:t>gemacitabine</w:t>
      </w:r>
      <w:proofErr w:type="spellEnd"/>
      <w:r w:rsidR="0085117E" w:rsidRPr="000152BA">
        <w:rPr>
          <w:sz w:val="20"/>
          <w:szCs w:val="20"/>
        </w:rPr>
        <w:t xml:space="preserve"> and </w:t>
      </w:r>
      <w:proofErr w:type="spellStart"/>
      <w:r w:rsidR="0085117E" w:rsidRPr="000152BA">
        <w:rPr>
          <w:sz w:val="20"/>
          <w:szCs w:val="20"/>
        </w:rPr>
        <w:t>cisplatin</w:t>
      </w:r>
      <w:proofErr w:type="spellEnd"/>
      <w:r w:rsidR="0085117E" w:rsidRPr="000152BA">
        <w:rPr>
          <w:sz w:val="20"/>
          <w:szCs w:val="20"/>
        </w:rPr>
        <w:t xml:space="preserve"> as </w:t>
      </w:r>
      <w:proofErr w:type="spellStart"/>
      <w:r w:rsidR="0085117E" w:rsidRPr="000152BA">
        <w:rPr>
          <w:sz w:val="20"/>
          <w:szCs w:val="20"/>
        </w:rPr>
        <w:t>neo</w:t>
      </w:r>
      <w:r w:rsidR="001F0BCB" w:rsidRPr="000152BA">
        <w:rPr>
          <w:sz w:val="20"/>
          <w:szCs w:val="20"/>
        </w:rPr>
        <w:t>adjouvant</w:t>
      </w:r>
      <w:proofErr w:type="spellEnd"/>
      <w:r w:rsidR="007A2291" w:rsidRPr="000152BA">
        <w:rPr>
          <w:sz w:val="20"/>
          <w:szCs w:val="20"/>
        </w:rPr>
        <w:t xml:space="preserve"> chemotherapy</w:t>
      </w:r>
      <w:r w:rsidR="001F0BCB" w:rsidRPr="000152BA">
        <w:rPr>
          <w:sz w:val="20"/>
          <w:szCs w:val="20"/>
        </w:rPr>
        <w:t xml:space="preserve"> followed </w:t>
      </w:r>
      <w:r w:rsidR="007A2291" w:rsidRPr="000152BA">
        <w:rPr>
          <w:sz w:val="20"/>
          <w:szCs w:val="20"/>
        </w:rPr>
        <w:t xml:space="preserve">by </w:t>
      </w:r>
      <w:proofErr w:type="spellStart"/>
      <w:r w:rsidR="007A2291" w:rsidRPr="000152BA">
        <w:rPr>
          <w:sz w:val="20"/>
          <w:szCs w:val="20"/>
        </w:rPr>
        <w:t>gemcitabine</w:t>
      </w:r>
      <w:proofErr w:type="spellEnd"/>
      <w:r w:rsidR="001F0BCB" w:rsidRPr="000152BA">
        <w:rPr>
          <w:sz w:val="20"/>
          <w:szCs w:val="20"/>
        </w:rPr>
        <w:t xml:space="preserve"> </w:t>
      </w:r>
      <w:r w:rsidR="0085117E" w:rsidRPr="000152BA">
        <w:rPr>
          <w:sz w:val="20"/>
          <w:szCs w:val="20"/>
        </w:rPr>
        <w:t xml:space="preserve">as </w:t>
      </w:r>
      <w:proofErr w:type="spellStart"/>
      <w:r w:rsidR="0085117E" w:rsidRPr="000152BA">
        <w:rPr>
          <w:sz w:val="20"/>
          <w:szCs w:val="20"/>
        </w:rPr>
        <w:t>rediosensetizer</w:t>
      </w:r>
      <w:proofErr w:type="spellEnd"/>
      <w:r w:rsidR="006555E5" w:rsidRPr="000152BA">
        <w:rPr>
          <w:sz w:val="20"/>
          <w:szCs w:val="20"/>
        </w:rPr>
        <w:t xml:space="preserve"> protocol of treatment</w:t>
      </w:r>
      <w:r w:rsidR="00285575" w:rsidRPr="000152BA">
        <w:rPr>
          <w:sz w:val="20"/>
          <w:szCs w:val="20"/>
        </w:rPr>
        <w:t xml:space="preserve"> and </w:t>
      </w:r>
      <w:r w:rsidR="007A2291" w:rsidRPr="000152BA">
        <w:rPr>
          <w:sz w:val="20"/>
          <w:szCs w:val="20"/>
        </w:rPr>
        <w:t>a</w:t>
      </w:r>
      <w:r w:rsidR="00285575" w:rsidRPr="000152BA">
        <w:rPr>
          <w:sz w:val="20"/>
          <w:szCs w:val="20"/>
        </w:rPr>
        <w:t>t the median</w:t>
      </w:r>
      <w:r w:rsidR="007A2291" w:rsidRPr="000152BA">
        <w:rPr>
          <w:sz w:val="20"/>
          <w:szCs w:val="20"/>
        </w:rPr>
        <w:t xml:space="preserve"> </w:t>
      </w:r>
      <w:r w:rsidR="00285575" w:rsidRPr="000152BA">
        <w:rPr>
          <w:sz w:val="20"/>
          <w:szCs w:val="20"/>
        </w:rPr>
        <w:t>follow up of 36 m</w:t>
      </w:r>
      <w:r w:rsidR="007A2291" w:rsidRPr="000152BA">
        <w:rPr>
          <w:sz w:val="20"/>
          <w:szCs w:val="20"/>
        </w:rPr>
        <w:t>onths, overall survival was 61%</w:t>
      </w:r>
      <w:r w:rsidR="00B33267" w:rsidRPr="000152BA">
        <w:rPr>
          <w:b/>
          <w:bCs/>
          <w:sz w:val="20"/>
          <w:szCs w:val="20"/>
        </w:rPr>
        <w:t xml:space="preserve"> [14</w:t>
      </w:r>
      <w:r w:rsidR="00815CD8" w:rsidRPr="000152BA">
        <w:rPr>
          <w:b/>
          <w:bCs/>
          <w:sz w:val="20"/>
          <w:szCs w:val="20"/>
        </w:rPr>
        <w:t>]</w:t>
      </w:r>
      <w:r w:rsidR="00815CD8" w:rsidRPr="000152BA">
        <w:rPr>
          <w:sz w:val="20"/>
          <w:szCs w:val="20"/>
        </w:rPr>
        <w:t>.</w:t>
      </w:r>
      <w:r w:rsidR="003D7CCD" w:rsidRPr="000152BA">
        <w:rPr>
          <w:sz w:val="20"/>
          <w:szCs w:val="20"/>
        </w:rPr>
        <w:t xml:space="preserve"> </w:t>
      </w:r>
      <w:r w:rsidR="007A2291" w:rsidRPr="000152BA">
        <w:rPr>
          <w:sz w:val="20"/>
          <w:szCs w:val="20"/>
        </w:rPr>
        <w:t>Another study</w:t>
      </w:r>
      <w:r w:rsidR="00815CD8" w:rsidRPr="000152BA">
        <w:rPr>
          <w:sz w:val="20"/>
          <w:szCs w:val="20"/>
        </w:rPr>
        <w:t xml:space="preserve"> done </w:t>
      </w:r>
      <w:r w:rsidR="007A2291" w:rsidRPr="000152BA">
        <w:rPr>
          <w:sz w:val="20"/>
          <w:szCs w:val="20"/>
        </w:rPr>
        <w:t xml:space="preserve">by </w:t>
      </w:r>
      <w:proofErr w:type="spellStart"/>
      <w:r w:rsidR="007A2291" w:rsidRPr="000152BA">
        <w:rPr>
          <w:sz w:val="20"/>
          <w:szCs w:val="20"/>
        </w:rPr>
        <w:t>Ananya</w:t>
      </w:r>
      <w:proofErr w:type="spellEnd"/>
      <w:r w:rsidR="00815CD8" w:rsidRPr="000152BA">
        <w:rPr>
          <w:i/>
          <w:iCs/>
          <w:sz w:val="20"/>
          <w:szCs w:val="20"/>
        </w:rPr>
        <w:t xml:space="preserve"> </w:t>
      </w:r>
      <w:proofErr w:type="spellStart"/>
      <w:r w:rsidR="00BC1964" w:rsidRPr="000152BA">
        <w:rPr>
          <w:sz w:val="20"/>
          <w:szCs w:val="20"/>
        </w:rPr>
        <w:t>Choudhury</w:t>
      </w:r>
      <w:proofErr w:type="spellEnd"/>
      <w:r w:rsidR="00BC1964" w:rsidRPr="000152BA">
        <w:rPr>
          <w:sz w:val="20"/>
          <w:szCs w:val="20"/>
        </w:rPr>
        <w:t xml:space="preserve"> </w:t>
      </w:r>
      <w:r w:rsidR="005A3BB5" w:rsidRPr="000152BA">
        <w:rPr>
          <w:i/>
          <w:iCs/>
          <w:sz w:val="20"/>
          <w:szCs w:val="20"/>
        </w:rPr>
        <w:t>et al.</w:t>
      </w:r>
      <w:r w:rsidR="00815CD8" w:rsidRPr="000152BA">
        <w:rPr>
          <w:sz w:val="20"/>
          <w:szCs w:val="20"/>
        </w:rPr>
        <w:t xml:space="preserve"> </w:t>
      </w:r>
      <w:r w:rsidR="006B3883" w:rsidRPr="000152BA">
        <w:rPr>
          <w:sz w:val="20"/>
          <w:szCs w:val="20"/>
        </w:rPr>
        <w:t>achieved a complete</w:t>
      </w:r>
      <w:r w:rsidR="007A2291" w:rsidRPr="000152BA">
        <w:rPr>
          <w:sz w:val="20"/>
          <w:szCs w:val="20"/>
        </w:rPr>
        <w:t xml:space="preserve"> endoscopic</w:t>
      </w:r>
      <w:r w:rsidR="00DB112B" w:rsidRPr="000152BA">
        <w:rPr>
          <w:sz w:val="20"/>
          <w:szCs w:val="20"/>
        </w:rPr>
        <w:t xml:space="preserve"> response</w:t>
      </w:r>
      <w:r w:rsidR="006B3883" w:rsidRPr="000152BA">
        <w:rPr>
          <w:sz w:val="20"/>
          <w:szCs w:val="20"/>
        </w:rPr>
        <w:t xml:space="preserve"> (88%) but wi</w:t>
      </w:r>
      <w:r w:rsidR="00DB112B" w:rsidRPr="000152BA">
        <w:rPr>
          <w:sz w:val="20"/>
          <w:szCs w:val="20"/>
        </w:rPr>
        <w:t>t</w:t>
      </w:r>
      <w:r w:rsidR="006B3883" w:rsidRPr="000152BA">
        <w:rPr>
          <w:sz w:val="20"/>
          <w:szCs w:val="20"/>
        </w:rPr>
        <w:t xml:space="preserve">h different </w:t>
      </w:r>
      <w:r w:rsidR="00DB112B" w:rsidRPr="000152BA">
        <w:rPr>
          <w:sz w:val="20"/>
          <w:szCs w:val="20"/>
        </w:rPr>
        <w:t>protocol</w:t>
      </w:r>
      <w:r w:rsidR="006B3883" w:rsidRPr="000152BA">
        <w:rPr>
          <w:sz w:val="20"/>
          <w:szCs w:val="20"/>
        </w:rPr>
        <w:t xml:space="preserve"> where </w:t>
      </w:r>
      <w:r w:rsidR="00DB112B" w:rsidRPr="000152BA">
        <w:rPr>
          <w:sz w:val="20"/>
          <w:szCs w:val="20"/>
        </w:rPr>
        <w:t>c</w:t>
      </w:r>
      <w:r w:rsidR="00BC345A" w:rsidRPr="000152BA">
        <w:rPr>
          <w:sz w:val="20"/>
          <w:szCs w:val="20"/>
        </w:rPr>
        <w:t xml:space="preserve">onformal </w:t>
      </w:r>
      <w:proofErr w:type="spellStart"/>
      <w:r w:rsidR="00DB112B" w:rsidRPr="000152BA">
        <w:rPr>
          <w:sz w:val="20"/>
          <w:szCs w:val="20"/>
        </w:rPr>
        <w:t>h</w:t>
      </w:r>
      <w:r w:rsidR="00BC345A" w:rsidRPr="000152BA">
        <w:rPr>
          <w:sz w:val="20"/>
          <w:szCs w:val="20"/>
        </w:rPr>
        <w:t>ypofractionated</w:t>
      </w:r>
      <w:proofErr w:type="spellEnd"/>
      <w:r w:rsidR="00BC345A" w:rsidRPr="000152BA">
        <w:rPr>
          <w:sz w:val="20"/>
          <w:szCs w:val="20"/>
        </w:rPr>
        <w:t xml:space="preserve"> </w:t>
      </w:r>
      <w:r w:rsidR="00DB112B" w:rsidRPr="000152BA">
        <w:rPr>
          <w:sz w:val="20"/>
          <w:szCs w:val="20"/>
        </w:rPr>
        <w:t>r</w:t>
      </w:r>
      <w:r w:rsidR="00BC345A" w:rsidRPr="000152BA">
        <w:rPr>
          <w:sz w:val="20"/>
          <w:szCs w:val="20"/>
        </w:rPr>
        <w:t xml:space="preserve">adiotherapy </w:t>
      </w:r>
      <w:r w:rsidR="00DB112B" w:rsidRPr="000152BA">
        <w:rPr>
          <w:sz w:val="20"/>
          <w:szCs w:val="20"/>
        </w:rPr>
        <w:t>w</w:t>
      </w:r>
      <w:r w:rsidR="00BC345A" w:rsidRPr="000152BA">
        <w:rPr>
          <w:sz w:val="20"/>
          <w:szCs w:val="20"/>
        </w:rPr>
        <w:t xml:space="preserve">ith </w:t>
      </w:r>
      <w:r w:rsidR="00DB112B" w:rsidRPr="000152BA">
        <w:rPr>
          <w:sz w:val="20"/>
          <w:szCs w:val="20"/>
        </w:rPr>
        <w:t>c</w:t>
      </w:r>
      <w:r w:rsidR="00BC345A" w:rsidRPr="000152BA">
        <w:rPr>
          <w:sz w:val="20"/>
          <w:szCs w:val="20"/>
        </w:rPr>
        <w:t xml:space="preserve">oncurrent </w:t>
      </w:r>
      <w:proofErr w:type="spellStart"/>
      <w:r w:rsidR="00BC345A" w:rsidRPr="000152BA">
        <w:rPr>
          <w:sz w:val="20"/>
          <w:szCs w:val="20"/>
        </w:rPr>
        <w:t>Gemcitabine</w:t>
      </w:r>
      <w:proofErr w:type="spellEnd"/>
      <w:r w:rsidR="00BC345A" w:rsidRPr="000152BA">
        <w:rPr>
          <w:sz w:val="20"/>
          <w:szCs w:val="20"/>
        </w:rPr>
        <w:t xml:space="preserve"> in </w:t>
      </w:r>
      <w:r w:rsidR="00DB112B" w:rsidRPr="000152BA">
        <w:rPr>
          <w:sz w:val="20"/>
          <w:szCs w:val="20"/>
        </w:rPr>
        <w:t>m</w:t>
      </w:r>
      <w:r w:rsidR="00BC345A" w:rsidRPr="000152BA">
        <w:rPr>
          <w:sz w:val="20"/>
          <w:szCs w:val="20"/>
        </w:rPr>
        <w:t>uscle</w:t>
      </w:r>
      <w:r w:rsidR="00DB112B" w:rsidRPr="000152BA">
        <w:rPr>
          <w:sz w:val="20"/>
          <w:szCs w:val="20"/>
        </w:rPr>
        <w:t xml:space="preserve"> i</w:t>
      </w:r>
      <w:r w:rsidR="00BC345A" w:rsidRPr="000152BA">
        <w:rPr>
          <w:sz w:val="20"/>
          <w:szCs w:val="20"/>
        </w:rPr>
        <w:t>nvasive</w:t>
      </w:r>
      <w:r w:rsidR="00BC345A" w:rsidRPr="00302EB7">
        <w:rPr>
          <w:sz w:val="20"/>
          <w:szCs w:val="20"/>
        </w:rPr>
        <w:t xml:space="preserve"> </w:t>
      </w:r>
      <w:r w:rsidR="00DB112B" w:rsidRPr="00302EB7">
        <w:rPr>
          <w:sz w:val="20"/>
          <w:szCs w:val="20"/>
        </w:rPr>
        <w:t>b</w:t>
      </w:r>
      <w:r w:rsidR="00BC345A" w:rsidRPr="00302EB7">
        <w:rPr>
          <w:sz w:val="20"/>
          <w:szCs w:val="20"/>
        </w:rPr>
        <w:t xml:space="preserve">ladder </w:t>
      </w:r>
      <w:r w:rsidR="00DB112B" w:rsidRPr="00302EB7">
        <w:rPr>
          <w:sz w:val="20"/>
          <w:szCs w:val="20"/>
        </w:rPr>
        <w:t>c</w:t>
      </w:r>
      <w:r w:rsidR="00BC345A" w:rsidRPr="00302EB7">
        <w:rPr>
          <w:sz w:val="20"/>
          <w:szCs w:val="20"/>
        </w:rPr>
        <w:t>ancer</w:t>
      </w:r>
      <w:r w:rsidR="00DB112B" w:rsidRPr="00302EB7">
        <w:rPr>
          <w:sz w:val="20"/>
          <w:szCs w:val="20"/>
        </w:rPr>
        <w:t xml:space="preserve"> was used </w:t>
      </w:r>
      <w:r w:rsidR="00751A80" w:rsidRPr="00302EB7">
        <w:rPr>
          <w:sz w:val="20"/>
          <w:szCs w:val="20"/>
        </w:rPr>
        <w:t xml:space="preserve">and </w:t>
      </w:r>
      <w:r w:rsidR="00DB112B" w:rsidRPr="00302EB7">
        <w:rPr>
          <w:sz w:val="20"/>
          <w:szCs w:val="20"/>
        </w:rPr>
        <w:t>the</w:t>
      </w:r>
      <w:r w:rsidR="00751A80" w:rsidRPr="00302EB7">
        <w:rPr>
          <w:sz w:val="20"/>
          <w:szCs w:val="20"/>
        </w:rPr>
        <w:t xml:space="preserve"> 3</w:t>
      </w:r>
      <w:r w:rsidR="00DB112B" w:rsidRPr="00302EB7">
        <w:rPr>
          <w:sz w:val="20"/>
          <w:szCs w:val="20"/>
        </w:rPr>
        <w:t xml:space="preserve"> </w:t>
      </w:r>
      <w:r w:rsidR="00751A80" w:rsidRPr="00302EB7">
        <w:rPr>
          <w:sz w:val="20"/>
          <w:szCs w:val="20"/>
        </w:rPr>
        <w:t>year cancer</w:t>
      </w:r>
      <w:r w:rsidR="00DB112B" w:rsidRPr="00302EB7">
        <w:rPr>
          <w:sz w:val="20"/>
          <w:szCs w:val="20"/>
        </w:rPr>
        <w:t xml:space="preserve"> </w:t>
      </w:r>
      <w:r w:rsidR="00751A80" w:rsidRPr="00302EB7">
        <w:rPr>
          <w:sz w:val="20"/>
          <w:szCs w:val="20"/>
        </w:rPr>
        <w:t xml:space="preserve">specific survival </w:t>
      </w:r>
      <w:r w:rsidR="00DB112B" w:rsidRPr="00302EB7">
        <w:rPr>
          <w:sz w:val="20"/>
          <w:szCs w:val="20"/>
        </w:rPr>
        <w:t xml:space="preserve">and overall survival </w:t>
      </w:r>
      <w:r w:rsidR="00751A80" w:rsidRPr="00302EB7">
        <w:rPr>
          <w:sz w:val="20"/>
          <w:szCs w:val="20"/>
        </w:rPr>
        <w:t>was 82% 75%</w:t>
      </w:r>
      <w:r w:rsidR="00DB112B" w:rsidRPr="00302EB7">
        <w:rPr>
          <w:sz w:val="20"/>
          <w:szCs w:val="20"/>
        </w:rPr>
        <w:t xml:space="preserve"> </w:t>
      </w:r>
      <w:r w:rsidR="00DB2FE9" w:rsidRPr="00302EB7">
        <w:rPr>
          <w:sz w:val="20"/>
          <w:szCs w:val="20"/>
        </w:rPr>
        <w:t xml:space="preserve">respectively </w:t>
      </w:r>
      <w:r w:rsidR="00DB2FE9" w:rsidRPr="00302EB7">
        <w:rPr>
          <w:b/>
          <w:bCs/>
          <w:sz w:val="20"/>
          <w:szCs w:val="20"/>
        </w:rPr>
        <w:t>[</w:t>
      </w:r>
      <w:r w:rsidR="00B33267" w:rsidRPr="00302EB7">
        <w:rPr>
          <w:b/>
          <w:bCs/>
          <w:sz w:val="20"/>
          <w:szCs w:val="20"/>
        </w:rPr>
        <w:t>15</w:t>
      </w:r>
      <w:r w:rsidR="00815CD8" w:rsidRPr="00302EB7">
        <w:rPr>
          <w:b/>
          <w:bCs/>
          <w:sz w:val="20"/>
          <w:szCs w:val="20"/>
        </w:rPr>
        <w:t>]</w:t>
      </w:r>
      <w:r w:rsidR="00815CD8" w:rsidRPr="00302EB7">
        <w:rPr>
          <w:sz w:val="20"/>
          <w:szCs w:val="20"/>
        </w:rPr>
        <w:t>.</w:t>
      </w:r>
    </w:p>
    <w:p w:rsidR="00C64083" w:rsidRPr="000152BA" w:rsidRDefault="008B7390" w:rsidP="00C73DB9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02EB7">
        <w:rPr>
          <w:sz w:val="20"/>
          <w:szCs w:val="20"/>
        </w:rPr>
        <w:t>I</w:t>
      </w:r>
      <w:r w:rsidR="00C64083" w:rsidRPr="00302EB7">
        <w:rPr>
          <w:sz w:val="20"/>
          <w:szCs w:val="20"/>
        </w:rPr>
        <w:t>n our study</w:t>
      </w:r>
      <w:r w:rsidR="001947C1" w:rsidRPr="00302EB7">
        <w:rPr>
          <w:sz w:val="20"/>
          <w:szCs w:val="20"/>
        </w:rPr>
        <w:t xml:space="preserve"> acute t</w:t>
      </w:r>
      <w:r w:rsidR="0047442A" w:rsidRPr="00302EB7">
        <w:rPr>
          <w:sz w:val="20"/>
          <w:szCs w:val="20"/>
        </w:rPr>
        <w:t xml:space="preserve">oxicities with </w:t>
      </w:r>
      <w:proofErr w:type="spellStart"/>
      <w:r w:rsidR="0047442A" w:rsidRPr="00302EB7">
        <w:rPr>
          <w:sz w:val="20"/>
          <w:szCs w:val="20"/>
        </w:rPr>
        <w:t>neo</w:t>
      </w:r>
      <w:r w:rsidR="001947C1" w:rsidRPr="00302EB7">
        <w:rPr>
          <w:sz w:val="20"/>
          <w:szCs w:val="20"/>
        </w:rPr>
        <w:t>adjuvant</w:t>
      </w:r>
      <w:proofErr w:type="spellEnd"/>
      <w:r w:rsidR="001947C1" w:rsidRPr="00302EB7">
        <w:rPr>
          <w:sz w:val="20"/>
          <w:szCs w:val="20"/>
        </w:rPr>
        <w:t xml:space="preserve"> chemotherapy was </w:t>
      </w:r>
      <w:proofErr w:type="spellStart"/>
      <w:r w:rsidR="00DB112B" w:rsidRPr="00302EB7">
        <w:rPr>
          <w:sz w:val="20"/>
          <w:szCs w:val="20"/>
        </w:rPr>
        <w:t>n</w:t>
      </w:r>
      <w:r w:rsidR="001947C1" w:rsidRPr="00302EB7">
        <w:rPr>
          <w:sz w:val="20"/>
          <w:szCs w:val="20"/>
        </w:rPr>
        <w:t>eutropenia</w:t>
      </w:r>
      <w:proofErr w:type="spellEnd"/>
      <w:r w:rsidR="001947C1" w:rsidRPr="00302EB7">
        <w:rPr>
          <w:sz w:val="20"/>
          <w:szCs w:val="20"/>
        </w:rPr>
        <w:t xml:space="preserve"> occurred in 4 patients (8.3%) </w:t>
      </w:r>
      <w:r w:rsidR="00DB112B" w:rsidRPr="00302EB7">
        <w:rPr>
          <w:sz w:val="20"/>
          <w:szCs w:val="20"/>
        </w:rPr>
        <w:t>and</w:t>
      </w:r>
      <w:r w:rsidR="001947C1" w:rsidRPr="00302EB7">
        <w:rPr>
          <w:sz w:val="20"/>
          <w:szCs w:val="20"/>
        </w:rPr>
        <w:t xml:space="preserve"> febrile </w:t>
      </w:r>
      <w:proofErr w:type="spellStart"/>
      <w:r w:rsidR="001947C1" w:rsidRPr="00302EB7">
        <w:rPr>
          <w:sz w:val="20"/>
          <w:szCs w:val="20"/>
        </w:rPr>
        <w:t>neutropenis</w:t>
      </w:r>
      <w:proofErr w:type="spellEnd"/>
      <w:r w:rsidR="001947C1" w:rsidRPr="00302EB7">
        <w:rPr>
          <w:sz w:val="20"/>
          <w:szCs w:val="20"/>
        </w:rPr>
        <w:t xml:space="preserve"> in 1 patient (2%).</w:t>
      </w:r>
      <w:r w:rsidR="00DB112B" w:rsidRPr="00302EB7">
        <w:rPr>
          <w:sz w:val="20"/>
          <w:szCs w:val="20"/>
        </w:rPr>
        <w:t xml:space="preserve"> </w:t>
      </w:r>
      <w:r w:rsidR="001947C1" w:rsidRPr="00302EB7">
        <w:rPr>
          <w:sz w:val="20"/>
          <w:szCs w:val="20"/>
        </w:rPr>
        <w:t>Nausea and vomiting occurred in 6</w:t>
      </w:r>
      <w:r w:rsidR="00DB112B" w:rsidRPr="00302EB7">
        <w:rPr>
          <w:sz w:val="20"/>
          <w:szCs w:val="20"/>
        </w:rPr>
        <w:t xml:space="preserve"> </w:t>
      </w:r>
      <w:r w:rsidR="001947C1" w:rsidRPr="00302EB7">
        <w:rPr>
          <w:sz w:val="20"/>
          <w:szCs w:val="20"/>
        </w:rPr>
        <w:t xml:space="preserve">patients (12.5%) while </w:t>
      </w:r>
      <w:proofErr w:type="spellStart"/>
      <w:r w:rsidR="001947C1" w:rsidRPr="00302EB7">
        <w:rPr>
          <w:sz w:val="20"/>
          <w:szCs w:val="20"/>
        </w:rPr>
        <w:t>nephrotoxicit</w:t>
      </w:r>
      <w:r w:rsidR="002D5B96" w:rsidRPr="00302EB7">
        <w:rPr>
          <w:sz w:val="20"/>
          <w:szCs w:val="20"/>
        </w:rPr>
        <w:t>y</w:t>
      </w:r>
      <w:proofErr w:type="spellEnd"/>
      <w:r w:rsidR="002D5B96" w:rsidRPr="00302EB7">
        <w:rPr>
          <w:sz w:val="20"/>
          <w:szCs w:val="20"/>
        </w:rPr>
        <w:t xml:space="preserve"> occurred in 2 patients (4.1%) </w:t>
      </w:r>
      <w:r w:rsidR="0031608D" w:rsidRPr="00302EB7">
        <w:rPr>
          <w:sz w:val="20"/>
          <w:szCs w:val="20"/>
        </w:rPr>
        <w:t xml:space="preserve">which </w:t>
      </w:r>
      <w:r w:rsidR="002D5B96" w:rsidRPr="00302EB7">
        <w:rPr>
          <w:sz w:val="20"/>
          <w:szCs w:val="20"/>
        </w:rPr>
        <w:t xml:space="preserve">was </w:t>
      </w:r>
      <w:r w:rsidR="0031608D" w:rsidRPr="00302EB7">
        <w:rPr>
          <w:sz w:val="20"/>
          <w:szCs w:val="20"/>
        </w:rPr>
        <w:t xml:space="preserve">less than side effects of </w:t>
      </w:r>
      <w:proofErr w:type="spellStart"/>
      <w:r w:rsidR="0047442A" w:rsidRPr="00302EB7">
        <w:rPr>
          <w:sz w:val="20"/>
          <w:szCs w:val="20"/>
        </w:rPr>
        <w:t>Mutahir</w:t>
      </w:r>
      <w:proofErr w:type="spellEnd"/>
      <w:r w:rsidR="0047442A" w:rsidRPr="00302EB7">
        <w:rPr>
          <w:sz w:val="20"/>
          <w:szCs w:val="20"/>
        </w:rPr>
        <w:t xml:space="preserve"> </w:t>
      </w:r>
      <w:r w:rsidR="0031608D" w:rsidRPr="00302EB7">
        <w:rPr>
          <w:sz w:val="20"/>
          <w:szCs w:val="20"/>
        </w:rPr>
        <w:t>study</w:t>
      </w:r>
      <w:r w:rsidR="001947C1" w:rsidRPr="00302EB7">
        <w:rPr>
          <w:sz w:val="20"/>
          <w:szCs w:val="20"/>
        </w:rPr>
        <w:t xml:space="preserve">  </w:t>
      </w:r>
      <w:r w:rsidR="0031608D" w:rsidRPr="00302EB7">
        <w:rPr>
          <w:sz w:val="20"/>
          <w:szCs w:val="20"/>
        </w:rPr>
        <w:t xml:space="preserve">were the </w:t>
      </w:r>
      <w:proofErr w:type="spellStart"/>
      <w:r w:rsidR="0031608D" w:rsidRPr="00302EB7">
        <w:rPr>
          <w:sz w:val="20"/>
          <w:szCs w:val="20"/>
        </w:rPr>
        <w:t>neutropenia</w:t>
      </w:r>
      <w:proofErr w:type="spellEnd"/>
      <w:r w:rsidR="0031608D" w:rsidRPr="00302EB7">
        <w:rPr>
          <w:sz w:val="20"/>
          <w:szCs w:val="20"/>
        </w:rPr>
        <w:t xml:space="preserve"> attributable to </w:t>
      </w:r>
      <w:proofErr w:type="spellStart"/>
      <w:r w:rsidR="0031608D" w:rsidRPr="00302EB7">
        <w:rPr>
          <w:sz w:val="20"/>
          <w:szCs w:val="20"/>
        </w:rPr>
        <w:t>neoadjuvant</w:t>
      </w:r>
      <w:proofErr w:type="spellEnd"/>
      <w:r w:rsidR="0031608D" w:rsidRPr="00302EB7">
        <w:rPr>
          <w:sz w:val="20"/>
          <w:szCs w:val="20"/>
        </w:rPr>
        <w:t xml:space="preserve"> chemotherapy</w:t>
      </w:r>
      <w:r w:rsidR="00DB112B" w:rsidRPr="00302EB7">
        <w:rPr>
          <w:sz w:val="20"/>
          <w:szCs w:val="20"/>
        </w:rPr>
        <w:t xml:space="preserve"> </w:t>
      </w:r>
      <w:r w:rsidR="0031608D" w:rsidRPr="00302EB7">
        <w:rPr>
          <w:sz w:val="20"/>
          <w:szCs w:val="20"/>
        </w:rPr>
        <w:t xml:space="preserve">were grade 3 in 6 (14.6%) patients and febrile </w:t>
      </w:r>
      <w:proofErr w:type="spellStart"/>
      <w:r w:rsidR="0031608D" w:rsidRPr="00302EB7">
        <w:rPr>
          <w:sz w:val="20"/>
          <w:szCs w:val="20"/>
        </w:rPr>
        <w:t>n</w:t>
      </w:r>
      <w:r w:rsidR="009C460A" w:rsidRPr="00302EB7">
        <w:rPr>
          <w:sz w:val="20"/>
          <w:szCs w:val="20"/>
        </w:rPr>
        <w:t>eutropenia</w:t>
      </w:r>
      <w:proofErr w:type="spellEnd"/>
      <w:r w:rsidR="009C460A" w:rsidRPr="00302EB7">
        <w:rPr>
          <w:sz w:val="20"/>
          <w:szCs w:val="20"/>
        </w:rPr>
        <w:t xml:space="preserve"> in 2 (4.9%) patients,</w:t>
      </w:r>
      <w:r w:rsidR="0031608D" w:rsidRPr="00302EB7">
        <w:rPr>
          <w:sz w:val="20"/>
          <w:szCs w:val="20"/>
        </w:rPr>
        <w:t xml:space="preserve"> </w:t>
      </w:r>
      <w:r w:rsidR="009C460A" w:rsidRPr="00302EB7">
        <w:rPr>
          <w:sz w:val="20"/>
          <w:szCs w:val="20"/>
        </w:rPr>
        <w:t>t</w:t>
      </w:r>
      <w:r w:rsidR="0031608D" w:rsidRPr="00302EB7">
        <w:rPr>
          <w:sz w:val="20"/>
          <w:szCs w:val="20"/>
        </w:rPr>
        <w:t>hrombocytopenia 4.9%, nausea and vomiting 17.1%, anorexia 7.1% and renal toxicity in 4.8% cases</w:t>
      </w:r>
      <w:r w:rsidR="0047442A" w:rsidRPr="00302EB7">
        <w:rPr>
          <w:sz w:val="20"/>
          <w:szCs w:val="20"/>
        </w:rPr>
        <w:t xml:space="preserve"> </w:t>
      </w:r>
      <w:r w:rsidR="0047442A" w:rsidRPr="00302EB7">
        <w:rPr>
          <w:b/>
          <w:bCs/>
          <w:sz w:val="20"/>
          <w:szCs w:val="20"/>
        </w:rPr>
        <w:t>[14]</w:t>
      </w:r>
      <w:r w:rsidR="009C460A" w:rsidRPr="00302EB7">
        <w:rPr>
          <w:sz w:val="20"/>
          <w:szCs w:val="20"/>
        </w:rPr>
        <w:t>.</w:t>
      </w:r>
      <w:r w:rsidR="0031608D" w:rsidRPr="00302EB7">
        <w:rPr>
          <w:sz w:val="20"/>
          <w:szCs w:val="20"/>
        </w:rPr>
        <w:t xml:space="preserve"> </w:t>
      </w:r>
      <w:r w:rsidR="009C460A" w:rsidRPr="00302EB7">
        <w:rPr>
          <w:sz w:val="20"/>
          <w:szCs w:val="20"/>
        </w:rPr>
        <w:t>A</w:t>
      </w:r>
      <w:r w:rsidR="00183478" w:rsidRPr="00302EB7">
        <w:rPr>
          <w:sz w:val="20"/>
          <w:szCs w:val="20"/>
        </w:rPr>
        <w:t xml:space="preserve">cute toxicities with </w:t>
      </w:r>
      <w:proofErr w:type="spellStart"/>
      <w:r w:rsidR="00183478" w:rsidRPr="00302EB7">
        <w:rPr>
          <w:sz w:val="20"/>
          <w:szCs w:val="20"/>
        </w:rPr>
        <w:t>chemoradiotherapy</w:t>
      </w:r>
      <w:proofErr w:type="spellEnd"/>
      <w:r w:rsidR="00183478" w:rsidRPr="00302EB7">
        <w:rPr>
          <w:sz w:val="20"/>
          <w:szCs w:val="20"/>
        </w:rPr>
        <w:t xml:space="preserve"> </w:t>
      </w:r>
      <w:r w:rsidR="0031608D" w:rsidRPr="00302EB7">
        <w:rPr>
          <w:sz w:val="20"/>
          <w:szCs w:val="20"/>
        </w:rPr>
        <w:t xml:space="preserve"> of  our study </w:t>
      </w:r>
      <w:r w:rsidR="00144467" w:rsidRPr="00302EB7">
        <w:rPr>
          <w:sz w:val="20"/>
          <w:szCs w:val="20"/>
        </w:rPr>
        <w:t>was</w:t>
      </w:r>
      <w:r w:rsidR="009C460A" w:rsidRPr="00302EB7">
        <w:rPr>
          <w:sz w:val="20"/>
          <w:szCs w:val="20"/>
        </w:rPr>
        <w:t xml:space="preserve"> b</w:t>
      </w:r>
      <w:r w:rsidR="00144467" w:rsidRPr="00302EB7">
        <w:rPr>
          <w:sz w:val="20"/>
          <w:szCs w:val="20"/>
        </w:rPr>
        <w:t xml:space="preserve">ladder </w:t>
      </w:r>
      <w:proofErr w:type="spellStart"/>
      <w:r w:rsidR="00144467" w:rsidRPr="00302EB7">
        <w:rPr>
          <w:sz w:val="20"/>
          <w:szCs w:val="20"/>
        </w:rPr>
        <w:t>irritative</w:t>
      </w:r>
      <w:proofErr w:type="spellEnd"/>
      <w:r w:rsidR="00144467" w:rsidRPr="00302EB7">
        <w:rPr>
          <w:sz w:val="20"/>
          <w:szCs w:val="20"/>
        </w:rPr>
        <w:t xml:space="preserve"> symptoms </w:t>
      </w:r>
      <w:r w:rsidR="009C460A" w:rsidRPr="00302EB7">
        <w:rPr>
          <w:sz w:val="20"/>
          <w:szCs w:val="20"/>
        </w:rPr>
        <w:t xml:space="preserve">which </w:t>
      </w:r>
      <w:r w:rsidR="00144467" w:rsidRPr="00302EB7">
        <w:rPr>
          <w:sz w:val="20"/>
          <w:szCs w:val="20"/>
        </w:rPr>
        <w:t xml:space="preserve">developed in 2 patients (4.1%) and successfully managed with </w:t>
      </w:r>
      <w:proofErr w:type="spellStart"/>
      <w:r w:rsidR="00144467" w:rsidRPr="00302EB7">
        <w:rPr>
          <w:sz w:val="20"/>
          <w:szCs w:val="20"/>
        </w:rPr>
        <w:t>antimuscarinic</w:t>
      </w:r>
      <w:proofErr w:type="spellEnd"/>
      <w:r w:rsidR="00144467" w:rsidRPr="00302EB7">
        <w:rPr>
          <w:sz w:val="20"/>
          <w:szCs w:val="20"/>
        </w:rPr>
        <w:t xml:space="preserve">, </w:t>
      </w:r>
      <w:proofErr w:type="spellStart"/>
      <w:r w:rsidR="00144467" w:rsidRPr="00302EB7">
        <w:rPr>
          <w:sz w:val="20"/>
          <w:szCs w:val="20"/>
        </w:rPr>
        <w:t>procitis</w:t>
      </w:r>
      <w:proofErr w:type="spellEnd"/>
      <w:r w:rsidR="00144467" w:rsidRPr="00302EB7">
        <w:rPr>
          <w:sz w:val="20"/>
          <w:szCs w:val="20"/>
        </w:rPr>
        <w:t xml:space="preserve"> was 8.3%, dermatit</w:t>
      </w:r>
      <w:r w:rsidR="0047442A" w:rsidRPr="00302EB7">
        <w:rPr>
          <w:sz w:val="20"/>
          <w:szCs w:val="20"/>
        </w:rPr>
        <w:t>is was 12.5% and diarrhea 12.5%</w:t>
      </w:r>
      <w:r w:rsidR="0068737F" w:rsidRPr="00302EB7">
        <w:rPr>
          <w:sz w:val="20"/>
          <w:szCs w:val="20"/>
        </w:rPr>
        <w:t xml:space="preserve"> and </w:t>
      </w:r>
      <w:r w:rsidR="00183478" w:rsidRPr="00302EB7">
        <w:rPr>
          <w:sz w:val="20"/>
          <w:szCs w:val="20"/>
        </w:rPr>
        <w:t xml:space="preserve"> </w:t>
      </w:r>
      <w:r w:rsidR="00C64083" w:rsidRPr="00302EB7">
        <w:rPr>
          <w:sz w:val="20"/>
          <w:szCs w:val="20"/>
        </w:rPr>
        <w:t xml:space="preserve">late side effect was </w:t>
      </w:r>
      <w:proofErr w:type="spellStart"/>
      <w:r w:rsidR="00C64083" w:rsidRPr="00302EB7">
        <w:rPr>
          <w:sz w:val="20"/>
          <w:szCs w:val="20"/>
        </w:rPr>
        <w:t>proctitis</w:t>
      </w:r>
      <w:proofErr w:type="spellEnd"/>
      <w:r w:rsidR="00C64083" w:rsidRPr="00302EB7">
        <w:rPr>
          <w:sz w:val="20"/>
          <w:szCs w:val="20"/>
        </w:rPr>
        <w:t xml:space="preserve"> </w:t>
      </w:r>
      <w:r w:rsidR="0047442A" w:rsidRPr="00302EB7">
        <w:rPr>
          <w:sz w:val="20"/>
          <w:szCs w:val="20"/>
        </w:rPr>
        <w:t>4.1% and cystitis 8.3%</w:t>
      </w:r>
      <w:r w:rsidR="00C64083" w:rsidRPr="00302EB7">
        <w:rPr>
          <w:sz w:val="20"/>
          <w:szCs w:val="20"/>
        </w:rPr>
        <w:t xml:space="preserve">. </w:t>
      </w:r>
      <w:r w:rsidR="0047442A" w:rsidRPr="00302EB7">
        <w:rPr>
          <w:sz w:val="20"/>
          <w:szCs w:val="20"/>
        </w:rPr>
        <w:t xml:space="preserve">In </w:t>
      </w:r>
      <w:proofErr w:type="spellStart"/>
      <w:r w:rsidR="0047442A" w:rsidRPr="00302EB7">
        <w:rPr>
          <w:sz w:val="20"/>
          <w:szCs w:val="20"/>
        </w:rPr>
        <w:t>Mutahir</w:t>
      </w:r>
      <w:proofErr w:type="spellEnd"/>
      <w:r w:rsidR="0047442A" w:rsidRPr="00302EB7">
        <w:rPr>
          <w:sz w:val="20"/>
          <w:szCs w:val="20"/>
        </w:rPr>
        <w:t xml:space="preserve"> study the</w:t>
      </w:r>
      <w:r w:rsidR="0068737F" w:rsidRPr="00302EB7">
        <w:rPr>
          <w:sz w:val="20"/>
          <w:szCs w:val="20"/>
        </w:rPr>
        <w:t xml:space="preserve"> </w:t>
      </w:r>
      <w:r w:rsidR="0047442A" w:rsidRPr="00302EB7">
        <w:rPr>
          <w:sz w:val="20"/>
          <w:szCs w:val="20"/>
        </w:rPr>
        <w:t>a</w:t>
      </w:r>
      <w:r w:rsidR="0068737F" w:rsidRPr="00302EB7">
        <w:rPr>
          <w:sz w:val="20"/>
          <w:szCs w:val="20"/>
        </w:rPr>
        <w:t>cute grade 3 side effects of concurrent</w:t>
      </w:r>
      <w:r w:rsidR="008451BC" w:rsidRPr="00302EB7">
        <w:rPr>
          <w:sz w:val="20"/>
          <w:szCs w:val="20"/>
        </w:rPr>
        <w:t xml:space="preserve"> </w:t>
      </w:r>
      <w:proofErr w:type="spellStart"/>
      <w:r w:rsidR="0068737F" w:rsidRPr="00302EB7">
        <w:rPr>
          <w:sz w:val="20"/>
          <w:szCs w:val="20"/>
        </w:rPr>
        <w:t>chemoradiation</w:t>
      </w:r>
      <w:proofErr w:type="spellEnd"/>
      <w:r w:rsidR="0068737F" w:rsidRPr="00302EB7">
        <w:rPr>
          <w:sz w:val="20"/>
          <w:szCs w:val="20"/>
        </w:rPr>
        <w:t xml:space="preserve"> were nausea and vomiting, </w:t>
      </w:r>
      <w:proofErr w:type="spellStart"/>
      <w:r w:rsidR="0068737F" w:rsidRPr="00302EB7">
        <w:rPr>
          <w:sz w:val="20"/>
          <w:szCs w:val="20"/>
        </w:rPr>
        <w:t>diarrhoea</w:t>
      </w:r>
      <w:proofErr w:type="spellEnd"/>
      <w:r w:rsidR="0068737F" w:rsidRPr="00302EB7">
        <w:rPr>
          <w:sz w:val="20"/>
          <w:szCs w:val="20"/>
        </w:rPr>
        <w:t xml:space="preserve"> and cystitis in 15.6%, 18.7% and 18.7% of cases </w:t>
      </w:r>
      <w:r w:rsidR="008960C3" w:rsidRPr="00302EB7">
        <w:rPr>
          <w:sz w:val="20"/>
          <w:szCs w:val="20"/>
        </w:rPr>
        <w:t>respectively</w:t>
      </w:r>
      <w:r w:rsidRPr="00302EB7">
        <w:rPr>
          <w:sz w:val="20"/>
          <w:szCs w:val="20"/>
        </w:rPr>
        <w:t xml:space="preserve"> </w:t>
      </w:r>
      <w:r w:rsidR="008960C3" w:rsidRPr="00302EB7">
        <w:rPr>
          <w:sz w:val="20"/>
          <w:szCs w:val="20"/>
        </w:rPr>
        <w:t>and late</w:t>
      </w:r>
      <w:r w:rsidR="00144467" w:rsidRPr="00302EB7">
        <w:rPr>
          <w:sz w:val="20"/>
          <w:szCs w:val="20"/>
        </w:rPr>
        <w:t xml:space="preserve"> side e</w:t>
      </w:r>
      <w:r w:rsidR="00C64083" w:rsidRPr="00302EB7">
        <w:rPr>
          <w:sz w:val="20"/>
          <w:szCs w:val="20"/>
        </w:rPr>
        <w:t xml:space="preserve">ffects were seen in 6 patients and were mild </w:t>
      </w:r>
      <w:proofErr w:type="spellStart"/>
      <w:r w:rsidR="00C64083" w:rsidRPr="00302EB7">
        <w:rPr>
          <w:sz w:val="20"/>
          <w:szCs w:val="20"/>
        </w:rPr>
        <w:t>irritative</w:t>
      </w:r>
      <w:proofErr w:type="spellEnd"/>
      <w:r w:rsidR="00C64083" w:rsidRPr="00302EB7">
        <w:rPr>
          <w:sz w:val="20"/>
          <w:szCs w:val="20"/>
        </w:rPr>
        <w:t xml:space="preserve"> bladder symptoms. No delayed gastrointestinal or </w:t>
      </w:r>
      <w:proofErr w:type="spellStart"/>
      <w:r w:rsidR="00C64083" w:rsidRPr="00302EB7">
        <w:rPr>
          <w:sz w:val="20"/>
          <w:szCs w:val="20"/>
        </w:rPr>
        <w:t>haematological</w:t>
      </w:r>
      <w:proofErr w:type="spellEnd"/>
      <w:r w:rsidR="00C64083" w:rsidRPr="00302EB7">
        <w:rPr>
          <w:sz w:val="20"/>
          <w:szCs w:val="20"/>
        </w:rPr>
        <w:t xml:space="preserve"> toxicity were reported in </w:t>
      </w:r>
      <w:proofErr w:type="spellStart"/>
      <w:r w:rsidR="008960C3" w:rsidRPr="00302EB7">
        <w:rPr>
          <w:sz w:val="20"/>
          <w:szCs w:val="20"/>
        </w:rPr>
        <w:t>Mutahir</w:t>
      </w:r>
      <w:proofErr w:type="spellEnd"/>
      <w:r w:rsidR="008960C3" w:rsidRPr="00302EB7">
        <w:rPr>
          <w:sz w:val="20"/>
          <w:szCs w:val="20"/>
        </w:rPr>
        <w:t xml:space="preserve"> study</w:t>
      </w:r>
      <w:r w:rsidR="00815CD8" w:rsidRPr="00302EB7">
        <w:rPr>
          <w:sz w:val="20"/>
          <w:szCs w:val="20"/>
        </w:rPr>
        <w:t xml:space="preserve"> </w:t>
      </w:r>
      <w:r w:rsidR="00815CD8" w:rsidRPr="00302EB7">
        <w:rPr>
          <w:b/>
          <w:bCs/>
          <w:sz w:val="20"/>
          <w:szCs w:val="20"/>
        </w:rPr>
        <w:t>[1</w:t>
      </w:r>
      <w:r w:rsidR="00B33267" w:rsidRPr="00302EB7">
        <w:rPr>
          <w:b/>
          <w:bCs/>
          <w:sz w:val="20"/>
          <w:szCs w:val="20"/>
        </w:rPr>
        <w:t>4</w:t>
      </w:r>
      <w:r w:rsidR="00815CD8" w:rsidRPr="00302EB7">
        <w:rPr>
          <w:b/>
          <w:bCs/>
          <w:sz w:val="20"/>
          <w:szCs w:val="20"/>
        </w:rPr>
        <w:t>]</w:t>
      </w:r>
      <w:r w:rsidR="00815CD8" w:rsidRPr="00302EB7">
        <w:rPr>
          <w:sz w:val="20"/>
          <w:szCs w:val="20"/>
        </w:rPr>
        <w:t>.</w:t>
      </w:r>
      <w:r w:rsidR="00201C68" w:rsidRPr="00302EB7">
        <w:rPr>
          <w:sz w:val="20"/>
          <w:szCs w:val="20"/>
        </w:rPr>
        <w:t xml:space="preserve"> Many </w:t>
      </w:r>
      <w:r w:rsidR="00BC1964" w:rsidRPr="000152BA">
        <w:rPr>
          <w:sz w:val="20"/>
          <w:szCs w:val="20"/>
        </w:rPr>
        <w:t>researchers</w:t>
      </w:r>
      <w:r w:rsidR="00201C68" w:rsidRPr="000152BA">
        <w:rPr>
          <w:sz w:val="20"/>
          <w:szCs w:val="20"/>
        </w:rPr>
        <w:t xml:space="preserve"> have tried to use </w:t>
      </w:r>
      <w:proofErr w:type="spellStart"/>
      <w:r w:rsidR="00201C68" w:rsidRPr="000152BA">
        <w:rPr>
          <w:sz w:val="20"/>
          <w:szCs w:val="20"/>
        </w:rPr>
        <w:t>Carboplatin</w:t>
      </w:r>
      <w:proofErr w:type="spellEnd"/>
      <w:r w:rsidR="00201C68" w:rsidRPr="000152BA">
        <w:rPr>
          <w:sz w:val="20"/>
          <w:szCs w:val="20"/>
        </w:rPr>
        <w:t xml:space="preserve"> instead of </w:t>
      </w:r>
      <w:proofErr w:type="spellStart"/>
      <w:r w:rsidR="00201C68" w:rsidRPr="000152BA">
        <w:rPr>
          <w:sz w:val="20"/>
          <w:szCs w:val="20"/>
        </w:rPr>
        <w:t>cisplatinum</w:t>
      </w:r>
      <w:proofErr w:type="spellEnd"/>
      <w:r w:rsidR="00201C68" w:rsidRPr="000152BA">
        <w:rPr>
          <w:sz w:val="20"/>
          <w:szCs w:val="20"/>
        </w:rPr>
        <w:t xml:space="preserve"> to decrease </w:t>
      </w:r>
      <w:r w:rsidR="008960C3" w:rsidRPr="000152BA">
        <w:rPr>
          <w:sz w:val="20"/>
          <w:szCs w:val="20"/>
        </w:rPr>
        <w:t>toxicities</w:t>
      </w:r>
      <w:r w:rsidR="00201C68" w:rsidRPr="000152BA">
        <w:rPr>
          <w:sz w:val="20"/>
          <w:szCs w:val="20"/>
        </w:rPr>
        <w:t>.</w:t>
      </w:r>
      <w:r w:rsidR="008960C3" w:rsidRPr="000152BA">
        <w:rPr>
          <w:sz w:val="20"/>
          <w:szCs w:val="20"/>
        </w:rPr>
        <w:t xml:space="preserve"> </w:t>
      </w:r>
      <w:r w:rsidR="00201C68" w:rsidRPr="000152BA">
        <w:rPr>
          <w:sz w:val="20"/>
          <w:szCs w:val="20"/>
        </w:rPr>
        <w:t>Iwasaki</w:t>
      </w:r>
      <w:r w:rsidR="005A3BB5" w:rsidRPr="000152BA">
        <w:rPr>
          <w:sz w:val="20"/>
          <w:szCs w:val="20"/>
        </w:rPr>
        <w:t xml:space="preserve"> </w:t>
      </w:r>
      <w:r w:rsidR="005A3BB5" w:rsidRPr="000152BA">
        <w:rPr>
          <w:i/>
          <w:iCs/>
          <w:sz w:val="20"/>
          <w:szCs w:val="20"/>
        </w:rPr>
        <w:t>et al.</w:t>
      </w:r>
      <w:r w:rsidR="005A3BB5" w:rsidRPr="000152BA">
        <w:rPr>
          <w:sz w:val="20"/>
          <w:szCs w:val="20"/>
        </w:rPr>
        <w:t xml:space="preserve"> </w:t>
      </w:r>
      <w:r w:rsidR="00201C68" w:rsidRPr="000152BA">
        <w:rPr>
          <w:sz w:val="20"/>
          <w:szCs w:val="20"/>
        </w:rPr>
        <w:t xml:space="preserve">reported less non-hematologic toxicity and </w:t>
      </w:r>
      <w:proofErr w:type="spellStart"/>
      <w:r w:rsidR="00201C68" w:rsidRPr="000152BA">
        <w:rPr>
          <w:sz w:val="20"/>
          <w:szCs w:val="20"/>
        </w:rPr>
        <w:t>nephrotoxicity</w:t>
      </w:r>
      <w:proofErr w:type="spellEnd"/>
      <w:r w:rsidR="00201C68" w:rsidRPr="000152BA">
        <w:rPr>
          <w:sz w:val="20"/>
          <w:szCs w:val="20"/>
        </w:rPr>
        <w:t xml:space="preserve"> with or </w:t>
      </w:r>
      <w:proofErr w:type="spellStart"/>
      <w:r w:rsidR="00201C68" w:rsidRPr="000152BA">
        <w:rPr>
          <w:sz w:val="20"/>
          <w:szCs w:val="20"/>
        </w:rPr>
        <w:t>gemcitabine</w:t>
      </w:r>
      <w:proofErr w:type="spellEnd"/>
      <w:r w:rsidR="00201C68" w:rsidRPr="000152BA">
        <w:rPr>
          <w:sz w:val="20"/>
          <w:szCs w:val="20"/>
        </w:rPr>
        <w:t xml:space="preserve"> than </w:t>
      </w:r>
      <w:r w:rsidR="008960C3" w:rsidRPr="000152BA">
        <w:rPr>
          <w:sz w:val="20"/>
          <w:szCs w:val="20"/>
        </w:rPr>
        <w:t>MVAC</w:t>
      </w:r>
      <w:r w:rsidR="008960C3" w:rsidRPr="000152BA">
        <w:rPr>
          <w:b/>
          <w:bCs/>
          <w:sz w:val="20"/>
          <w:szCs w:val="20"/>
        </w:rPr>
        <w:t xml:space="preserve"> [</w:t>
      </w:r>
      <w:r w:rsidR="002776CA" w:rsidRPr="000152BA">
        <w:rPr>
          <w:b/>
          <w:bCs/>
          <w:sz w:val="20"/>
          <w:szCs w:val="20"/>
        </w:rPr>
        <w:t>16]</w:t>
      </w:r>
      <w:r w:rsidR="002776CA" w:rsidRPr="000152BA">
        <w:rPr>
          <w:sz w:val="20"/>
          <w:szCs w:val="20"/>
        </w:rPr>
        <w:t>.</w:t>
      </w:r>
    </w:p>
    <w:p w:rsidR="00BA4BBB" w:rsidRPr="00302EB7" w:rsidRDefault="00447A65" w:rsidP="00C73DB9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0152BA">
        <w:rPr>
          <w:sz w:val="20"/>
          <w:szCs w:val="20"/>
        </w:rPr>
        <w:t xml:space="preserve">The </w:t>
      </w:r>
      <w:proofErr w:type="spellStart"/>
      <w:r w:rsidRPr="000152BA">
        <w:rPr>
          <w:sz w:val="20"/>
          <w:szCs w:val="20"/>
        </w:rPr>
        <w:t>gemcitabine</w:t>
      </w:r>
      <w:proofErr w:type="spellEnd"/>
      <w:r w:rsidRPr="000152BA">
        <w:rPr>
          <w:sz w:val="20"/>
          <w:szCs w:val="20"/>
        </w:rPr>
        <w:t xml:space="preserve"> dose</w:t>
      </w:r>
      <w:r w:rsidRPr="00302EB7">
        <w:rPr>
          <w:sz w:val="20"/>
          <w:szCs w:val="20"/>
        </w:rPr>
        <w:t xml:space="preserve"> was one tenth of the usual systemic dose of used as the </w:t>
      </w:r>
      <w:proofErr w:type="spellStart"/>
      <w:r w:rsidRPr="00302EB7">
        <w:rPr>
          <w:sz w:val="20"/>
          <w:szCs w:val="20"/>
        </w:rPr>
        <w:t>neoadjuvant</w:t>
      </w:r>
      <w:proofErr w:type="spellEnd"/>
      <w:r w:rsidRPr="00302EB7">
        <w:rPr>
          <w:sz w:val="20"/>
          <w:szCs w:val="20"/>
        </w:rPr>
        <w:t xml:space="preserve"> in MIBC. Thus, the effect of </w:t>
      </w:r>
      <w:proofErr w:type="spellStart"/>
      <w:r w:rsidRPr="00302EB7">
        <w:rPr>
          <w:sz w:val="20"/>
          <w:szCs w:val="20"/>
        </w:rPr>
        <w:t>gemcitabine</w:t>
      </w:r>
      <w:proofErr w:type="spellEnd"/>
      <w:r w:rsidRPr="00302EB7">
        <w:rPr>
          <w:sz w:val="20"/>
          <w:szCs w:val="20"/>
        </w:rPr>
        <w:t xml:space="preserve"> on response rate in our prospective phase II study </w:t>
      </w:r>
      <w:r w:rsidR="00BC1964" w:rsidRPr="00302EB7">
        <w:rPr>
          <w:sz w:val="20"/>
          <w:szCs w:val="20"/>
        </w:rPr>
        <w:t xml:space="preserve">was </w:t>
      </w:r>
      <w:proofErr w:type="spellStart"/>
      <w:r w:rsidR="00BC1964" w:rsidRPr="00302EB7">
        <w:rPr>
          <w:sz w:val="20"/>
          <w:szCs w:val="20"/>
        </w:rPr>
        <w:t>radiosensitization</w:t>
      </w:r>
      <w:proofErr w:type="spellEnd"/>
      <w:r w:rsidRPr="00302EB7">
        <w:rPr>
          <w:sz w:val="20"/>
          <w:szCs w:val="20"/>
        </w:rPr>
        <w:t xml:space="preserve">, for which improved survival is likely a result of increased local </w:t>
      </w:r>
      <w:r w:rsidR="00BC1964" w:rsidRPr="00302EB7">
        <w:rPr>
          <w:sz w:val="20"/>
          <w:szCs w:val="20"/>
        </w:rPr>
        <w:t>control</w:t>
      </w:r>
      <w:r w:rsidR="00BC1964" w:rsidRPr="00302EB7">
        <w:rPr>
          <w:b/>
          <w:bCs/>
          <w:sz w:val="20"/>
          <w:szCs w:val="20"/>
        </w:rPr>
        <w:t xml:space="preserve"> [</w:t>
      </w:r>
      <w:r w:rsidR="00153EA5" w:rsidRPr="00302EB7">
        <w:rPr>
          <w:b/>
          <w:bCs/>
          <w:sz w:val="20"/>
          <w:szCs w:val="20"/>
        </w:rPr>
        <w:t>1</w:t>
      </w:r>
      <w:r w:rsidR="005D7E0F" w:rsidRPr="00302EB7">
        <w:rPr>
          <w:b/>
          <w:bCs/>
          <w:sz w:val="20"/>
          <w:szCs w:val="20"/>
        </w:rPr>
        <w:t>2</w:t>
      </w:r>
      <w:r w:rsidR="00153EA5" w:rsidRPr="00302EB7">
        <w:rPr>
          <w:b/>
          <w:bCs/>
          <w:sz w:val="20"/>
          <w:szCs w:val="20"/>
        </w:rPr>
        <w:t>]</w:t>
      </w:r>
      <w:r w:rsidR="00153EA5" w:rsidRPr="00302EB7">
        <w:rPr>
          <w:sz w:val="20"/>
          <w:szCs w:val="20"/>
        </w:rPr>
        <w:t>.</w:t>
      </w:r>
      <w:r w:rsidR="00BC1964" w:rsidRPr="00302EB7">
        <w:rPr>
          <w:sz w:val="20"/>
          <w:szCs w:val="20"/>
        </w:rPr>
        <w:t xml:space="preserve"> T</w:t>
      </w:r>
      <w:r w:rsidR="00BA4BBB" w:rsidRPr="00302EB7">
        <w:rPr>
          <w:sz w:val="20"/>
          <w:szCs w:val="20"/>
        </w:rPr>
        <w:t xml:space="preserve">he limitation of our study was the small number of patients and </w:t>
      </w:r>
      <w:r w:rsidR="00BC1964" w:rsidRPr="00302EB7">
        <w:rPr>
          <w:sz w:val="20"/>
          <w:szCs w:val="20"/>
        </w:rPr>
        <w:t>few numbers</w:t>
      </w:r>
      <w:r w:rsidR="00BA4BBB" w:rsidRPr="00302EB7">
        <w:rPr>
          <w:sz w:val="20"/>
          <w:szCs w:val="20"/>
        </w:rPr>
        <w:t xml:space="preserve"> of</w:t>
      </w:r>
      <w:r w:rsidR="00DB2FE9" w:rsidRPr="00302EB7">
        <w:rPr>
          <w:sz w:val="20"/>
          <w:szCs w:val="20"/>
        </w:rPr>
        <w:t xml:space="preserve"> patients and</w:t>
      </w:r>
      <w:r w:rsidR="00BA4BBB" w:rsidRPr="00302EB7">
        <w:rPr>
          <w:sz w:val="20"/>
          <w:szCs w:val="20"/>
        </w:rPr>
        <w:t xml:space="preserve"> equi</w:t>
      </w:r>
      <w:r w:rsidR="00DB2FE9" w:rsidRPr="00302EB7">
        <w:rPr>
          <w:sz w:val="20"/>
          <w:szCs w:val="20"/>
        </w:rPr>
        <w:t xml:space="preserve">pments as </w:t>
      </w:r>
      <w:proofErr w:type="spellStart"/>
      <w:r w:rsidR="00DB2FE9" w:rsidRPr="00302EB7">
        <w:rPr>
          <w:sz w:val="20"/>
          <w:szCs w:val="20"/>
        </w:rPr>
        <w:t>cystiscopes</w:t>
      </w:r>
      <w:proofErr w:type="spellEnd"/>
      <w:r w:rsidR="00BA4BBB" w:rsidRPr="00302EB7">
        <w:rPr>
          <w:sz w:val="20"/>
          <w:szCs w:val="20"/>
        </w:rPr>
        <w:t>.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302EB7">
        <w:rPr>
          <w:sz w:val="20"/>
          <w:szCs w:val="20"/>
        </w:rPr>
        <w:t xml:space="preserve">Bladder preservation is the ultimate goal in </w:t>
      </w:r>
      <w:r w:rsidRPr="000152BA">
        <w:rPr>
          <w:sz w:val="20"/>
          <w:szCs w:val="20"/>
        </w:rPr>
        <w:t>many studies. In their report on 99</w:t>
      </w:r>
      <w:r w:rsidR="002D5B96" w:rsidRPr="000152BA">
        <w:rPr>
          <w:sz w:val="20"/>
          <w:szCs w:val="20"/>
        </w:rPr>
        <w:t xml:space="preserve"> </w:t>
      </w:r>
      <w:r w:rsidRPr="000152BA">
        <w:rPr>
          <w:sz w:val="20"/>
          <w:szCs w:val="20"/>
        </w:rPr>
        <w:t xml:space="preserve">patients </w:t>
      </w:r>
      <w:r w:rsidRPr="000152BA">
        <w:rPr>
          <w:b/>
          <w:bCs/>
          <w:sz w:val="20"/>
          <w:szCs w:val="20"/>
        </w:rPr>
        <w:t xml:space="preserve">Shipley </w:t>
      </w:r>
      <w:r w:rsidR="005A3BB5" w:rsidRPr="000152BA">
        <w:rPr>
          <w:i/>
          <w:iCs/>
          <w:sz w:val="20"/>
          <w:szCs w:val="20"/>
        </w:rPr>
        <w:t>et al.</w:t>
      </w:r>
      <w:r w:rsidRPr="000152BA">
        <w:rPr>
          <w:b/>
          <w:bCs/>
          <w:sz w:val="20"/>
          <w:szCs w:val="20"/>
        </w:rPr>
        <w:t xml:space="preserve"> </w:t>
      </w:r>
      <w:r w:rsidRPr="000152BA">
        <w:rPr>
          <w:sz w:val="20"/>
          <w:szCs w:val="20"/>
        </w:rPr>
        <w:t xml:space="preserve">reported 73% bladder preservation rate </w:t>
      </w:r>
      <w:r w:rsidRPr="000152BA">
        <w:rPr>
          <w:b/>
          <w:bCs/>
          <w:sz w:val="20"/>
          <w:szCs w:val="20"/>
        </w:rPr>
        <w:t>[</w:t>
      </w:r>
      <w:r w:rsidR="00B33267" w:rsidRPr="000152BA">
        <w:rPr>
          <w:b/>
          <w:bCs/>
          <w:sz w:val="20"/>
          <w:szCs w:val="20"/>
        </w:rPr>
        <w:t>17</w:t>
      </w:r>
      <w:r w:rsidRPr="000152BA">
        <w:rPr>
          <w:b/>
          <w:bCs/>
          <w:sz w:val="20"/>
          <w:szCs w:val="20"/>
        </w:rPr>
        <w:t>]</w:t>
      </w:r>
      <w:r w:rsidRPr="000152BA">
        <w:rPr>
          <w:sz w:val="20"/>
          <w:szCs w:val="20"/>
        </w:rPr>
        <w:t xml:space="preserve">. </w:t>
      </w:r>
      <w:r w:rsidRPr="000152BA">
        <w:rPr>
          <w:sz w:val="20"/>
          <w:szCs w:val="20"/>
        </w:rPr>
        <w:lastRenderedPageBreak/>
        <w:t>While</w:t>
      </w:r>
      <w:r w:rsidR="002D5B96" w:rsidRPr="000152BA">
        <w:rPr>
          <w:sz w:val="20"/>
          <w:szCs w:val="20"/>
        </w:rPr>
        <w:t xml:space="preserve"> </w:t>
      </w:r>
      <w:proofErr w:type="spellStart"/>
      <w:r w:rsidRPr="000152BA">
        <w:rPr>
          <w:sz w:val="20"/>
          <w:szCs w:val="20"/>
        </w:rPr>
        <w:t>Chauvet</w:t>
      </w:r>
      <w:proofErr w:type="spellEnd"/>
      <w:r w:rsidRPr="000152BA">
        <w:rPr>
          <w:sz w:val="20"/>
          <w:szCs w:val="20"/>
        </w:rPr>
        <w:t xml:space="preserve"> et al in a study on 109 patient reported</w:t>
      </w:r>
      <w:r w:rsidRPr="00302EB7">
        <w:rPr>
          <w:sz w:val="20"/>
          <w:szCs w:val="20"/>
        </w:rPr>
        <w:t xml:space="preserve"> 37% only with intact bladder</w:t>
      </w:r>
      <w:r w:rsidR="002D5B96" w:rsidRPr="00302EB7">
        <w:rPr>
          <w:b/>
          <w:bCs/>
          <w:sz w:val="20"/>
          <w:szCs w:val="20"/>
        </w:rPr>
        <w:t xml:space="preserve"> </w:t>
      </w:r>
      <w:r w:rsidRPr="00302EB7">
        <w:rPr>
          <w:b/>
          <w:bCs/>
          <w:sz w:val="20"/>
          <w:szCs w:val="20"/>
        </w:rPr>
        <w:t>[</w:t>
      </w:r>
      <w:r w:rsidR="00B33267" w:rsidRPr="00302EB7">
        <w:rPr>
          <w:b/>
          <w:bCs/>
          <w:sz w:val="20"/>
          <w:szCs w:val="20"/>
        </w:rPr>
        <w:t>18</w:t>
      </w:r>
      <w:r w:rsidRPr="00302EB7">
        <w:rPr>
          <w:b/>
          <w:bCs/>
          <w:sz w:val="20"/>
          <w:szCs w:val="20"/>
        </w:rPr>
        <w:t>]</w:t>
      </w:r>
      <w:r w:rsidRPr="00302EB7">
        <w:rPr>
          <w:sz w:val="20"/>
          <w:szCs w:val="20"/>
        </w:rPr>
        <w:t>. In our study bladder preservation rate was 43.7%.</w:t>
      </w:r>
      <w:r w:rsidR="002D5B96" w:rsidRPr="00302EB7">
        <w:rPr>
          <w:sz w:val="20"/>
          <w:szCs w:val="20"/>
        </w:rPr>
        <w:t xml:space="preserve"> </w:t>
      </w:r>
      <w:r w:rsidRPr="00302EB7">
        <w:rPr>
          <w:sz w:val="20"/>
          <w:szCs w:val="20"/>
        </w:rPr>
        <w:t>A potential limitation of</w:t>
      </w:r>
      <w:r w:rsidR="00201C68" w:rsidRPr="00302EB7">
        <w:rPr>
          <w:sz w:val="20"/>
          <w:szCs w:val="20"/>
          <w:rtl/>
        </w:rPr>
        <w:t xml:space="preserve"> </w:t>
      </w:r>
      <w:r w:rsidRPr="00302EB7">
        <w:rPr>
          <w:sz w:val="20"/>
          <w:szCs w:val="20"/>
        </w:rPr>
        <w:t xml:space="preserve">our study is the relatively small sample size and non-comparative design of </w:t>
      </w:r>
      <w:r w:rsidR="00BC1964" w:rsidRPr="00302EB7">
        <w:rPr>
          <w:sz w:val="20"/>
          <w:szCs w:val="20"/>
        </w:rPr>
        <w:t xml:space="preserve">the </w:t>
      </w:r>
      <w:r w:rsidRPr="00302EB7">
        <w:rPr>
          <w:sz w:val="20"/>
          <w:szCs w:val="20"/>
        </w:rPr>
        <w:t>study</w:t>
      </w:r>
      <w:r w:rsidR="00BC1964" w:rsidRPr="00302EB7">
        <w:rPr>
          <w:sz w:val="20"/>
          <w:szCs w:val="20"/>
        </w:rPr>
        <w:t>.</w:t>
      </w:r>
    </w:p>
    <w:p w:rsidR="00302EB7" w:rsidRDefault="00302EB7" w:rsidP="00302EB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D3A53" w:rsidRPr="00302EB7" w:rsidRDefault="006D3A53" w:rsidP="00302EB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02EB7">
        <w:rPr>
          <w:b/>
          <w:bCs/>
          <w:sz w:val="20"/>
          <w:szCs w:val="20"/>
        </w:rPr>
        <w:t>Conclusion</w:t>
      </w:r>
    </w:p>
    <w:p w:rsidR="006D3A53" w:rsidRPr="00302EB7" w:rsidRDefault="006D3A53" w:rsidP="00C73DB9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proofErr w:type="spellStart"/>
      <w:r w:rsidRPr="00302EB7">
        <w:rPr>
          <w:sz w:val="20"/>
          <w:szCs w:val="20"/>
        </w:rPr>
        <w:t>Neoadjuvant</w:t>
      </w:r>
      <w:proofErr w:type="spellEnd"/>
      <w:r w:rsidRPr="00302EB7">
        <w:rPr>
          <w:sz w:val="20"/>
          <w:szCs w:val="20"/>
        </w:rPr>
        <w:t xml:space="preserve"> chemotherapy followed by </w:t>
      </w:r>
      <w:proofErr w:type="spellStart"/>
      <w:r w:rsidRPr="00302EB7">
        <w:rPr>
          <w:sz w:val="20"/>
          <w:szCs w:val="20"/>
        </w:rPr>
        <w:t>Gemcitabine</w:t>
      </w:r>
      <w:proofErr w:type="spellEnd"/>
      <w:r w:rsidRPr="00302EB7">
        <w:rPr>
          <w:sz w:val="20"/>
          <w:szCs w:val="20"/>
        </w:rPr>
        <w:t xml:space="preserve"> as </w:t>
      </w:r>
      <w:proofErr w:type="spellStart"/>
      <w:r w:rsidRPr="00302EB7">
        <w:rPr>
          <w:sz w:val="20"/>
          <w:szCs w:val="20"/>
        </w:rPr>
        <w:t>radiosensitizer</w:t>
      </w:r>
      <w:proofErr w:type="spellEnd"/>
      <w:r w:rsidRPr="00302EB7">
        <w:rPr>
          <w:sz w:val="20"/>
          <w:szCs w:val="20"/>
        </w:rPr>
        <w:t xml:space="preserve"> for</w:t>
      </w:r>
      <w:r w:rsidR="002D5B96" w:rsidRPr="00302EB7">
        <w:rPr>
          <w:sz w:val="20"/>
          <w:szCs w:val="20"/>
        </w:rPr>
        <w:t xml:space="preserve"> </w:t>
      </w:r>
      <w:r w:rsidRPr="00302EB7">
        <w:rPr>
          <w:sz w:val="20"/>
          <w:szCs w:val="20"/>
        </w:rPr>
        <w:t>muscle-invasive transitional cell carcinoma of the urinary bladder was tolerable</w:t>
      </w:r>
      <w:r w:rsidR="002D5B96" w:rsidRPr="00302EB7">
        <w:rPr>
          <w:sz w:val="20"/>
          <w:szCs w:val="20"/>
        </w:rPr>
        <w:t xml:space="preserve"> </w:t>
      </w:r>
      <w:r w:rsidRPr="00302EB7">
        <w:rPr>
          <w:sz w:val="20"/>
          <w:szCs w:val="20"/>
        </w:rPr>
        <w:t>with good bladder preservation and overall survival</w:t>
      </w:r>
    </w:p>
    <w:p w:rsidR="00302EB7" w:rsidRPr="00302EB7" w:rsidRDefault="00302EB7" w:rsidP="00302EB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02EB7" w:rsidRPr="00302EB7" w:rsidRDefault="00302EB7" w:rsidP="00302EB7">
      <w:pPr>
        <w:ind w:right="17"/>
        <w:jc w:val="lowKashida"/>
        <w:rPr>
          <w:b/>
          <w:bCs/>
          <w:sz w:val="20"/>
          <w:szCs w:val="20"/>
        </w:rPr>
      </w:pPr>
      <w:r w:rsidRPr="00302EB7">
        <w:rPr>
          <w:b/>
          <w:bCs/>
          <w:sz w:val="20"/>
          <w:szCs w:val="20"/>
        </w:rPr>
        <w:t xml:space="preserve">Corresponding Author: </w:t>
      </w:r>
    </w:p>
    <w:p w:rsidR="00302EB7" w:rsidRPr="00AF046B" w:rsidRDefault="00302EB7" w:rsidP="00302EB7">
      <w:pPr>
        <w:ind w:right="17"/>
        <w:jc w:val="lowKashida"/>
        <w:rPr>
          <w:sz w:val="20"/>
          <w:szCs w:val="20"/>
        </w:rPr>
      </w:pPr>
      <w:r w:rsidRPr="00AF046B">
        <w:rPr>
          <w:bCs/>
          <w:sz w:val="20"/>
          <w:szCs w:val="20"/>
        </w:rPr>
        <w:t>Name:</w:t>
      </w:r>
      <w:r w:rsidRPr="00AF046B">
        <w:rPr>
          <w:sz w:val="20"/>
          <w:szCs w:val="20"/>
        </w:rPr>
        <w:t xml:space="preserve"> Dr. </w:t>
      </w:r>
      <w:proofErr w:type="spellStart"/>
      <w:r w:rsidRPr="00AF046B">
        <w:rPr>
          <w:sz w:val="20"/>
          <w:szCs w:val="20"/>
        </w:rPr>
        <w:t>Alaa</w:t>
      </w:r>
      <w:proofErr w:type="spellEnd"/>
      <w:r w:rsidRPr="00AF046B">
        <w:rPr>
          <w:sz w:val="20"/>
          <w:szCs w:val="20"/>
        </w:rPr>
        <w:t xml:space="preserve"> Fayed, MD.</w:t>
      </w:r>
    </w:p>
    <w:p w:rsidR="00302EB7" w:rsidRPr="00AF046B" w:rsidRDefault="00302EB7" w:rsidP="00302EB7">
      <w:pPr>
        <w:autoSpaceDE w:val="0"/>
        <w:autoSpaceDN w:val="0"/>
        <w:adjustRightInd w:val="0"/>
        <w:jc w:val="both"/>
        <w:rPr>
          <w:color w:val="000066"/>
          <w:sz w:val="20"/>
          <w:szCs w:val="20"/>
        </w:rPr>
      </w:pPr>
      <w:r w:rsidRPr="00AF046B">
        <w:rPr>
          <w:bCs/>
          <w:sz w:val="20"/>
          <w:szCs w:val="20"/>
        </w:rPr>
        <w:t>Address:</w:t>
      </w:r>
      <w:r w:rsidRPr="00AF046B">
        <w:rPr>
          <w:sz w:val="20"/>
          <w:szCs w:val="20"/>
        </w:rPr>
        <w:t xml:space="preserve"> Clinical Oncology and Nuclear Medicine Department, Faculty of Medicine, </w:t>
      </w:r>
      <w:proofErr w:type="spellStart"/>
      <w:r w:rsidRPr="00AF046B">
        <w:rPr>
          <w:sz w:val="20"/>
          <w:szCs w:val="20"/>
        </w:rPr>
        <w:t>Zagazig</w:t>
      </w:r>
      <w:proofErr w:type="spellEnd"/>
      <w:r w:rsidRPr="00AF046B">
        <w:rPr>
          <w:sz w:val="20"/>
          <w:szCs w:val="20"/>
        </w:rPr>
        <w:t xml:space="preserve"> University ,Egypt.</w:t>
      </w:r>
    </w:p>
    <w:p w:rsidR="00302EB7" w:rsidRPr="00AF046B" w:rsidRDefault="00302EB7" w:rsidP="00302EB7">
      <w:pPr>
        <w:ind w:right="17"/>
        <w:jc w:val="lowKashida"/>
        <w:rPr>
          <w:sz w:val="20"/>
          <w:szCs w:val="20"/>
        </w:rPr>
      </w:pPr>
      <w:r w:rsidRPr="00AF046B">
        <w:rPr>
          <w:sz w:val="20"/>
          <w:szCs w:val="20"/>
        </w:rPr>
        <w:t>E.mail:</w:t>
      </w:r>
      <w:r w:rsidRPr="00AF046B">
        <w:rPr>
          <w:color w:val="0000CC"/>
          <w:sz w:val="20"/>
          <w:szCs w:val="20"/>
        </w:rPr>
        <w:t>fayed_alaa@yahoo.com</w:t>
      </w:r>
    </w:p>
    <w:p w:rsidR="00302EB7" w:rsidRDefault="00302EB7" w:rsidP="00302EB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AF046B" w:rsidRPr="00302EB7" w:rsidRDefault="006D3A53" w:rsidP="00302EB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02EB7">
        <w:rPr>
          <w:b/>
          <w:bCs/>
          <w:color w:val="000000"/>
          <w:sz w:val="20"/>
          <w:szCs w:val="20"/>
        </w:rPr>
        <w:t>References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152BA">
        <w:rPr>
          <w:sz w:val="20"/>
          <w:szCs w:val="20"/>
        </w:rPr>
        <w:t>F</w:t>
      </w:r>
      <w:r w:rsidR="006D3A53" w:rsidRPr="000152BA">
        <w:rPr>
          <w:sz w:val="20"/>
          <w:szCs w:val="20"/>
        </w:rPr>
        <w:t>erlay</w:t>
      </w:r>
      <w:proofErr w:type="spellEnd"/>
      <w:r w:rsidR="006D3A53" w:rsidRPr="000152BA">
        <w:rPr>
          <w:sz w:val="20"/>
          <w:szCs w:val="20"/>
        </w:rPr>
        <w:t xml:space="preserve"> J, </w:t>
      </w:r>
      <w:proofErr w:type="spellStart"/>
      <w:r w:rsidR="006D3A53" w:rsidRPr="000152BA">
        <w:rPr>
          <w:sz w:val="20"/>
          <w:szCs w:val="20"/>
        </w:rPr>
        <w:t>Autier</w:t>
      </w:r>
      <w:proofErr w:type="spellEnd"/>
      <w:r w:rsidR="006D3A53" w:rsidRPr="000152BA">
        <w:rPr>
          <w:sz w:val="20"/>
          <w:szCs w:val="20"/>
        </w:rPr>
        <w:t xml:space="preserve"> P, </w:t>
      </w:r>
      <w:proofErr w:type="spellStart"/>
      <w:r w:rsidR="006D3A53" w:rsidRPr="000152BA">
        <w:rPr>
          <w:sz w:val="20"/>
          <w:szCs w:val="20"/>
        </w:rPr>
        <w:t>Boniol</w:t>
      </w:r>
      <w:proofErr w:type="spellEnd"/>
      <w:r w:rsidR="006D3A53" w:rsidRPr="000152BA">
        <w:rPr>
          <w:sz w:val="20"/>
          <w:szCs w:val="20"/>
        </w:rPr>
        <w:t xml:space="preserve"> M. </w:t>
      </w:r>
      <w:proofErr w:type="spellStart"/>
      <w:r w:rsidR="006D3A53" w:rsidRPr="000152BA">
        <w:rPr>
          <w:sz w:val="20"/>
          <w:szCs w:val="20"/>
        </w:rPr>
        <w:t>Heanue</w:t>
      </w:r>
      <w:proofErr w:type="spellEnd"/>
      <w:r w:rsidR="006D3A53" w:rsidRPr="000152BA">
        <w:rPr>
          <w:sz w:val="20"/>
          <w:szCs w:val="20"/>
        </w:rPr>
        <w:t xml:space="preserve"> M, </w:t>
      </w:r>
      <w:proofErr w:type="spellStart"/>
      <w:r w:rsidR="006D3A53" w:rsidRPr="000152BA">
        <w:rPr>
          <w:sz w:val="20"/>
          <w:szCs w:val="20"/>
        </w:rPr>
        <w:t>Colombet</w:t>
      </w:r>
      <w:proofErr w:type="spellEnd"/>
      <w:r w:rsidR="006D3A53" w:rsidRPr="000152BA">
        <w:rPr>
          <w:sz w:val="20"/>
          <w:szCs w:val="20"/>
        </w:rPr>
        <w:t xml:space="preserve"> M, Boyle P. Estimates of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the cancer incidence and mortality in Europe in 2006. Ann </w:t>
      </w:r>
      <w:proofErr w:type="spellStart"/>
      <w:r w:rsidR="006D3A53" w:rsidRPr="000152BA">
        <w:rPr>
          <w:sz w:val="20"/>
          <w:szCs w:val="20"/>
        </w:rPr>
        <w:t>Oncol</w:t>
      </w:r>
      <w:proofErr w:type="spellEnd"/>
      <w:r w:rsidR="006D3A53" w:rsidRPr="000152BA">
        <w:rPr>
          <w:sz w:val="20"/>
          <w:szCs w:val="20"/>
        </w:rPr>
        <w:t xml:space="preserve"> ;18(3):581-592.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2007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152BA">
        <w:rPr>
          <w:sz w:val="20"/>
          <w:szCs w:val="20"/>
        </w:rPr>
        <w:t>S</w:t>
      </w:r>
      <w:r w:rsidR="006D3A53" w:rsidRPr="000152BA">
        <w:rPr>
          <w:sz w:val="20"/>
          <w:szCs w:val="20"/>
        </w:rPr>
        <w:t>tenzl</w:t>
      </w:r>
      <w:proofErr w:type="spellEnd"/>
      <w:r w:rsidR="006D3A53" w:rsidRPr="000152BA">
        <w:rPr>
          <w:sz w:val="20"/>
          <w:szCs w:val="20"/>
        </w:rPr>
        <w:t xml:space="preserve"> A, Cowan N, De </w:t>
      </w:r>
      <w:proofErr w:type="spellStart"/>
      <w:r w:rsidR="006D3A53" w:rsidRPr="000152BA">
        <w:rPr>
          <w:sz w:val="20"/>
          <w:szCs w:val="20"/>
        </w:rPr>
        <w:t>Santis</w:t>
      </w:r>
      <w:proofErr w:type="spellEnd"/>
      <w:r w:rsidR="006D3A53" w:rsidRPr="000152BA">
        <w:rPr>
          <w:sz w:val="20"/>
          <w:szCs w:val="20"/>
        </w:rPr>
        <w:t xml:space="preserve"> M, </w:t>
      </w:r>
      <w:r w:rsidR="005A3BB5" w:rsidRPr="000152BA">
        <w:rPr>
          <w:i/>
          <w:iCs/>
          <w:sz w:val="20"/>
          <w:szCs w:val="20"/>
        </w:rPr>
        <w:t>et al.</w:t>
      </w:r>
      <w:r w:rsidR="006D3A53" w:rsidRPr="000152BA">
        <w:rPr>
          <w:sz w:val="20"/>
          <w:szCs w:val="20"/>
        </w:rPr>
        <w:t>: The updated EAU guidelines on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muscle-invasive and metastatic bladder cancer. </w:t>
      </w:r>
      <w:proofErr w:type="spellStart"/>
      <w:r w:rsidR="006D3A53" w:rsidRPr="000152BA">
        <w:rPr>
          <w:sz w:val="20"/>
          <w:szCs w:val="20"/>
        </w:rPr>
        <w:t>Eur</w:t>
      </w:r>
      <w:proofErr w:type="spellEnd"/>
      <w:r w:rsidR="006D3A53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Urol</w:t>
      </w:r>
      <w:proofErr w:type="spellEnd"/>
      <w:r w:rsidR="006D3A53" w:rsidRPr="000152BA">
        <w:rPr>
          <w:sz w:val="20"/>
          <w:szCs w:val="20"/>
        </w:rPr>
        <w:t xml:space="preserve"> 55:815-825-2009</w:t>
      </w:r>
      <w:r w:rsidR="003420F8" w:rsidRPr="000152BA">
        <w:rPr>
          <w:sz w:val="20"/>
          <w:szCs w:val="20"/>
        </w:rPr>
        <w:t>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152BA">
        <w:rPr>
          <w:sz w:val="20"/>
          <w:szCs w:val="20"/>
        </w:rPr>
        <w:t>K</w:t>
      </w:r>
      <w:r w:rsidR="006D3A53" w:rsidRPr="000152BA">
        <w:rPr>
          <w:sz w:val="20"/>
          <w:szCs w:val="20"/>
        </w:rPr>
        <w:t>otwal</w:t>
      </w:r>
      <w:proofErr w:type="spellEnd"/>
      <w:r w:rsidR="006D3A53" w:rsidRPr="000152BA">
        <w:rPr>
          <w:sz w:val="20"/>
          <w:szCs w:val="20"/>
        </w:rPr>
        <w:t xml:space="preserve"> S, </w:t>
      </w:r>
      <w:proofErr w:type="spellStart"/>
      <w:r w:rsidR="006D3A53" w:rsidRPr="000152BA">
        <w:rPr>
          <w:sz w:val="20"/>
          <w:szCs w:val="20"/>
        </w:rPr>
        <w:t>Choudhury</w:t>
      </w:r>
      <w:proofErr w:type="spellEnd"/>
      <w:r w:rsidR="006D3A53" w:rsidRPr="000152BA">
        <w:rPr>
          <w:sz w:val="20"/>
          <w:szCs w:val="20"/>
        </w:rPr>
        <w:t xml:space="preserve"> A, Johnston C, </w:t>
      </w:r>
      <w:r w:rsidR="005A3BB5" w:rsidRPr="000152BA">
        <w:rPr>
          <w:i/>
          <w:iCs/>
          <w:sz w:val="20"/>
          <w:szCs w:val="20"/>
        </w:rPr>
        <w:t>et al.</w:t>
      </w:r>
      <w:r w:rsidR="006D3A53" w:rsidRPr="000152BA">
        <w:rPr>
          <w:sz w:val="20"/>
          <w:szCs w:val="20"/>
        </w:rPr>
        <w:t>: Similar treatment outcomes for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radical </w:t>
      </w:r>
      <w:proofErr w:type="spellStart"/>
      <w:r w:rsidR="006D3A53" w:rsidRPr="000152BA">
        <w:rPr>
          <w:sz w:val="20"/>
          <w:szCs w:val="20"/>
        </w:rPr>
        <w:t>cystectomy</w:t>
      </w:r>
      <w:proofErr w:type="spellEnd"/>
      <w:r w:rsidR="006D3A53" w:rsidRPr="000152BA">
        <w:rPr>
          <w:sz w:val="20"/>
          <w:szCs w:val="20"/>
        </w:rPr>
        <w:t xml:space="preserve"> and radical radiotherapy in invasive bladder cancer treated at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a United Kingdom specialist treatment center. </w:t>
      </w:r>
      <w:proofErr w:type="spellStart"/>
      <w:r w:rsidR="006D3A53" w:rsidRPr="000152BA">
        <w:rPr>
          <w:sz w:val="20"/>
          <w:szCs w:val="20"/>
        </w:rPr>
        <w:t>Int</w:t>
      </w:r>
      <w:proofErr w:type="spellEnd"/>
      <w:r w:rsidR="006D3A53" w:rsidRPr="000152BA">
        <w:rPr>
          <w:sz w:val="20"/>
          <w:szCs w:val="20"/>
        </w:rPr>
        <w:t xml:space="preserve"> J </w:t>
      </w:r>
      <w:proofErr w:type="spellStart"/>
      <w:r w:rsidR="006D3A53" w:rsidRPr="000152BA">
        <w:rPr>
          <w:sz w:val="20"/>
          <w:szCs w:val="20"/>
        </w:rPr>
        <w:t>Radiat</w:t>
      </w:r>
      <w:proofErr w:type="spellEnd"/>
      <w:r w:rsidR="006D3A53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Oncol</w:t>
      </w:r>
      <w:proofErr w:type="spellEnd"/>
      <w:r w:rsidR="006D3A53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Biol</w:t>
      </w:r>
      <w:proofErr w:type="spellEnd"/>
      <w:r w:rsidR="006D3A53" w:rsidRPr="000152BA">
        <w:rPr>
          <w:sz w:val="20"/>
          <w:szCs w:val="20"/>
        </w:rPr>
        <w:t xml:space="preserve"> Phys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70:456-463,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2008</w:t>
      </w:r>
      <w:r w:rsidR="003420F8" w:rsidRPr="000152BA">
        <w:rPr>
          <w:sz w:val="20"/>
          <w:szCs w:val="20"/>
        </w:rPr>
        <w:t>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52BA">
        <w:rPr>
          <w:sz w:val="20"/>
          <w:szCs w:val="20"/>
        </w:rPr>
        <w:t>K</w:t>
      </w:r>
      <w:r w:rsidR="006D3A53" w:rsidRPr="000152BA">
        <w:rPr>
          <w:sz w:val="20"/>
          <w:szCs w:val="20"/>
        </w:rPr>
        <w:t>aufman DS, Shipley WU, Feldman AS: Bladder cancer. Lancet 374:239-249,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2009</w:t>
      </w:r>
      <w:r w:rsidR="003420F8" w:rsidRPr="000152BA">
        <w:rPr>
          <w:sz w:val="20"/>
          <w:szCs w:val="20"/>
        </w:rPr>
        <w:t>.</w:t>
      </w:r>
    </w:p>
    <w:p w:rsidR="00AF046B" w:rsidRPr="00302EB7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152BA">
        <w:rPr>
          <w:sz w:val="20"/>
          <w:szCs w:val="20"/>
        </w:rPr>
        <w:t>V</w:t>
      </w:r>
      <w:r w:rsidR="006D3A53" w:rsidRPr="000152BA">
        <w:rPr>
          <w:sz w:val="20"/>
          <w:szCs w:val="20"/>
        </w:rPr>
        <w:t xml:space="preserve">on </w:t>
      </w:r>
      <w:proofErr w:type="spellStart"/>
      <w:r w:rsidR="006D3A53" w:rsidRPr="000152BA">
        <w:rPr>
          <w:sz w:val="20"/>
          <w:szCs w:val="20"/>
        </w:rPr>
        <w:t>der</w:t>
      </w:r>
      <w:proofErr w:type="spellEnd"/>
      <w:r w:rsidR="006D3A53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Maase</w:t>
      </w:r>
      <w:proofErr w:type="spellEnd"/>
      <w:r w:rsidR="006D3A53" w:rsidRPr="000152BA">
        <w:rPr>
          <w:sz w:val="20"/>
          <w:szCs w:val="20"/>
        </w:rPr>
        <w:t xml:space="preserve"> H, </w:t>
      </w:r>
      <w:proofErr w:type="spellStart"/>
      <w:r w:rsidR="006D3A53" w:rsidRPr="000152BA">
        <w:rPr>
          <w:sz w:val="20"/>
          <w:szCs w:val="20"/>
        </w:rPr>
        <w:t>Sengelov</w:t>
      </w:r>
      <w:proofErr w:type="spellEnd"/>
      <w:r w:rsidR="006D3A53" w:rsidRPr="000152BA">
        <w:rPr>
          <w:sz w:val="20"/>
          <w:szCs w:val="20"/>
        </w:rPr>
        <w:t xml:space="preserve"> L, Roberts J, </w:t>
      </w:r>
      <w:r w:rsidR="005A3BB5" w:rsidRPr="000152BA">
        <w:rPr>
          <w:i/>
          <w:iCs/>
          <w:sz w:val="20"/>
          <w:szCs w:val="20"/>
        </w:rPr>
        <w:t>et al.</w:t>
      </w:r>
      <w:r w:rsidR="006D3A53" w:rsidRPr="000152BA">
        <w:rPr>
          <w:sz w:val="20"/>
          <w:szCs w:val="20"/>
        </w:rPr>
        <w:t>: Long-term survival results of a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randomized trial comparing </w:t>
      </w:r>
      <w:proofErr w:type="spellStart"/>
      <w:r w:rsidR="006D3A53" w:rsidRPr="000152BA">
        <w:rPr>
          <w:sz w:val="20"/>
          <w:szCs w:val="20"/>
        </w:rPr>
        <w:t>gemcitabine</w:t>
      </w:r>
      <w:proofErr w:type="spellEnd"/>
      <w:r w:rsidR="006D3A53" w:rsidRPr="000152BA">
        <w:rPr>
          <w:sz w:val="20"/>
          <w:szCs w:val="20"/>
        </w:rPr>
        <w:t xml:space="preserve"> plus </w:t>
      </w:r>
      <w:proofErr w:type="spellStart"/>
      <w:r w:rsidR="006D3A53" w:rsidRPr="000152BA">
        <w:rPr>
          <w:sz w:val="20"/>
          <w:szCs w:val="20"/>
        </w:rPr>
        <w:t>cisplatin</w:t>
      </w:r>
      <w:proofErr w:type="spellEnd"/>
      <w:r w:rsidR="006D3A53" w:rsidRPr="000152BA">
        <w:rPr>
          <w:sz w:val="20"/>
          <w:szCs w:val="20"/>
        </w:rPr>
        <w:t xml:space="preserve">, with </w:t>
      </w:r>
      <w:proofErr w:type="spellStart"/>
      <w:r w:rsidR="006D3A53" w:rsidRPr="000152BA">
        <w:rPr>
          <w:sz w:val="20"/>
          <w:szCs w:val="20"/>
        </w:rPr>
        <w:t>methotrexate</w:t>
      </w:r>
      <w:proofErr w:type="spellEnd"/>
      <w:r w:rsidR="006D3A53" w:rsidRPr="000152BA">
        <w:rPr>
          <w:sz w:val="20"/>
          <w:szCs w:val="20"/>
        </w:rPr>
        <w:t>,</w:t>
      </w:r>
      <w:r w:rsidR="003420F8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vinblastine</w:t>
      </w:r>
      <w:proofErr w:type="spellEnd"/>
      <w:r w:rsidR="006D3A53" w:rsidRPr="000152BA">
        <w:rPr>
          <w:sz w:val="20"/>
          <w:szCs w:val="20"/>
        </w:rPr>
        <w:t xml:space="preserve">, doxorubicin, plus </w:t>
      </w:r>
      <w:proofErr w:type="spellStart"/>
      <w:r w:rsidR="006D3A53" w:rsidRPr="000152BA">
        <w:rPr>
          <w:sz w:val="20"/>
          <w:szCs w:val="20"/>
        </w:rPr>
        <w:t>cisplatin</w:t>
      </w:r>
      <w:proofErr w:type="spellEnd"/>
      <w:r w:rsidR="006D3A53" w:rsidRPr="000152BA">
        <w:rPr>
          <w:sz w:val="20"/>
          <w:szCs w:val="20"/>
        </w:rPr>
        <w:t xml:space="preserve"> in</w:t>
      </w:r>
      <w:r w:rsidR="006D3A53" w:rsidRPr="00302EB7">
        <w:rPr>
          <w:color w:val="000000"/>
          <w:sz w:val="20"/>
          <w:szCs w:val="20"/>
        </w:rPr>
        <w:t xml:space="preserve"> patients with bladder cancer. J </w:t>
      </w:r>
      <w:proofErr w:type="spellStart"/>
      <w:r w:rsidR="006D3A53" w:rsidRPr="00302EB7">
        <w:rPr>
          <w:color w:val="000000"/>
          <w:sz w:val="20"/>
          <w:szCs w:val="20"/>
        </w:rPr>
        <w:t>Clin</w:t>
      </w:r>
      <w:proofErr w:type="spellEnd"/>
      <w:r w:rsidR="003420F8" w:rsidRPr="00302EB7">
        <w:rPr>
          <w:color w:val="000000"/>
          <w:sz w:val="20"/>
          <w:szCs w:val="20"/>
        </w:rPr>
        <w:t xml:space="preserve"> </w:t>
      </w:r>
      <w:proofErr w:type="spellStart"/>
      <w:r w:rsidR="006D3A53" w:rsidRPr="00302EB7">
        <w:rPr>
          <w:color w:val="000000"/>
          <w:sz w:val="20"/>
          <w:szCs w:val="20"/>
        </w:rPr>
        <w:t>Oncol</w:t>
      </w:r>
      <w:proofErr w:type="spellEnd"/>
      <w:r w:rsidR="006D3A53" w:rsidRPr="00302EB7">
        <w:rPr>
          <w:color w:val="000000"/>
          <w:sz w:val="20"/>
          <w:szCs w:val="20"/>
        </w:rPr>
        <w:t xml:space="preserve"> 23</w:t>
      </w:r>
      <w:r w:rsidR="00365449" w:rsidRPr="00302EB7">
        <w:rPr>
          <w:color w:val="000000"/>
          <w:sz w:val="20"/>
          <w:szCs w:val="20"/>
        </w:rPr>
        <w:t>(21)</w:t>
      </w:r>
      <w:r w:rsidR="006D3A53" w:rsidRPr="00302EB7">
        <w:rPr>
          <w:color w:val="000000"/>
          <w:sz w:val="20"/>
          <w:szCs w:val="20"/>
        </w:rPr>
        <w:t>:4602- 4608, 2005</w:t>
      </w:r>
      <w:r w:rsidR="003420F8" w:rsidRPr="00302EB7">
        <w:rPr>
          <w:color w:val="000000"/>
          <w:sz w:val="20"/>
          <w:szCs w:val="20"/>
        </w:rPr>
        <w:t>.</w:t>
      </w:r>
    </w:p>
    <w:p w:rsidR="00AF046B" w:rsidRPr="00302EB7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02EB7">
        <w:rPr>
          <w:color w:val="000000"/>
          <w:sz w:val="20"/>
          <w:szCs w:val="20"/>
        </w:rPr>
        <w:t>S</w:t>
      </w:r>
      <w:r w:rsidR="006D3A53" w:rsidRPr="00302EB7">
        <w:rPr>
          <w:color w:val="000000"/>
          <w:sz w:val="20"/>
          <w:szCs w:val="20"/>
        </w:rPr>
        <w:t xml:space="preserve">auer, R., </w:t>
      </w:r>
      <w:proofErr w:type="spellStart"/>
      <w:r w:rsidR="006D3A53" w:rsidRPr="00302EB7">
        <w:rPr>
          <w:color w:val="000000"/>
          <w:sz w:val="20"/>
          <w:szCs w:val="20"/>
        </w:rPr>
        <w:t>Birkenhake</w:t>
      </w:r>
      <w:proofErr w:type="spellEnd"/>
      <w:r w:rsidR="006D3A53" w:rsidRPr="00302EB7">
        <w:rPr>
          <w:color w:val="000000"/>
          <w:sz w:val="20"/>
          <w:szCs w:val="20"/>
        </w:rPr>
        <w:t xml:space="preserve">, S., </w:t>
      </w:r>
      <w:proofErr w:type="spellStart"/>
      <w:r w:rsidR="006D3A53" w:rsidRPr="00302EB7">
        <w:rPr>
          <w:color w:val="000000"/>
          <w:sz w:val="20"/>
          <w:szCs w:val="20"/>
        </w:rPr>
        <w:t>Kühn</w:t>
      </w:r>
      <w:proofErr w:type="spellEnd"/>
      <w:r w:rsidR="006D3A53" w:rsidRPr="00302EB7">
        <w:rPr>
          <w:color w:val="000000"/>
          <w:sz w:val="20"/>
          <w:szCs w:val="20"/>
        </w:rPr>
        <w:t xml:space="preserve">, R., </w:t>
      </w:r>
      <w:proofErr w:type="spellStart"/>
      <w:r w:rsidR="006D3A53" w:rsidRPr="00302EB7">
        <w:rPr>
          <w:color w:val="000000"/>
          <w:sz w:val="20"/>
          <w:szCs w:val="20"/>
        </w:rPr>
        <w:t>Wittekind</w:t>
      </w:r>
      <w:proofErr w:type="spellEnd"/>
      <w:r w:rsidR="006D3A53" w:rsidRPr="00302EB7">
        <w:rPr>
          <w:color w:val="000000"/>
          <w:sz w:val="20"/>
          <w:szCs w:val="20"/>
        </w:rPr>
        <w:t xml:space="preserve">, C., </w:t>
      </w:r>
      <w:proofErr w:type="spellStart"/>
      <w:r w:rsidR="006D3A53" w:rsidRPr="00302EB7">
        <w:rPr>
          <w:color w:val="000000"/>
          <w:sz w:val="20"/>
          <w:szCs w:val="20"/>
        </w:rPr>
        <w:t>Schrott</w:t>
      </w:r>
      <w:proofErr w:type="spellEnd"/>
      <w:r w:rsidR="006D3A53" w:rsidRPr="00302EB7">
        <w:rPr>
          <w:color w:val="000000"/>
          <w:sz w:val="20"/>
          <w:szCs w:val="20"/>
        </w:rPr>
        <w:t xml:space="preserve">, K. M., &amp; </w:t>
      </w:r>
      <w:proofErr w:type="spellStart"/>
      <w:r w:rsidR="006D3A53" w:rsidRPr="00302EB7">
        <w:rPr>
          <w:color w:val="000000"/>
          <w:sz w:val="20"/>
          <w:szCs w:val="20"/>
        </w:rPr>
        <w:t>Martus</w:t>
      </w:r>
      <w:proofErr w:type="spellEnd"/>
      <w:r w:rsidR="006D3A53" w:rsidRPr="00302EB7">
        <w:rPr>
          <w:color w:val="000000"/>
          <w:sz w:val="20"/>
          <w:szCs w:val="20"/>
        </w:rPr>
        <w:t xml:space="preserve">, P. Efficacy of </w:t>
      </w:r>
      <w:proofErr w:type="spellStart"/>
      <w:r w:rsidR="006D3A53" w:rsidRPr="00302EB7">
        <w:rPr>
          <w:color w:val="000000"/>
          <w:sz w:val="20"/>
          <w:szCs w:val="20"/>
        </w:rPr>
        <w:t>radiochemotherapy</w:t>
      </w:r>
      <w:proofErr w:type="spellEnd"/>
      <w:r w:rsidR="006D3A53" w:rsidRPr="00302EB7">
        <w:rPr>
          <w:color w:val="000000"/>
          <w:sz w:val="20"/>
          <w:szCs w:val="20"/>
        </w:rPr>
        <w:t xml:space="preserve"> with </w:t>
      </w:r>
      <w:proofErr w:type="spellStart"/>
      <w:r w:rsidR="006D3A53" w:rsidRPr="00302EB7">
        <w:rPr>
          <w:color w:val="000000"/>
          <w:sz w:val="20"/>
          <w:szCs w:val="20"/>
        </w:rPr>
        <w:t>platin</w:t>
      </w:r>
      <w:proofErr w:type="spellEnd"/>
      <w:r w:rsidR="006D3A53" w:rsidRPr="00302EB7">
        <w:rPr>
          <w:color w:val="000000"/>
          <w:sz w:val="20"/>
          <w:szCs w:val="20"/>
        </w:rPr>
        <w:t xml:space="preserve"> derivatives compared to radiotherapy</w:t>
      </w:r>
      <w:r w:rsidR="003420F8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alone in organ-sparing treatment of bladder cancer. International Journal of</w:t>
      </w:r>
      <w:r w:rsidR="003420F8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 xml:space="preserve">Radiation Oncology* Biology* </w:t>
      </w:r>
      <w:r w:rsidR="000C3A4D" w:rsidRPr="00302EB7">
        <w:rPr>
          <w:color w:val="000000"/>
          <w:sz w:val="20"/>
          <w:szCs w:val="20"/>
        </w:rPr>
        <w:t>P</w:t>
      </w:r>
      <w:r w:rsidR="006D3A53" w:rsidRPr="00302EB7">
        <w:rPr>
          <w:color w:val="000000"/>
          <w:sz w:val="20"/>
          <w:szCs w:val="20"/>
        </w:rPr>
        <w:t>hysics, 40(1), 121-127</w:t>
      </w:r>
      <w:r w:rsidR="003420F8" w:rsidRPr="00302EB7">
        <w:rPr>
          <w:color w:val="000000"/>
          <w:sz w:val="20"/>
          <w:szCs w:val="20"/>
        </w:rPr>
        <w:t>, 1998.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302EB7">
        <w:rPr>
          <w:color w:val="000000"/>
          <w:sz w:val="20"/>
          <w:szCs w:val="20"/>
        </w:rPr>
        <w:t>K</w:t>
      </w:r>
      <w:r w:rsidR="006D3A53" w:rsidRPr="00302EB7">
        <w:rPr>
          <w:color w:val="000000"/>
          <w:sz w:val="20"/>
          <w:szCs w:val="20"/>
        </w:rPr>
        <w:t>aba</w:t>
      </w:r>
      <w:proofErr w:type="spellEnd"/>
      <w:r w:rsidR="006D3A53" w:rsidRPr="00302EB7">
        <w:rPr>
          <w:color w:val="000000"/>
          <w:sz w:val="20"/>
          <w:szCs w:val="20"/>
        </w:rPr>
        <w:t xml:space="preserve"> H, Fukuda H, Yamamoto S, </w:t>
      </w:r>
      <w:proofErr w:type="spellStart"/>
      <w:r w:rsidR="006D3A53" w:rsidRPr="00302EB7">
        <w:rPr>
          <w:color w:val="000000"/>
          <w:sz w:val="20"/>
          <w:szCs w:val="20"/>
        </w:rPr>
        <w:t>Ohashi</w:t>
      </w:r>
      <w:proofErr w:type="spellEnd"/>
      <w:r w:rsidR="006D3A53" w:rsidRPr="00302EB7">
        <w:rPr>
          <w:color w:val="000000"/>
          <w:sz w:val="20"/>
          <w:szCs w:val="20"/>
        </w:rPr>
        <w:t xml:space="preserve"> Y. Reliability at the National Cancer</w:t>
      </w:r>
      <w:r w:rsidR="003420F8" w:rsidRPr="00302EB7">
        <w:rPr>
          <w:color w:val="000000"/>
          <w:sz w:val="20"/>
          <w:szCs w:val="20"/>
        </w:rPr>
        <w:t xml:space="preserve"> </w:t>
      </w:r>
      <w:r w:rsidR="006D3A53" w:rsidRPr="00302EB7">
        <w:rPr>
          <w:color w:val="000000"/>
          <w:sz w:val="20"/>
          <w:szCs w:val="20"/>
        </w:rPr>
        <w:t>Institute-</w:t>
      </w:r>
      <w:r w:rsidR="006D3A53" w:rsidRPr="000152BA">
        <w:rPr>
          <w:sz w:val="20"/>
          <w:szCs w:val="20"/>
        </w:rPr>
        <w:t xml:space="preserve">Common Toxicity Criteria version 2.0. </w:t>
      </w:r>
      <w:proofErr w:type="spellStart"/>
      <w:r w:rsidR="006D3A53" w:rsidRPr="000152BA">
        <w:rPr>
          <w:sz w:val="20"/>
          <w:szCs w:val="20"/>
        </w:rPr>
        <w:t>Gan</w:t>
      </w:r>
      <w:proofErr w:type="spellEnd"/>
      <w:r w:rsidR="006D3A53" w:rsidRPr="000152BA">
        <w:rPr>
          <w:sz w:val="20"/>
          <w:szCs w:val="20"/>
        </w:rPr>
        <w:t xml:space="preserve"> To Kagaku </w:t>
      </w:r>
      <w:proofErr w:type="spellStart"/>
      <w:r w:rsidR="006D3A53" w:rsidRPr="000152BA">
        <w:rPr>
          <w:sz w:val="20"/>
          <w:szCs w:val="20"/>
        </w:rPr>
        <w:t>Ryoho</w:t>
      </w:r>
      <w:proofErr w:type="spellEnd"/>
      <w:r w:rsidR="006D3A53" w:rsidRPr="000152BA">
        <w:rPr>
          <w:sz w:val="20"/>
          <w:szCs w:val="20"/>
        </w:rPr>
        <w:t xml:space="preserve"> 31: 1187-92. 2004.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152BA">
        <w:rPr>
          <w:sz w:val="20"/>
          <w:szCs w:val="20"/>
        </w:rPr>
        <w:t>Y</w:t>
      </w:r>
      <w:r w:rsidR="006D3A53" w:rsidRPr="000152BA">
        <w:rPr>
          <w:sz w:val="20"/>
          <w:szCs w:val="20"/>
        </w:rPr>
        <w:t>ildirim</w:t>
      </w:r>
      <w:proofErr w:type="spellEnd"/>
      <w:r w:rsidR="006D3A53" w:rsidRPr="000152BA">
        <w:rPr>
          <w:sz w:val="20"/>
          <w:szCs w:val="20"/>
        </w:rPr>
        <w:t xml:space="preserve"> G, </w:t>
      </w:r>
      <w:proofErr w:type="spellStart"/>
      <w:r w:rsidR="006D3A53" w:rsidRPr="000152BA">
        <w:rPr>
          <w:sz w:val="20"/>
          <w:szCs w:val="20"/>
        </w:rPr>
        <w:t>Ozsaran</w:t>
      </w:r>
      <w:proofErr w:type="spellEnd"/>
      <w:r w:rsidR="006D3A53" w:rsidRPr="000152BA">
        <w:rPr>
          <w:sz w:val="20"/>
          <w:szCs w:val="20"/>
        </w:rPr>
        <w:t xml:space="preserve"> Z, </w:t>
      </w:r>
      <w:proofErr w:type="spellStart"/>
      <w:r w:rsidR="006D3A53" w:rsidRPr="000152BA">
        <w:rPr>
          <w:sz w:val="20"/>
          <w:szCs w:val="20"/>
        </w:rPr>
        <w:t>Yalman</w:t>
      </w:r>
      <w:proofErr w:type="spellEnd"/>
      <w:r w:rsidR="006D3A53" w:rsidRPr="000152BA">
        <w:rPr>
          <w:sz w:val="20"/>
          <w:szCs w:val="20"/>
        </w:rPr>
        <w:t xml:space="preserve"> D, </w:t>
      </w:r>
      <w:proofErr w:type="spellStart"/>
      <w:r w:rsidR="006D3A53" w:rsidRPr="000152BA">
        <w:rPr>
          <w:sz w:val="20"/>
          <w:szCs w:val="20"/>
        </w:rPr>
        <w:t>Kamer</w:t>
      </w:r>
      <w:proofErr w:type="spellEnd"/>
      <w:r w:rsidR="006D3A53" w:rsidRPr="000152BA">
        <w:rPr>
          <w:sz w:val="20"/>
          <w:szCs w:val="20"/>
        </w:rPr>
        <w:t xml:space="preserve"> S, Aras A. Evaluation of acute and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late radiation </w:t>
      </w:r>
      <w:r w:rsidR="006D3A53" w:rsidRPr="000152BA">
        <w:rPr>
          <w:sz w:val="20"/>
          <w:szCs w:val="20"/>
        </w:rPr>
        <w:lastRenderedPageBreak/>
        <w:t xml:space="preserve">morbidity in patients with </w:t>
      </w:r>
      <w:proofErr w:type="spellStart"/>
      <w:r w:rsidR="006D3A53" w:rsidRPr="000152BA">
        <w:rPr>
          <w:sz w:val="20"/>
          <w:szCs w:val="20"/>
        </w:rPr>
        <w:t>gynaecologic</w:t>
      </w:r>
      <w:proofErr w:type="spellEnd"/>
      <w:r w:rsidR="006D3A53" w:rsidRPr="000152BA">
        <w:rPr>
          <w:sz w:val="20"/>
          <w:szCs w:val="20"/>
        </w:rPr>
        <w:t xml:space="preserve"> malignancy using the RTOG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criteria and Franco-Italian glossary. </w:t>
      </w:r>
      <w:proofErr w:type="spellStart"/>
      <w:r w:rsidR="006D3A53" w:rsidRPr="000152BA">
        <w:rPr>
          <w:sz w:val="20"/>
          <w:szCs w:val="20"/>
        </w:rPr>
        <w:t>Eur</w:t>
      </w:r>
      <w:proofErr w:type="spellEnd"/>
      <w:r w:rsidR="006D3A53" w:rsidRPr="000152BA">
        <w:rPr>
          <w:sz w:val="20"/>
          <w:szCs w:val="20"/>
        </w:rPr>
        <w:t xml:space="preserve"> J </w:t>
      </w:r>
      <w:proofErr w:type="spellStart"/>
      <w:r w:rsidR="006D3A53" w:rsidRPr="000152BA">
        <w:rPr>
          <w:sz w:val="20"/>
          <w:szCs w:val="20"/>
        </w:rPr>
        <w:t>Gynaecol</w:t>
      </w:r>
      <w:proofErr w:type="spellEnd"/>
      <w:r w:rsidR="006D3A53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Oncol</w:t>
      </w:r>
      <w:proofErr w:type="spellEnd"/>
      <w:r w:rsidR="006D3A53" w:rsidRPr="000152BA">
        <w:rPr>
          <w:sz w:val="20"/>
          <w:szCs w:val="20"/>
        </w:rPr>
        <w:t xml:space="preserve"> 29: 154-7-2008.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52BA">
        <w:rPr>
          <w:sz w:val="20"/>
          <w:szCs w:val="20"/>
        </w:rPr>
        <w:t>P</w:t>
      </w:r>
      <w:r w:rsidR="00904071" w:rsidRPr="000152BA">
        <w:rPr>
          <w:sz w:val="20"/>
          <w:szCs w:val="20"/>
        </w:rPr>
        <w:t xml:space="preserve">atrick </w:t>
      </w:r>
      <w:proofErr w:type="spellStart"/>
      <w:r w:rsidR="00904071" w:rsidRPr="000152BA">
        <w:rPr>
          <w:sz w:val="20"/>
          <w:szCs w:val="20"/>
        </w:rPr>
        <w:t>t.,Susan</w:t>
      </w:r>
      <w:proofErr w:type="spellEnd"/>
      <w:r w:rsidR="00904071" w:rsidRPr="000152BA">
        <w:rPr>
          <w:sz w:val="20"/>
          <w:szCs w:val="20"/>
        </w:rPr>
        <w:t xml:space="preserve"> G.,</w:t>
      </w:r>
      <w:r w:rsidR="005A3BB5" w:rsidRPr="000152BA">
        <w:rPr>
          <w:i/>
          <w:iCs/>
          <w:sz w:val="20"/>
          <w:szCs w:val="20"/>
        </w:rPr>
        <w:t xml:space="preserve"> et al.</w:t>
      </w:r>
      <w:r w:rsidR="00904071" w:rsidRPr="000152BA">
        <w:rPr>
          <w:sz w:val="20"/>
          <w:szCs w:val="20"/>
        </w:rPr>
        <w:t xml:space="preserve"> NEW guidelines to evaluate response to t treatment of solid tumors.</w:t>
      </w:r>
      <w:r w:rsidR="003420F8" w:rsidRPr="000152BA">
        <w:rPr>
          <w:sz w:val="20"/>
          <w:szCs w:val="20"/>
        </w:rPr>
        <w:t xml:space="preserve"> </w:t>
      </w:r>
      <w:r w:rsidR="00904071" w:rsidRPr="000152BA">
        <w:rPr>
          <w:sz w:val="20"/>
          <w:szCs w:val="20"/>
        </w:rPr>
        <w:t>J</w:t>
      </w:r>
      <w:r w:rsidR="003420F8" w:rsidRPr="000152BA">
        <w:rPr>
          <w:sz w:val="20"/>
          <w:szCs w:val="20"/>
        </w:rPr>
        <w:t xml:space="preserve"> </w:t>
      </w:r>
      <w:proofErr w:type="spellStart"/>
      <w:r w:rsidR="00904071" w:rsidRPr="000152BA">
        <w:rPr>
          <w:sz w:val="20"/>
          <w:szCs w:val="20"/>
        </w:rPr>
        <w:t>Nati</w:t>
      </w:r>
      <w:proofErr w:type="spellEnd"/>
      <w:r w:rsidR="00904071" w:rsidRPr="000152BA">
        <w:rPr>
          <w:sz w:val="20"/>
          <w:szCs w:val="20"/>
        </w:rPr>
        <w:t xml:space="preserve"> Cancer </w:t>
      </w:r>
      <w:proofErr w:type="spellStart"/>
      <w:r w:rsidR="00904071" w:rsidRPr="000152BA">
        <w:rPr>
          <w:sz w:val="20"/>
          <w:szCs w:val="20"/>
        </w:rPr>
        <w:t>Int</w:t>
      </w:r>
      <w:proofErr w:type="spellEnd"/>
      <w:r w:rsidR="00904071" w:rsidRPr="000152BA">
        <w:rPr>
          <w:sz w:val="20"/>
          <w:szCs w:val="20"/>
        </w:rPr>
        <w:t xml:space="preserve"> 92:206-16,</w:t>
      </w:r>
      <w:r w:rsidR="003420F8" w:rsidRPr="000152BA">
        <w:rPr>
          <w:sz w:val="20"/>
          <w:szCs w:val="20"/>
        </w:rPr>
        <w:t xml:space="preserve"> </w:t>
      </w:r>
      <w:r w:rsidR="00904071" w:rsidRPr="000152BA">
        <w:rPr>
          <w:sz w:val="20"/>
          <w:szCs w:val="20"/>
        </w:rPr>
        <w:t>2000.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52BA">
        <w:rPr>
          <w:sz w:val="20"/>
          <w:szCs w:val="20"/>
        </w:rPr>
        <w:t>T</w:t>
      </w:r>
      <w:r w:rsidR="00542202" w:rsidRPr="000152BA">
        <w:rPr>
          <w:sz w:val="20"/>
          <w:szCs w:val="20"/>
        </w:rPr>
        <w:t xml:space="preserve">ester W, Porter A, </w:t>
      </w:r>
      <w:proofErr w:type="spellStart"/>
      <w:r w:rsidR="00542202" w:rsidRPr="000152BA">
        <w:rPr>
          <w:sz w:val="20"/>
          <w:szCs w:val="20"/>
        </w:rPr>
        <w:t>Asbell</w:t>
      </w:r>
      <w:proofErr w:type="spellEnd"/>
      <w:r w:rsidR="00542202" w:rsidRPr="000152BA">
        <w:rPr>
          <w:sz w:val="20"/>
          <w:szCs w:val="20"/>
        </w:rPr>
        <w:t xml:space="preserve"> S, Coughlin C, Heaney J, </w:t>
      </w:r>
      <w:proofErr w:type="spellStart"/>
      <w:r w:rsidR="00542202" w:rsidRPr="000152BA">
        <w:rPr>
          <w:sz w:val="20"/>
          <w:szCs w:val="20"/>
        </w:rPr>
        <w:t>Krall</w:t>
      </w:r>
      <w:proofErr w:type="spellEnd"/>
      <w:r w:rsidR="00542202" w:rsidRPr="000152BA">
        <w:rPr>
          <w:sz w:val="20"/>
          <w:szCs w:val="20"/>
        </w:rPr>
        <w:t xml:space="preserve"> J, </w:t>
      </w:r>
      <w:r w:rsidR="005A3BB5" w:rsidRPr="000152BA">
        <w:rPr>
          <w:i/>
          <w:iCs/>
          <w:sz w:val="20"/>
          <w:szCs w:val="20"/>
        </w:rPr>
        <w:t>et al.</w:t>
      </w:r>
      <w:r w:rsidR="00542202" w:rsidRPr="000152BA">
        <w:rPr>
          <w:sz w:val="20"/>
          <w:szCs w:val="20"/>
        </w:rPr>
        <w:t xml:space="preserve"> Combined</w:t>
      </w:r>
      <w:r w:rsidR="003420F8" w:rsidRPr="000152BA">
        <w:rPr>
          <w:sz w:val="20"/>
          <w:szCs w:val="20"/>
        </w:rPr>
        <w:t xml:space="preserve"> </w:t>
      </w:r>
      <w:r w:rsidR="00542202" w:rsidRPr="000152BA">
        <w:rPr>
          <w:sz w:val="20"/>
          <w:szCs w:val="20"/>
        </w:rPr>
        <w:t>modality program with possible organ preservation for invasive bladder</w:t>
      </w:r>
      <w:r w:rsidR="003420F8" w:rsidRPr="000152BA">
        <w:rPr>
          <w:sz w:val="20"/>
          <w:szCs w:val="20"/>
        </w:rPr>
        <w:t xml:space="preserve"> </w:t>
      </w:r>
      <w:r w:rsidR="00542202" w:rsidRPr="000152BA">
        <w:rPr>
          <w:sz w:val="20"/>
          <w:szCs w:val="20"/>
        </w:rPr>
        <w:t xml:space="preserve">carcinoma: results of RTOG protocol 85-12. </w:t>
      </w:r>
      <w:proofErr w:type="spellStart"/>
      <w:r w:rsidR="00542202" w:rsidRPr="000152BA">
        <w:rPr>
          <w:sz w:val="20"/>
          <w:szCs w:val="20"/>
        </w:rPr>
        <w:t>Int</w:t>
      </w:r>
      <w:proofErr w:type="spellEnd"/>
      <w:r w:rsidR="00542202" w:rsidRPr="000152BA">
        <w:rPr>
          <w:sz w:val="20"/>
          <w:szCs w:val="20"/>
        </w:rPr>
        <w:t xml:space="preserve"> J </w:t>
      </w:r>
      <w:proofErr w:type="spellStart"/>
      <w:r w:rsidR="00542202" w:rsidRPr="000152BA">
        <w:rPr>
          <w:sz w:val="20"/>
          <w:szCs w:val="20"/>
        </w:rPr>
        <w:t>Radiat</w:t>
      </w:r>
      <w:proofErr w:type="spellEnd"/>
      <w:r w:rsidR="00542202" w:rsidRPr="000152BA">
        <w:rPr>
          <w:sz w:val="20"/>
          <w:szCs w:val="20"/>
        </w:rPr>
        <w:t xml:space="preserve"> </w:t>
      </w:r>
      <w:proofErr w:type="spellStart"/>
      <w:r w:rsidR="00542202" w:rsidRPr="000152BA">
        <w:rPr>
          <w:sz w:val="20"/>
          <w:szCs w:val="20"/>
        </w:rPr>
        <w:t>Oncol</w:t>
      </w:r>
      <w:proofErr w:type="spellEnd"/>
      <w:r w:rsidR="00542202" w:rsidRPr="000152BA">
        <w:rPr>
          <w:sz w:val="20"/>
          <w:szCs w:val="20"/>
        </w:rPr>
        <w:t xml:space="preserve"> </w:t>
      </w:r>
      <w:proofErr w:type="spellStart"/>
      <w:r w:rsidR="00542202" w:rsidRPr="000152BA">
        <w:rPr>
          <w:sz w:val="20"/>
          <w:szCs w:val="20"/>
        </w:rPr>
        <w:t>Biol</w:t>
      </w:r>
      <w:proofErr w:type="spellEnd"/>
      <w:r w:rsidR="00542202" w:rsidRPr="000152BA">
        <w:rPr>
          <w:sz w:val="20"/>
          <w:szCs w:val="20"/>
        </w:rPr>
        <w:t xml:space="preserve"> Phys 1993;</w:t>
      </w:r>
      <w:r w:rsidR="003420F8" w:rsidRPr="000152BA">
        <w:rPr>
          <w:sz w:val="20"/>
          <w:szCs w:val="20"/>
        </w:rPr>
        <w:t xml:space="preserve"> </w:t>
      </w:r>
      <w:r w:rsidR="00542202" w:rsidRPr="000152BA">
        <w:rPr>
          <w:sz w:val="20"/>
          <w:szCs w:val="20"/>
        </w:rPr>
        <w:t>25: 783-90.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52BA">
        <w:rPr>
          <w:sz w:val="20"/>
          <w:szCs w:val="20"/>
        </w:rPr>
        <w:t>L</w:t>
      </w:r>
      <w:r w:rsidR="0098117D" w:rsidRPr="000152BA">
        <w:rPr>
          <w:sz w:val="20"/>
          <w:szCs w:val="20"/>
        </w:rPr>
        <w:t xml:space="preserve">in CC, Hsu CH, Cheng JC, Huang CY, Tsai YC, Hsu FM, </w:t>
      </w:r>
      <w:r w:rsidR="005A3BB5" w:rsidRPr="000152BA">
        <w:rPr>
          <w:i/>
          <w:iCs/>
          <w:sz w:val="20"/>
          <w:szCs w:val="20"/>
        </w:rPr>
        <w:t>et al.</w:t>
      </w:r>
      <w:r w:rsidR="0098117D" w:rsidRPr="000152BA">
        <w:rPr>
          <w:sz w:val="20"/>
          <w:szCs w:val="20"/>
        </w:rPr>
        <w:t xml:space="preserve"> Induction</w:t>
      </w:r>
      <w:r w:rsidR="003420F8" w:rsidRPr="000152BA">
        <w:rPr>
          <w:sz w:val="20"/>
          <w:szCs w:val="20"/>
        </w:rPr>
        <w:t xml:space="preserve"> </w:t>
      </w:r>
      <w:proofErr w:type="spellStart"/>
      <w:r w:rsidR="0098117D" w:rsidRPr="000152BA">
        <w:rPr>
          <w:sz w:val="20"/>
          <w:szCs w:val="20"/>
        </w:rPr>
        <w:t>cisplatin</w:t>
      </w:r>
      <w:proofErr w:type="spellEnd"/>
      <w:r w:rsidR="0098117D" w:rsidRPr="000152BA">
        <w:rPr>
          <w:sz w:val="20"/>
          <w:szCs w:val="20"/>
        </w:rPr>
        <w:t xml:space="preserve"> and fluorouracil-based chemotherapy followed by concurrent</w:t>
      </w:r>
      <w:r w:rsidR="003420F8" w:rsidRPr="000152BA">
        <w:rPr>
          <w:sz w:val="20"/>
          <w:szCs w:val="20"/>
        </w:rPr>
        <w:t xml:space="preserve"> </w:t>
      </w:r>
      <w:proofErr w:type="spellStart"/>
      <w:r w:rsidR="0098117D" w:rsidRPr="000152BA">
        <w:rPr>
          <w:sz w:val="20"/>
          <w:szCs w:val="20"/>
        </w:rPr>
        <w:t>chemoradiation</w:t>
      </w:r>
      <w:proofErr w:type="spellEnd"/>
      <w:r w:rsidR="0098117D" w:rsidRPr="000152BA">
        <w:rPr>
          <w:sz w:val="20"/>
          <w:szCs w:val="20"/>
        </w:rPr>
        <w:t xml:space="preserve"> for muscle-invasive bladder cancer. </w:t>
      </w:r>
      <w:proofErr w:type="spellStart"/>
      <w:r w:rsidR="0098117D" w:rsidRPr="000152BA">
        <w:rPr>
          <w:sz w:val="20"/>
          <w:szCs w:val="20"/>
        </w:rPr>
        <w:t>Int</w:t>
      </w:r>
      <w:proofErr w:type="spellEnd"/>
      <w:r w:rsidR="0098117D" w:rsidRPr="000152BA">
        <w:rPr>
          <w:sz w:val="20"/>
          <w:szCs w:val="20"/>
        </w:rPr>
        <w:t xml:space="preserve"> J </w:t>
      </w:r>
      <w:proofErr w:type="spellStart"/>
      <w:r w:rsidR="0098117D" w:rsidRPr="000152BA">
        <w:rPr>
          <w:sz w:val="20"/>
          <w:szCs w:val="20"/>
        </w:rPr>
        <w:t>Radiat</w:t>
      </w:r>
      <w:proofErr w:type="spellEnd"/>
      <w:r w:rsidR="0098117D" w:rsidRPr="000152BA">
        <w:rPr>
          <w:sz w:val="20"/>
          <w:szCs w:val="20"/>
        </w:rPr>
        <w:t xml:space="preserve"> </w:t>
      </w:r>
      <w:proofErr w:type="spellStart"/>
      <w:r w:rsidR="0098117D" w:rsidRPr="000152BA">
        <w:rPr>
          <w:sz w:val="20"/>
          <w:szCs w:val="20"/>
        </w:rPr>
        <w:t>Oncol</w:t>
      </w:r>
      <w:proofErr w:type="spellEnd"/>
      <w:r w:rsidR="0098117D" w:rsidRPr="000152BA">
        <w:rPr>
          <w:sz w:val="20"/>
          <w:szCs w:val="20"/>
        </w:rPr>
        <w:t xml:space="preserve"> </w:t>
      </w:r>
      <w:proofErr w:type="spellStart"/>
      <w:r w:rsidR="0098117D" w:rsidRPr="000152BA">
        <w:rPr>
          <w:sz w:val="20"/>
          <w:szCs w:val="20"/>
        </w:rPr>
        <w:t>Biol</w:t>
      </w:r>
      <w:proofErr w:type="spellEnd"/>
      <w:r w:rsidR="003420F8" w:rsidRPr="000152BA">
        <w:rPr>
          <w:sz w:val="20"/>
          <w:szCs w:val="20"/>
        </w:rPr>
        <w:t xml:space="preserve"> </w:t>
      </w:r>
      <w:r w:rsidR="0098117D" w:rsidRPr="000152BA">
        <w:rPr>
          <w:sz w:val="20"/>
          <w:szCs w:val="20"/>
        </w:rPr>
        <w:t>Phys 2009; 75: 442-8.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52BA">
        <w:rPr>
          <w:sz w:val="20"/>
          <w:szCs w:val="20"/>
        </w:rPr>
        <w:t>K</w:t>
      </w:r>
      <w:r w:rsidR="00F564C4" w:rsidRPr="000152BA">
        <w:rPr>
          <w:sz w:val="20"/>
          <w:szCs w:val="20"/>
        </w:rPr>
        <w:t xml:space="preserve">aufman DS, Shipley WU, Griffin PP, </w:t>
      </w:r>
      <w:proofErr w:type="spellStart"/>
      <w:r w:rsidR="00F564C4" w:rsidRPr="000152BA">
        <w:rPr>
          <w:sz w:val="20"/>
          <w:szCs w:val="20"/>
        </w:rPr>
        <w:t>Heney</w:t>
      </w:r>
      <w:proofErr w:type="spellEnd"/>
      <w:r w:rsidR="00F564C4" w:rsidRPr="000152BA">
        <w:rPr>
          <w:sz w:val="20"/>
          <w:szCs w:val="20"/>
        </w:rPr>
        <w:t xml:space="preserve"> NM, </w:t>
      </w:r>
      <w:proofErr w:type="spellStart"/>
      <w:r w:rsidR="00F564C4" w:rsidRPr="000152BA">
        <w:rPr>
          <w:sz w:val="20"/>
          <w:szCs w:val="20"/>
        </w:rPr>
        <w:t>Althausen</w:t>
      </w:r>
      <w:proofErr w:type="spellEnd"/>
      <w:r w:rsidR="00F564C4" w:rsidRPr="000152BA">
        <w:rPr>
          <w:sz w:val="20"/>
          <w:szCs w:val="20"/>
        </w:rPr>
        <w:t xml:space="preserve"> AF, </w:t>
      </w:r>
      <w:proofErr w:type="spellStart"/>
      <w:r w:rsidR="00F564C4" w:rsidRPr="000152BA">
        <w:rPr>
          <w:sz w:val="20"/>
          <w:szCs w:val="20"/>
        </w:rPr>
        <w:t>Efird</w:t>
      </w:r>
      <w:proofErr w:type="spellEnd"/>
      <w:r w:rsidR="00F564C4" w:rsidRPr="000152BA">
        <w:rPr>
          <w:sz w:val="20"/>
          <w:szCs w:val="20"/>
        </w:rPr>
        <w:t xml:space="preserve"> JT.</w:t>
      </w:r>
      <w:r w:rsidR="003420F8" w:rsidRPr="000152BA">
        <w:rPr>
          <w:sz w:val="20"/>
          <w:szCs w:val="20"/>
        </w:rPr>
        <w:t xml:space="preserve"> </w:t>
      </w:r>
      <w:r w:rsidR="00F564C4" w:rsidRPr="000152BA">
        <w:rPr>
          <w:sz w:val="20"/>
          <w:szCs w:val="20"/>
        </w:rPr>
        <w:t>Selective bladder preservation by combination treatment of invasive bladder</w:t>
      </w:r>
      <w:r w:rsidR="003420F8" w:rsidRPr="000152BA">
        <w:rPr>
          <w:sz w:val="20"/>
          <w:szCs w:val="20"/>
        </w:rPr>
        <w:t xml:space="preserve"> </w:t>
      </w:r>
      <w:r w:rsidR="00F564C4" w:rsidRPr="000152BA">
        <w:rPr>
          <w:sz w:val="20"/>
          <w:szCs w:val="20"/>
        </w:rPr>
        <w:t>cancer. N Eng J Med 1993; 329</w:t>
      </w:r>
      <w:r w:rsidR="00637513" w:rsidRPr="000152BA">
        <w:rPr>
          <w:sz w:val="20"/>
          <w:szCs w:val="20"/>
        </w:rPr>
        <w:t>(19)</w:t>
      </w:r>
      <w:r w:rsidR="00F564C4" w:rsidRPr="000152BA">
        <w:rPr>
          <w:sz w:val="20"/>
          <w:szCs w:val="20"/>
        </w:rPr>
        <w:t>: 1377-82.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52BA">
        <w:rPr>
          <w:sz w:val="20"/>
          <w:szCs w:val="20"/>
        </w:rPr>
        <w:t>B</w:t>
      </w:r>
      <w:r w:rsidR="006D3A53" w:rsidRPr="000152BA">
        <w:rPr>
          <w:sz w:val="20"/>
          <w:szCs w:val="20"/>
        </w:rPr>
        <w:t xml:space="preserve">rown AL, </w:t>
      </w:r>
      <w:proofErr w:type="spellStart"/>
      <w:r w:rsidR="006D3A53" w:rsidRPr="000152BA">
        <w:rPr>
          <w:sz w:val="20"/>
          <w:szCs w:val="20"/>
        </w:rPr>
        <w:t>Zietman</w:t>
      </w:r>
      <w:proofErr w:type="spellEnd"/>
      <w:r w:rsidR="006D3A53" w:rsidRPr="000152BA">
        <w:rPr>
          <w:sz w:val="20"/>
          <w:szCs w:val="20"/>
        </w:rPr>
        <w:t xml:space="preserve"> Al, Shipley WU, </w:t>
      </w:r>
      <w:r w:rsidR="005A3BB5" w:rsidRPr="000152BA">
        <w:rPr>
          <w:i/>
          <w:iCs/>
          <w:sz w:val="20"/>
          <w:szCs w:val="20"/>
        </w:rPr>
        <w:t>et al.</w:t>
      </w:r>
      <w:r w:rsidR="006D3A53" w:rsidRPr="000152BA">
        <w:rPr>
          <w:sz w:val="20"/>
          <w:szCs w:val="20"/>
        </w:rPr>
        <w:t xml:space="preserve"> An organ preserving approach to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muscle-invading transitional cell cancer of the bladder. </w:t>
      </w:r>
      <w:proofErr w:type="spellStart"/>
      <w:r w:rsidR="006D3A53" w:rsidRPr="000152BA">
        <w:rPr>
          <w:sz w:val="20"/>
          <w:szCs w:val="20"/>
        </w:rPr>
        <w:t>Hematol</w:t>
      </w:r>
      <w:proofErr w:type="spellEnd"/>
      <w:r w:rsidR="006D3A53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Oncol</w:t>
      </w:r>
      <w:proofErr w:type="spellEnd"/>
      <w:r w:rsidR="006D3A53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Clin</w:t>
      </w:r>
      <w:proofErr w:type="spellEnd"/>
      <w:r w:rsidR="006D3A53" w:rsidRPr="000152BA">
        <w:rPr>
          <w:sz w:val="20"/>
          <w:szCs w:val="20"/>
        </w:rPr>
        <w:t xml:space="preserve"> North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Am.;15:345–358;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2004</w:t>
      </w:r>
      <w:r w:rsidR="003420F8" w:rsidRPr="000152BA">
        <w:rPr>
          <w:sz w:val="20"/>
          <w:szCs w:val="20"/>
        </w:rPr>
        <w:t>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152BA">
        <w:rPr>
          <w:sz w:val="20"/>
          <w:szCs w:val="20"/>
        </w:rPr>
        <w:lastRenderedPageBreak/>
        <w:t>M</w:t>
      </w:r>
      <w:r w:rsidR="006D57BA" w:rsidRPr="000152BA">
        <w:rPr>
          <w:sz w:val="20"/>
          <w:szCs w:val="20"/>
        </w:rPr>
        <w:t>utahir</w:t>
      </w:r>
      <w:proofErr w:type="spellEnd"/>
      <w:r w:rsidR="006D57BA" w:rsidRPr="000152BA">
        <w:rPr>
          <w:sz w:val="20"/>
          <w:szCs w:val="20"/>
        </w:rPr>
        <w:t xml:space="preserve"> Ali </w:t>
      </w:r>
      <w:proofErr w:type="spellStart"/>
      <w:r w:rsidR="006D57BA" w:rsidRPr="000152BA">
        <w:rPr>
          <w:sz w:val="20"/>
          <w:szCs w:val="20"/>
        </w:rPr>
        <w:t>Tunio</w:t>
      </w:r>
      <w:proofErr w:type="spellEnd"/>
      <w:r w:rsidR="006D57BA" w:rsidRPr="000152BA">
        <w:rPr>
          <w:sz w:val="20"/>
          <w:szCs w:val="20"/>
        </w:rPr>
        <w:t xml:space="preserve">, </w:t>
      </w:r>
      <w:proofErr w:type="spellStart"/>
      <w:r w:rsidR="006D57BA" w:rsidRPr="000152BA">
        <w:rPr>
          <w:sz w:val="20"/>
          <w:szCs w:val="20"/>
        </w:rPr>
        <w:t>Altaf</w:t>
      </w:r>
      <w:proofErr w:type="spellEnd"/>
      <w:r w:rsidR="006D57BA" w:rsidRPr="000152BA">
        <w:rPr>
          <w:sz w:val="20"/>
          <w:szCs w:val="20"/>
        </w:rPr>
        <w:t xml:space="preserve"> </w:t>
      </w:r>
      <w:proofErr w:type="spellStart"/>
      <w:r w:rsidR="006D57BA" w:rsidRPr="000152BA">
        <w:rPr>
          <w:sz w:val="20"/>
          <w:szCs w:val="20"/>
        </w:rPr>
        <w:t>Hashmi</w:t>
      </w:r>
      <w:proofErr w:type="spellEnd"/>
      <w:r w:rsidR="006D57BA" w:rsidRPr="000152BA">
        <w:rPr>
          <w:sz w:val="20"/>
          <w:szCs w:val="20"/>
        </w:rPr>
        <w:t xml:space="preserve">, </w:t>
      </w:r>
      <w:proofErr w:type="spellStart"/>
      <w:r w:rsidR="006D57BA" w:rsidRPr="000152BA">
        <w:rPr>
          <w:sz w:val="20"/>
          <w:szCs w:val="20"/>
        </w:rPr>
        <w:t>Mansoor</w:t>
      </w:r>
      <w:proofErr w:type="spellEnd"/>
      <w:r w:rsidR="006D57BA" w:rsidRPr="000152BA">
        <w:rPr>
          <w:sz w:val="20"/>
          <w:szCs w:val="20"/>
        </w:rPr>
        <w:t xml:space="preserve"> </w:t>
      </w:r>
      <w:proofErr w:type="spellStart"/>
      <w:r w:rsidR="006D57BA" w:rsidRPr="000152BA">
        <w:rPr>
          <w:sz w:val="20"/>
          <w:szCs w:val="20"/>
        </w:rPr>
        <w:t>Rafi</w:t>
      </w:r>
      <w:proofErr w:type="spellEnd"/>
      <w:r w:rsidR="006D57BA" w:rsidRPr="000152BA">
        <w:rPr>
          <w:sz w:val="20"/>
          <w:szCs w:val="20"/>
        </w:rPr>
        <w:t>,  et al.</w:t>
      </w:r>
      <w:r w:rsidR="00BF41E0">
        <w:rPr>
          <w:sz w:val="20"/>
          <w:szCs w:val="20"/>
        </w:rPr>
        <w:t xml:space="preserve"> </w:t>
      </w:r>
      <w:r w:rsidR="006D57BA" w:rsidRPr="000152BA">
        <w:rPr>
          <w:sz w:val="20"/>
          <w:szCs w:val="20"/>
        </w:rPr>
        <w:t xml:space="preserve">Bladder preservation by </w:t>
      </w:r>
      <w:proofErr w:type="spellStart"/>
      <w:r w:rsidR="006D57BA" w:rsidRPr="000152BA">
        <w:rPr>
          <w:sz w:val="20"/>
          <w:szCs w:val="20"/>
        </w:rPr>
        <w:t>neoadjuvant</w:t>
      </w:r>
      <w:proofErr w:type="spellEnd"/>
      <w:r w:rsidR="006D57BA" w:rsidRPr="000152BA">
        <w:rPr>
          <w:sz w:val="20"/>
          <w:szCs w:val="20"/>
        </w:rPr>
        <w:t xml:space="preserve"> chemotherapy followed by concurrent </w:t>
      </w:r>
      <w:proofErr w:type="spellStart"/>
      <w:r w:rsidR="006D57BA" w:rsidRPr="000152BA">
        <w:rPr>
          <w:sz w:val="20"/>
          <w:szCs w:val="20"/>
        </w:rPr>
        <w:t>chemoradiation</w:t>
      </w:r>
      <w:proofErr w:type="spellEnd"/>
      <w:r w:rsidR="006D57BA" w:rsidRPr="000152BA">
        <w:rPr>
          <w:sz w:val="20"/>
          <w:szCs w:val="20"/>
        </w:rPr>
        <w:t xml:space="preserve"> for muscle-invasive bladder cancer: Experience at </w:t>
      </w:r>
      <w:proofErr w:type="spellStart"/>
      <w:r w:rsidR="006D57BA" w:rsidRPr="000152BA">
        <w:rPr>
          <w:sz w:val="20"/>
          <w:szCs w:val="20"/>
        </w:rPr>
        <w:t>Sindh</w:t>
      </w:r>
      <w:proofErr w:type="spellEnd"/>
      <w:r w:rsidR="006D57BA" w:rsidRPr="000152BA">
        <w:rPr>
          <w:sz w:val="20"/>
          <w:szCs w:val="20"/>
        </w:rPr>
        <w:t xml:space="preserve"> Institute of Urology &amp; Transplantation (SIUT)</w:t>
      </w:r>
      <w:r w:rsidR="00D61475" w:rsidRPr="000152BA">
        <w:rPr>
          <w:sz w:val="20"/>
          <w:szCs w:val="20"/>
        </w:rPr>
        <w:t xml:space="preserve"> J Pak Med Assoc 61</w:t>
      </w:r>
      <w:r w:rsidR="00637513" w:rsidRPr="000152BA">
        <w:rPr>
          <w:sz w:val="20"/>
          <w:szCs w:val="20"/>
        </w:rPr>
        <w:t>(1)</w:t>
      </w:r>
      <w:r w:rsidR="00D61475" w:rsidRPr="000152BA">
        <w:rPr>
          <w:sz w:val="20"/>
          <w:szCs w:val="20"/>
        </w:rPr>
        <w:t>:6</w:t>
      </w:r>
      <w:r w:rsidR="00637513" w:rsidRPr="000152BA">
        <w:rPr>
          <w:sz w:val="20"/>
          <w:szCs w:val="20"/>
        </w:rPr>
        <w:t>-10</w:t>
      </w:r>
      <w:r w:rsidR="00D61475" w:rsidRPr="000152BA">
        <w:rPr>
          <w:sz w:val="20"/>
          <w:szCs w:val="20"/>
        </w:rPr>
        <w:t>; 2011.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152BA">
        <w:rPr>
          <w:sz w:val="20"/>
          <w:szCs w:val="20"/>
        </w:rPr>
        <w:t>A</w:t>
      </w:r>
      <w:r w:rsidR="00CB5799" w:rsidRPr="000152BA">
        <w:rPr>
          <w:sz w:val="20"/>
          <w:szCs w:val="20"/>
        </w:rPr>
        <w:t>nanya</w:t>
      </w:r>
      <w:proofErr w:type="spellEnd"/>
      <w:r w:rsidR="00CB5799" w:rsidRPr="000152BA">
        <w:rPr>
          <w:sz w:val="20"/>
          <w:szCs w:val="20"/>
        </w:rPr>
        <w:t xml:space="preserve"> </w:t>
      </w:r>
      <w:proofErr w:type="spellStart"/>
      <w:r w:rsidR="00CB5799" w:rsidRPr="000152BA">
        <w:rPr>
          <w:sz w:val="20"/>
          <w:szCs w:val="20"/>
        </w:rPr>
        <w:t>Choudhury</w:t>
      </w:r>
      <w:proofErr w:type="spellEnd"/>
      <w:r w:rsidR="00CB5799" w:rsidRPr="000152BA">
        <w:rPr>
          <w:sz w:val="20"/>
          <w:szCs w:val="20"/>
        </w:rPr>
        <w:t xml:space="preserve">, </w:t>
      </w:r>
      <w:proofErr w:type="spellStart"/>
      <w:r w:rsidR="00CB5799" w:rsidRPr="000152BA">
        <w:rPr>
          <w:sz w:val="20"/>
          <w:szCs w:val="20"/>
        </w:rPr>
        <w:t>Ric</w:t>
      </w:r>
      <w:proofErr w:type="spellEnd"/>
      <w:r w:rsidR="00CB5799" w:rsidRPr="000152BA">
        <w:rPr>
          <w:sz w:val="20"/>
          <w:szCs w:val="20"/>
        </w:rPr>
        <w:t xml:space="preserve"> </w:t>
      </w:r>
      <w:proofErr w:type="spellStart"/>
      <w:r w:rsidR="00CB5799" w:rsidRPr="000152BA">
        <w:rPr>
          <w:sz w:val="20"/>
          <w:szCs w:val="20"/>
        </w:rPr>
        <w:t>Swindell</w:t>
      </w:r>
      <w:proofErr w:type="spellEnd"/>
      <w:r w:rsidR="00CB5799" w:rsidRPr="000152BA">
        <w:rPr>
          <w:sz w:val="20"/>
          <w:szCs w:val="20"/>
        </w:rPr>
        <w:t>, John P. Logue</w:t>
      </w:r>
      <w:r w:rsidR="000C3A4D" w:rsidRPr="000152BA">
        <w:rPr>
          <w:sz w:val="20"/>
          <w:szCs w:val="20"/>
        </w:rPr>
        <w:t xml:space="preserve">, </w:t>
      </w:r>
      <w:r w:rsidR="005A3BB5" w:rsidRPr="000152BA">
        <w:rPr>
          <w:i/>
          <w:iCs/>
          <w:sz w:val="20"/>
          <w:szCs w:val="20"/>
        </w:rPr>
        <w:t>et al.</w:t>
      </w:r>
      <w:r w:rsidR="00CB5799" w:rsidRPr="000152BA">
        <w:rPr>
          <w:sz w:val="20"/>
          <w:szCs w:val="20"/>
        </w:rPr>
        <w:t xml:space="preserve">  Phase II Study of Conformal </w:t>
      </w:r>
      <w:proofErr w:type="spellStart"/>
      <w:r w:rsidR="00CB5799" w:rsidRPr="000152BA">
        <w:rPr>
          <w:sz w:val="20"/>
          <w:szCs w:val="20"/>
        </w:rPr>
        <w:t>Hypofractionated</w:t>
      </w:r>
      <w:proofErr w:type="spellEnd"/>
      <w:r w:rsidR="00CB5799" w:rsidRPr="000152BA">
        <w:rPr>
          <w:sz w:val="20"/>
          <w:szCs w:val="20"/>
        </w:rPr>
        <w:t xml:space="preserve"> Radiotherapy With Concurrent </w:t>
      </w:r>
      <w:proofErr w:type="spellStart"/>
      <w:r w:rsidR="00CB5799" w:rsidRPr="000152BA">
        <w:rPr>
          <w:sz w:val="20"/>
          <w:szCs w:val="20"/>
        </w:rPr>
        <w:t>Gemcitabine</w:t>
      </w:r>
      <w:proofErr w:type="spellEnd"/>
      <w:r w:rsidR="00CB5799" w:rsidRPr="000152BA">
        <w:rPr>
          <w:sz w:val="20"/>
          <w:szCs w:val="20"/>
        </w:rPr>
        <w:t xml:space="preserve"> in Muscle-Invasi</w:t>
      </w:r>
      <w:r w:rsidR="000C3A4D" w:rsidRPr="000152BA">
        <w:rPr>
          <w:sz w:val="20"/>
          <w:szCs w:val="20"/>
        </w:rPr>
        <w:t xml:space="preserve">ve Bladder Cancer J </w:t>
      </w:r>
      <w:proofErr w:type="spellStart"/>
      <w:r w:rsidR="000C3A4D" w:rsidRPr="000152BA">
        <w:rPr>
          <w:sz w:val="20"/>
          <w:szCs w:val="20"/>
        </w:rPr>
        <w:t>Clin</w:t>
      </w:r>
      <w:proofErr w:type="spellEnd"/>
      <w:r w:rsidR="000C3A4D" w:rsidRPr="000152BA">
        <w:rPr>
          <w:sz w:val="20"/>
          <w:szCs w:val="20"/>
        </w:rPr>
        <w:t xml:space="preserve"> </w:t>
      </w:r>
      <w:proofErr w:type="spellStart"/>
      <w:r w:rsidR="000C3A4D" w:rsidRPr="000152BA">
        <w:rPr>
          <w:sz w:val="20"/>
          <w:szCs w:val="20"/>
        </w:rPr>
        <w:t>Oncol</w:t>
      </w:r>
      <w:proofErr w:type="spellEnd"/>
      <w:r w:rsidR="000C3A4D" w:rsidRPr="000152BA">
        <w:rPr>
          <w:sz w:val="20"/>
          <w:szCs w:val="20"/>
        </w:rPr>
        <w:t>. 29(6</w:t>
      </w:r>
      <w:r w:rsidR="00CB5799" w:rsidRPr="000152BA">
        <w:rPr>
          <w:sz w:val="20"/>
          <w:szCs w:val="20"/>
        </w:rPr>
        <w:t>)</w:t>
      </w:r>
      <w:r w:rsidR="000C3A4D" w:rsidRPr="000152BA">
        <w:rPr>
          <w:sz w:val="20"/>
          <w:szCs w:val="20"/>
        </w:rPr>
        <w:t>:733-738,</w:t>
      </w:r>
      <w:r w:rsidR="003420F8" w:rsidRPr="000152BA">
        <w:rPr>
          <w:sz w:val="20"/>
          <w:szCs w:val="20"/>
        </w:rPr>
        <w:t xml:space="preserve"> </w:t>
      </w:r>
      <w:r w:rsidR="00CB5799" w:rsidRPr="000152BA">
        <w:rPr>
          <w:sz w:val="20"/>
          <w:szCs w:val="20"/>
        </w:rPr>
        <w:t>2011.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52BA">
        <w:rPr>
          <w:sz w:val="20"/>
          <w:szCs w:val="20"/>
        </w:rPr>
        <w:t>I</w:t>
      </w:r>
      <w:r w:rsidR="006D3A53" w:rsidRPr="000152BA">
        <w:rPr>
          <w:sz w:val="20"/>
          <w:szCs w:val="20"/>
        </w:rPr>
        <w:t xml:space="preserve">wasaki K, </w:t>
      </w:r>
      <w:proofErr w:type="spellStart"/>
      <w:r w:rsidR="006D3A53" w:rsidRPr="000152BA">
        <w:rPr>
          <w:sz w:val="20"/>
          <w:szCs w:val="20"/>
        </w:rPr>
        <w:t>Obara</w:t>
      </w:r>
      <w:proofErr w:type="spellEnd"/>
      <w:r w:rsidR="006D3A53" w:rsidRPr="000152BA">
        <w:rPr>
          <w:sz w:val="20"/>
          <w:szCs w:val="20"/>
        </w:rPr>
        <w:t xml:space="preserve"> W, Kato Y, </w:t>
      </w:r>
      <w:proofErr w:type="spellStart"/>
      <w:r w:rsidR="006D3A53" w:rsidRPr="000152BA">
        <w:rPr>
          <w:sz w:val="20"/>
          <w:szCs w:val="20"/>
        </w:rPr>
        <w:t>Takata</w:t>
      </w:r>
      <w:proofErr w:type="spellEnd"/>
      <w:r w:rsidR="006D3A53" w:rsidRPr="000152BA">
        <w:rPr>
          <w:sz w:val="20"/>
          <w:szCs w:val="20"/>
        </w:rPr>
        <w:t xml:space="preserve"> R, </w:t>
      </w:r>
      <w:proofErr w:type="spellStart"/>
      <w:r w:rsidR="006D3A53" w:rsidRPr="000152BA">
        <w:rPr>
          <w:sz w:val="20"/>
          <w:szCs w:val="20"/>
        </w:rPr>
        <w:t>Tanji</w:t>
      </w:r>
      <w:proofErr w:type="spellEnd"/>
      <w:r w:rsidR="006D3A53" w:rsidRPr="000152BA">
        <w:rPr>
          <w:sz w:val="20"/>
          <w:szCs w:val="20"/>
        </w:rPr>
        <w:t xml:space="preserve"> S, Fujioka T.</w:t>
      </w:r>
      <w:r w:rsidR="003420F8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Neoadjuvant</w:t>
      </w:r>
      <w:proofErr w:type="spellEnd"/>
      <w:r w:rsidR="006D3A53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gemcitabine</w:t>
      </w:r>
      <w:proofErr w:type="spellEnd"/>
      <w:r w:rsidR="006D3A53" w:rsidRPr="000152BA">
        <w:rPr>
          <w:sz w:val="20"/>
          <w:szCs w:val="20"/>
        </w:rPr>
        <w:t xml:space="preserve"> plus </w:t>
      </w:r>
      <w:proofErr w:type="spellStart"/>
      <w:r w:rsidR="006D3A53" w:rsidRPr="000152BA">
        <w:rPr>
          <w:sz w:val="20"/>
          <w:szCs w:val="20"/>
        </w:rPr>
        <w:t>Carboplatin</w:t>
      </w:r>
      <w:proofErr w:type="spellEnd"/>
      <w:r w:rsidR="006D3A53" w:rsidRPr="000152BA">
        <w:rPr>
          <w:sz w:val="20"/>
          <w:szCs w:val="20"/>
        </w:rPr>
        <w:t xml:space="preserve"> for locally advanced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bladder cancer. </w:t>
      </w:r>
      <w:proofErr w:type="spellStart"/>
      <w:r w:rsidR="006D3A53" w:rsidRPr="000152BA">
        <w:rPr>
          <w:sz w:val="20"/>
          <w:szCs w:val="20"/>
        </w:rPr>
        <w:t>Jpn</w:t>
      </w:r>
      <w:proofErr w:type="spellEnd"/>
      <w:r w:rsidR="006D3A53" w:rsidRPr="000152BA">
        <w:rPr>
          <w:sz w:val="20"/>
          <w:szCs w:val="20"/>
        </w:rPr>
        <w:t xml:space="preserve"> J </w:t>
      </w:r>
      <w:proofErr w:type="spellStart"/>
      <w:r w:rsidR="006D3A53" w:rsidRPr="000152BA">
        <w:rPr>
          <w:sz w:val="20"/>
          <w:szCs w:val="20"/>
        </w:rPr>
        <w:t>Clin</w:t>
      </w:r>
      <w:proofErr w:type="spellEnd"/>
      <w:r w:rsidR="006D3A53" w:rsidRPr="000152BA">
        <w:rPr>
          <w:sz w:val="20"/>
          <w:szCs w:val="20"/>
        </w:rPr>
        <w:t xml:space="preserve"> </w:t>
      </w:r>
      <w:proofErr w:type="spellStart"/>
      <w:r w:rsidR="006D3A53" w:rsidRPr="000152BA">
        <w:rPr>
          <w:sz w:val="20"/>
          <w:szCs w:val="20"/>
        </w:rPr>
        <w:t>Oncol</w:t>
      </w:r>
      <w:proofErr w:type="spellEnd"/>
      <w:r w:rsidR="006D3A53" w:rsidRPr="000152BA">
        <w:rPr>
          <w:sz w:val="20"/>
          <w:szCs w:val="20"/>
        </w:rPr>
        <w:t>. 43(2):193-9;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2013.</w:t>
      </w:r>
    </w:p>
    <w:p w:rsidR="00AF046B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152BA">
        <w:rPr>
          <w:sz w:val="20"/>
          <w:szCs w:val="20"/>
        </w:rPr>
        <w:t>S</w:t>
      </w:r>
      <w:r w:rsidR="006D3A53" w:rsidRPr="000152BA">
        <w:rPr>
          <w:sz w:val="20"/>
          <w:szCs w:val="20"/>
        </w:rPr>
        <w:t xml:space="preserve">hipley WU, </w:t>
      </w:r>
      <w:proofErr w:type="spellStart"/>
      <w:r w:rsidR="006D3A53" w:rsidRPr="000152BA">
        <w:rPr>
          <w:sz w:val="20"/>
          <w:szCs w:val="20"/>
        </w:rPr>
        <w:t>Prout</w:t>
      </w:r>
      <w:proofErr w:type="spellEnd"/>
      <w:r w:rsidR="006D3A53" w:rsidRPr="000152BA">
        <w:rPr>
          <w:sz w:val="20"/>
          <w:szCs w:val="20"/>
        </w:rPr>
        <w:t xml:space="preserve"> GR </w:t>
      </w:r>
      <w:proofErr w:type="spellStart"/>
      <w:r w:rsidR="006D3A53" w:rsidRPr="000152BA">
        <w:rPr>
          <w:sz w:val="20"/>
          <w:szCs w:val="20"/>
        </w:rPr>
        <w:t>Jr</w:t>
      </w:r>
      <w:proofErr w:type="spellEnd"/>
      <w:r w:rsidR="006D3A53" w:rsidRPr="000152BA">
        <w:rPr>
          <w:sz w:val="20"/>
          <w:szCs w:val="20"/>
        </w:rPr>
        <w:t xml:space="preserve">, Einstein AB, </w:t>
      </w:r>
      <w:r w:rsidR="005A3BB5" w:rsidRPr="000152BA">
        <w:rPr>
          <w:i/>
          <w:iCs/>
          <w:sz w:val="20"/>
          <w:szCs w:val="20"/>
        </w:rPr>
        <w:t>et al.</w:t>
      </w:r>
      <w:r w:rsidR="006D3A53" w:rsidRPr="000152BA">
        <w:rPr>
          <w:sz w:val="20"/>
          <w:szCs w:val="20"/>
        </w:rPr>
        <w:t xml:space="preserve"> Treatment of invasive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bladder cancer by </w:t>
      </w:r>
      <w:proofErr w:type="spellStart"/>
      <w:r w:rsidR="006D3A53" w:rsidRPr="000152BA">
        <w:rPr>
          <w:sz w:val="20"/>
          <w:szCs w:val="20"/>
        </w:rPr>
        <w:t>cisplatin</w:t>
      </w:r>
      <w:proofErr w:type="spellEnd"/>
      <w:r w:rsidR="006D3A53" w:rsidRPr="000152BA">
        <w:rPr>
          <w:sz w:val="20"/>
          <w:szCs w:val="20"/>
        </w:rPr>
        <w:t xml:space="preserve"> and radiation in patients unsuited for surgery.</w:t>
      </w:r>
      <w:r w:rsidR="003420F8" w:rsidRPr="000152BA">
        <w:rPr>
          <w:i/>
          <w:iCs/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JAMA</w:t>
      </w:r>
      <w:r w:rsidR="006D3A53" w:rsidRPr="000152BA">
        <w:rPr>
          <w:i/>
          <w:iCs/>
          <w:sz w:val="20"/>
          <w:szCs w:val="20"/>
        </w:rPr>
        <w:t xml:space="preserve">. </w:t>
      </w:r>
      <w:r w:rsidR="006D3A53" w:rsidRPr="000152BA">
        <w:rPr>
          <w:sz w:val="20"/>
          <w:szCs w:val="20"/>
        </w:rPr>
        <w:t>258(7):931-935;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1987.</w:t>
      </w:r>
    </w:p>
    <w:p w:rsidR="006D3A53" w:rsidRPr="000152BA" w:rsidRDefault="00AF046B" w:rsidP="00CD2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152BA">
        <w:rPr>
          <w:sz w:val="20"/>
          <w:szCs w:val="20"/>
        </w:rPr>
        <w:t>C</w:t>
      </w:r>
      <w:r w:rsidR="006D3A53" w:rsidRPr="000152BA">
        <w:rPr>
          <w:sz w:val="20"/>
          <w:szCs w:val="20"/>
        </w:rPr>
        <w:t>hauvet</w:t>
      </w:r>
      <w:proofErr w:type="spellEnd"/>
      <w:r w:rsidR="006D3A53" w:rsidRPr="000152BA">
        <w:rPr>
          <w:sz w:val="20"/>
          <w:szCs w:val="20"/>
        </w:rPr>
        <w:t xml:space="preserve"> B, Brewer Y, Felix-Faure C, </w:t>
      </w:r>
      <w:r w:rsidR="005A3BB5" w:rsidRPr="000152BA">
        <w:rPr>
          <w:i/>
          <w:iCs/>
          <w:sz w:val="20"/>
          <w:szCs w:val="20"/>
        </w:rPr>
        <w:t>et al.</w:t>
      </w:r>
      <w:r w:rsidR="005A3BB5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Concurrent </w:t>
      </w:r>
      <w:proofErr w:type="spellStart"/>
      <w:r w:rsidR="006D3A53" w:rsidRPr="000152BA">
        <w:rPr>
          <w:sz w:val="20"/>
          <w:szCs w:val="20"/>
        </w:rPr>
        <w:t>cisplatin</w:t>
      </w:r>
      <w:proofErr w:type="spellEnd"/>
      <w:r w:rsidR="006D3A53" w:rsidRPr="000152BA">
        <w:rPr>
          <w:sz w:val="20"/>
          <w:szCs w:val="20"/>
        </w:rPr>
        <w:t xml:space="preserve"> and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radiotherapy for patients with muscle invasive bladder cancer who are not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 xml:space="preserve">candidates for radical </w:t>
      </w:r>
      <w:proofErr w:type="spellStart"/>
      <w:r w:rsidR="006D3A53" w:rsidRPr="000152BA">
        <w:rPr>
          <w:sz w:val="20"/>
          <w:szCs w:val="20"/>
        </w:rPr>
        <w:t>cystectomy</w:t>
      </w:r>
      <w:proofErr w:type="spellEnd"/>
      <w:r w:rsidR="006D3A53" w:rsidRPr="000152BA">
        <w:rPr>
          <w:sz w:val="20"/>
          <w:szCs w:val="20"/>
        </w:rPr>
        <w:t xml:space="preserve">. </w:t>
      </w:r>
      <w:r w:rsidR="006D3A53" w:rsidRPr="000152BA">
        <w:rPr>
          <w:i/>
          <w:iCs/>
          <w:sz w:val="20"/>
          <w:szCs w:val="20"/>
        </w:rPr>
        <w:t>J Urol.</w:t>
      </w:r>
      <w:r w:rsidR="00BF41E0">
        <w:rPr>
          <w:i/>
          <w:iCs/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156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(4):1258-1262;</w:t>
      </w:r>
      <w:r w:rsidR="003420F8" w:rsidRPr="000152BA">
        <w:rPr>
          <w:sz w:val="20"/>
          <w:szCs w:val="20"/>
        </w:rPr>
        <w:t xml:space="preserve"> </w:t>
      </w:r>
      <w:r w:rsidR="006D3A53" w:rsidRPr="000152BA">
        <w:rPr>
          <w:sz w:val="20"/>
          <w:szCs w:val="20"/>
        </w:rPr>
        <w:t>1996.</w:t>
      </w:r>
    </w:p>
    <w:p w:rsidR="006903AD" w:rsidRPr="000152BA" w:rsidRDefault="006903AD" w:rsidP="00302EB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  <w:sectPr w:rsidR="006903AD" w:rsidRPr="000152BA" w:rsidSect="006519B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73DB9" w:rsidRDefault="00C73DB9" w:rsidP="00302EB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  <w:lang w:eastAsia="zh-CN"/>
        </w:rPr>
      </w:pPr>
    </w:p>
    <w:p w:rsidR="00AF046B" w:rsidRDefault="00AF046B" w:rsidP="00302EB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  <w:lang w:eastAsia="zh-CN"/>
        </w:rPr>
      </w:pPr>
    </w:p>
    <w:p w:rsidR="00AF046B" w:rsidRDefault="00AF046B" w:rsidP="00302EB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  <w:lang w:eastAsia="zh-CN"/>
        </w:rPr>
      </w:pPr>
    </w:p>
    <w:p w:rsidR="006903AD" w:rsidRPr="000152BA" w:rsidRDefault="00C73DB9" w:rsidP="00302EB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12/5/2015</w:t>
      </w:r>
    </w:p>
    <w:sectPr w:rsidR="006903AD" w:rsidRPr="000152BA" w:rsidSect="006519B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7F" w:rsidRDefault="00CD2F7F">
      <w:r>
        <w:separator/>
      </w:r>
    </w:p>
  </w:endnote>
  <w:endnote w:type="continuationSeparator" w:id="0">
    <w:p w:rsidR="00CD2F7F" w:rsidRDefault="00CD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TimesNewRoman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90" w:rsidRDefault="008F736A" w:rsidP="00AE4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E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E90" w:rsidRDefault="00BA2E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90" w:rsidRPr="00C73DB9" w:rsidRDefault="008F736A" w:rsidP="00C73DB9">
    <w:pPr>
      <w:jc w:val="center"/>
      <w:rPr>
        <w:sz w:val="20"/>
      </w:rPr>
    </w:pPr>
    <w:r w:rsidRPr="00C73DB9">
      <w:rPr>
        <w:sz w:val="20"/>
      </w:rPr>
      <w:fldChar w:fldCharType="begin"/>
    </w:r>
    <w:r w:rsidR="00C73DB9" w:rsidRPr="00C73DB9">
      <w:rPr>
        <w:sz w:val="20"/>
      </w:rPr>
      <w:instrText xml:space="preserve"> page </w:instrText>
    </w:r>
    <w:r w:rsidRPr="00C73DB9">
      <w:rPr>
        <w:sz w:val="20"/>
      </w:rPr>
      <w:fldChar w:fldCharType="separate"/>
    </w:r>
    <w:r w:rsidR="00AD31DB">
      <w:rPr>
        <w:noProof/>
        <w:sz w:val="20"/>
      </w:rPr>
      <w:t>35</w:t>
    </w:r>
    <w:r w:rsidRPr="00C73DB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7F" w:rsidRDefault="00CD2F7F">
      <w:r>
        <w:separator/>
      </w:r>
    </w:p>
  </w:footnote>
  <w:footnote w:type="continuationSeparator" w:id="0">
    <w:p w:rsidR="00CD2F7F" w:rsidRDefault="00CD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B9" w:rsidRPr="00C73DB9" w:rsidRDefault="00C73DB9" w:rsidP="00C73DB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C73DB9">
      <w:rPr>
        <w:rFonts w:hint="eastAsia"/>
        <w:iCs/>
        <w:color w:val="000000"/>
        <w:sz w:val="20"/>
      </w:rPr>
      <w:tab/>
    </w:r>
    <w:r w:rsidRPr="00C73DB9">
      <w:rPr>
        <w:iCs/>
        <w:color w:val="000000"/>
        <w:sz w:val="20"/>
      </w:rPr>
      <w:t xml:space="preserve">Cancer Biology </w:t>
    </w:r>
    <w:r w:rsidRPr="00C73DB9">
      <w:rPr>
        <w:iCs/>
        <w:sz w:val="20"/>
      </w:rPr>
      <w:t>201</w:t>
    </w:r>
    <w:r w:rsidRPr="00C73DB9">
      <w:rPr>
        <w:rFonts w:hint="eastAsia"/>
        <w:iCs/>
        <w:sz w:val="20"/>
      </w:rPr>
      <w:t>5</w:t>
    </w:r>
    <w:r w:rsidRPr="00C73DB9">
      <w:rPr>
        <w:iCs/>
        <w:sz w:val="20"/>
      </w:rPr>
      <w:t>;</w:t>
    </w:r>
    <w:r w:rsidRPr="00C73DB9">
      <w:rPr>
        <w:rFonts w:hint="eastAsia"/>
        <w:iCs/>
        <w:sz w:val="20"/>
      </w:rPr>
      <w:t>5</w:t>
    </w:r>
    <w:r w:rsidRPr="00C73DB9">
      <w:rPr>
        <w:iCs/>
        <w:sz w:val="20"/>
      </w:rPr>
      <w:t>(</w:t>
    </w:r>
    <w:r w:rsidRPr="00C73DB9">
      <w:rPr>
        <w:rFonts w:hint="eastAsia"/>
        <w:iCs/>
        <w:sz w:val="20"/>
      </w:rPr>
      <w:t>4</w:t>
    </w:r>
    <w:r w:rsidRPr="00C73DB9">
      <w:rPr>
        <w:iCs/>
        <w:sz w:val="20"/>
      </w:rPr>
      <w:t xml:space="preserve">)  </w:t>
    </w:r>
    <w:r w:rsidRPr="00C73DB9">
      <w:rPr>
        <w:rFonts w:hint="eastAsia"/>
        <w:iCs/>
        <w:sz w:val="20"/>
      </w:rPr>
      <w:t xml:space="preserve">   </w:t>
    </w:r>
    <w:r w:rsidRPr="00C73DB9">
      <w:rPr>
        <w:rFonts w:hint="eastAsia"/>
        <w:iCs/>
        <w:sz w:val="20"/>
      </w:rPr>
      <w:tab/>
      <w:t xml:space="preserve">     </w:t>
    </w:r>
    <w:r w:rsidRPr="00C73DB9">
      <w:rPr>
        <w:iCs/>
        <w:sz w:val="20"/>
      </w:rPr>
      <w:t xml:space="preserve"> </w:t>
    </w:r>
    <w:r w:rsidRPr="00C73DB9">
      <w:rPr>
        <w:sz w:val="20"/>
      </w:rPr>
      <w:t xml:space="preserve">  </w:t>
    </w:r>
    <w:hyperlink r:id="rId1" w:history="1">
      <w:r w:rsidRPr="00C73DB9">
        <w:rPr>
          <w:rStyle w:val="Hyperlink"/>
          <w:sz w:val="20"/>
        </w:rPr>
        <w:t>http://www.cancerbio.net</w:t>
      </w:r>
    </w:hyperlink>
  </w:p>
  <w:p w:rsidR="00C73DB9" w:rsidRPr="00C73DB9" w:rsidRDefault="00C73DB9" w:rsidP="00C73DB9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56E3"/>
    <w:multiLevelType w:val="hybridMultilevel"/>
    <w:tmpl w:val="25CAF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696"/>
    <w:rsid w:val="00001B8C"/>
    <w:rsid w:val="000020FA"/>
    <w:rsid w:val="00003294"/>
    <w:rsid w:val="00005773"/>
    <w:rsid w:val="000075DA"/>
    <w:rsid w:val="00013987"/>
    <w:rsid w:val="000152BA"/>
    <w:rsid w:val="00017E81"/>
    <w:rsid w:val="00021219"/>
    <w:rsid w:val="00024103"/>
    <w:rsid w:val="00025637"/>
    <w:rsid w:val="0002587F"/>
    <w:rsid w:val="00026D4B"/>
    <w:rsid w:val="000337ED"/>
    <w:rsid w:val="000423E7"/>
    <w:rsid w:val="0004282D"/>
    <w:rsid w:val="00042F52"/>
    <w:rsid w:val="00043E43"/>
    <w:rsid w:val="00044A0F"/>
    <w:rsid w:val="00046132"/>
    <w:rsid w:val="0005192A"/>
    <w:rsid w:val="00052A43"/>
    <w:rsid w:val="00053DF4"/>
    <w:rsid w:val="00060118"/>
    <w:rsid w:val="000606B1"/>
    <w:rsid w:val="0007113B"/>
    <w:rsid w:val="000714D9"/>
    <w:rsid w:val="00071EA5"/>
    <w:rsid w:val="00076553"/>
    <w:rsid w:val="000802BC"/>
    <w:rsid w:val="00080DD0"/>
    <w:rsid w:val="000815F7"/>
    <w:rsid w:val="00081897"/>
    <w:rsid w:val="00082C9F"/>
    <w:rsid w:val="00083983"/>
    <w:rsid w:val="0008403A"/>
    <w:rsid w:val="00085E3C"/>
    <w:rsid w:val="000863B6"/>
    <w:rsid w:val="0008702C"/>
    <w:rsid w:val="00090339"/>
    <w:rsid w:val="00090803"/>
    <w:rsid w:val="00094D81"/>
    <w:rsid w:val="00096698"/>
    <w:rsid w:val="00097CA2"/>
    <w:rsid w:val="000A04AC"/>
    <w:rsid w:val="000A2EAB"/>
    <w:rsid w:val="000A4060"/>
    <w:rsid w:val="000A7178"/>
    <w:rsid w:val="000B058E"/>
    <w:rsid w:val="000B06C4"/>
    <w:rsid w:val="000B2440"/>
    <w:rsid w:val="000B3256"/>
    <w:rsid w:val="000B388E"/>
    <w:rsid w:val="000B5F03"/>
    <w:rsid w:val="000B66B4"/>
    <w:rsid w:val="000B73D1"/>
    <w:rsid w:val="000B754B"/>
    <w:rsid w:val="000C178A"/>
    <w:rsid w:val="000C36DC"/>
    <w:rsid w:val="000C3A4D"/>
    <w:rsid w:val="000C55FD"/>
    <w:rsid w:val="000C77C4"/>
    <w:rsid w:val="000D4AF8"/>
    <w:rsid w:val="000D5263"/>
    <w:rsid w:val="000F32E6"/>
    <w:rsid w:val="000F54C8"/>
    <w:rsid w:val="001004EA"/>
    <w:rsid w:val="001066F6"/>
    <w:rsid w:val="0010719E"/>
    <w:rsid w:val="0011579D"/>
    <w:rsid w:val="00121EE9"/>
    <w:rsid w:val="00122D3D"/>
    <w:rsid w:val="001234BA"/>
    <w:rsid w:val="00124910"/>
    <w:rsid w:val="001264F5"/>
    <w:rsid w:val="00126B74"/>
    <w:rsid w:val="00134003"/>
    <w:rsid w:val="00136DE2"/>
    <w:rsid w:val="00141464"/>
    <w:rsid w:val="00141FB2"/>
    <w:rsid w:val="001421D6"/>
    <w:rsid w:val="0014260E"/>
    <w:rsid w:val="00142F6A"/>
    <w:rsid w:val="00144467"/>
    <w:rsid w:val="001476EE"/>
    <w:rsid w:val="0015135B"/>
    <w:rsid w:val="001523EF"/>
    <w:rsid w:val="00153250"/>
    <w:rsid w:val="00153EA5"/>
    <w:rsid w:val="001607AB"/>
    <w:rsid w:val="00161B96"/>
    <w:rsid w:val="0016258C"/>
    <w:rsid w:val="00164A68"/>
    <w:rsid w:val="00164F16"/>
    <w:rsid w:val="001652C4"/>
    <w:rsid w:val="00165F14"/>
    <w:rsid w:val="0017657F"/>
    <w:rsid w:val="0018096D"/>
    <w:rsid w:val="00181DAD"/>
    <w:rsid w:val="00183478"/>
    <w:rsid w:val="00183939"/>
    <w:rsid w:val="00190896"/>
    <w:rsid w:val="00194553"/>
    <w:rsid w:val="001947C1"/>
    <w:rsid w:val="001A0142"/>
    <w:rsid w:val="001A0D04"/>
    <w:rsid w:val="001A1902"/>
    <w:rsid w:val="001A36ED"/>
    <w:rsid w:val="001A39AB"/>
    <w:rsid w:val="001A487D"/>
    <w:rsid w:val="001A5FDB"/>
    <w:rsid w:val="001B3711"/>
    <w:rsid w:val="001C2658"/>
    <w:rsid w:val="001C27A2"/>
    <w:rsid w:val="001C3AE4"/>
    <w:rsid w:val="001D0685"/>
    <w:rsid w:val="001D1C77"/>
    <w:rsid w:val="001D3CD8"/>
    <w:rsid w:val="001D4275"/>
    <w:rsid w:val="001D42CE"/>
    <w:rsid w:val="001E15CF"/>
    <w:rsid w:val="001E2127"/>
    <w:rsid w:val="001E3AB2"/>
    <w:rsid w:val="001F0445"/>
    <w:rsid w:val="001F0BCB"/>
    <w:rsid w:val="001F3D8C"/>
    <w:rsid w:val="001F443D"/>
    <w:rsid w:val="00201C68"/>
    <w:rsid w:val="00202D23"/>
    <w:rsid w:val="00204890"/>
    <w:rsid w:val="00204954"/>
    <w:rsid w:val="0021003E"/>
    <w:rsid w:val="00211B3F"/>
    <w:rsid w:val="00212D1C"/>
    <w:rsid w:val="0021394A"/>
    <w:rsid w:val="00217E31"/>
    <w:rsid w:val="002262CA"/>
    <w:rsid w:val="00227209"/>
    <w:rsid w:val="00227A87"/>
    <w:rsid w:val="002315A2"/>
    <w:rsid w:val="00232BE2"/>
    <w:rsid w:val="00233DBE"/>
    <w:rsid w:val="002402A3"/>
    <w:rsid w:val="0024507C"/>
    <w:rsid w:val="002470E4"/>
    <w:rsid w:val="002517D2"/>
    <w:rsid w:val="002528C2"/>
    <w:rsid w:val="0025360E"/>
    <w:rsid w:val="00254191"/>
    <w:rsid w:val="0025643F"/>
    <w:rsid w:val="002631FD"/>
    <w:rsid w:val="00263212"/>
    <w:rsid w:val="00263428"/>
    <w:rsid w:val="002636B6"/>
    <w:rsid w:val="002669FE"/>
    <w:rsid w:val="00270BFC"/>
    <w:rsid w:val="00275CFA"/>
    <w:rsid w:val="00276B55"/>
    <w:rsid w:val="002776CA"/>
    <w:rsid w:val="002816F0"/>
    <w:rsid w:val="002835F1"/>
    <w:rsid w:val="002837DC"/>
    <w:rsid w:val="00285575"/>
    <w:rsid w:val="00290CA2"/>
    <w:rsid w:val="002918A9"/>
    <w:rsid w:val="00295796"/>
    <w:rsid w:val="0029584B"/>
    <w:rsid w:val="00296A8B"/>
    <w:rsid w:val="002A1215"/>
    <w:rsid w:val="002A124A"/>
    <w:rsid w:val="002A2D97"/>
    <w:rsid w:val="002A5B91"/>
    <w:rsid w:val="002A6BC0"/>
    <w:rsid w:val="002A7663"/>
    <w:rsid w:val="002B20EC"/>
    <w:rsid w:val="002B245A"/>
    <w:rsid w:val="002B263B"/>
    <w:rsid w:val="002B3030"/>
    <w:rsid w:val="002B4057"/>
    <w:rsid w:val="002B51BE"/>
    <w:rsid w:val="002B755B"/>
    <w:rsid w:val="002C2AFB"/>
    <w:rsid w:val="002C396E"/>
    <w:rsid w:val="002C4C7B"/>
    <w:rsid w:val="002D21FA"/>
    <w:rsid w:val="002D367A"/>
    <w:rsid w:val="002D431F"/>
    <w:rsid w:val="002D4847"/>
    <w:rsid w:val="002D5B96"/>
    <w:rsid w:val="002D6C72"/>
    <w:rsid w:val="002D6FB8"/>
    <w:rsid w:val="002E3B30"/>
    <w:rsid w:val="002E3B86"/>
    <w:rsid w:val="002E43B3"/>
    <w:rsid w:val="002E456E"/>
    <w:rsid w:val="002E49B7"/>
    <w:rsid w:val="002E55E6"/>
    <w:rsid w:val="002E7230"/>
    <w:rsid w:val="002F0D59"/>
    <w:rsid w:val="002F1C53"/>
    <w:rsid w:val="002F2914"/>
    <w:rsid w:val="002F3EB5"/>
    <w:rsid w:val="002F7AB5"/>
    <w:rsid w:val="00302EB7"/>
    <w:rsid w:val="00305C28"/>
    <w:rsid w:val="0030720D"/>
    <w:rsid w:val="00310354"/>
    <w:rsid w:val="003125CB"/>
    <w:rsid w:val="003131B8"/>
    <w:rsid w:val="003143DE"/>
    <w:rsid w:val="0031608D"/>
    <w:rsid w:val="00321B36"/>
    <w:rsid w:val="003225BA"/>
    <w:rsid w:val="00325915"/>
    <w:rsid w:val="00325B49"/>
    <w:rsid w:val="00330A55"/>
    <w:rsid w:val="00332B55"/>
    <w:rsid w:val="00333EB0"/>
    <w:rsid w:val="00335AFA"/>
    <w:rsid w:val="00337403"/>
    <w:rsid w:val="00340893"/>
    <w:rsid w:val="003420F8"/>
    <w:rsid w:val="003428FD"/>
    <w:rsid w:val="00343A69"/>
    <w:rsid w:val="00344EC2"/>
    <w:rsid w:val="00350E3A"/>
    <w:rsid w:val="00351C34"/>
    <w:rsid w:val="00354591"/>
    <w:rsid w:val="00355CF1"/>
    <w:rsid w:val="00361D55"/>
    <w:rsid w:val="00362A30"/>
    <w:rsid w:val="003630BD"/>
    <w:rsid w:val="00365449"/>
    <w:rsid w:val="00374313"/>
    <w:rsid w:val="00375021"/>
    <w:rsid w:val="00377481"/>
    <w:rsid w:val="00377B6B"/>
    <w:rsid w:val="0038021F"/>
    <w:rsid w:val="003808EB"/>
    <w:rsid w:val="00384411"/>
    <w:rsid w:val="0039334A"/>
    <w:rsid w:val="00393793"/>
    <w:rsid w:val="003946AD"/>
    <w:rsid w:val="00394BA2"/>
    <w:rsid w:val="00395F0E"/>
    <w:rsid w:val="003A1BE3"/>
    <w:rsid w:val="003A38C5"/>
    <w:rsid w:val="003A3C68"/>
    <w:rsid w:val="003A7466"/>
    <w:rsid w:val="003A7B94"/>
    <w:rsid w:val="003A7FDB"/>
    <w:rsid w:val="003B533C"/>
    <w:rsid w:val="003B53E9"/>
    <w:rsid w:val="003B69B6"/>
    <w:rsid w:val="003B6A1E"/>
    <w:rsid w:val="003B7297"/>
    <w:rsid w:val="003C03AA"/>
    <w:rsid w:val="003C6EE4"/>
    <w:rsid w:val="003C7748"/>
    <w:rsid w:val="003D004D"/>
    <w:rsid w:val="003D4FEF"/>
    <w:rsid w:val="003D7C09"/>
    <w:rsid w:val="003D7CCD"/>
    <w:rsid w:val="003E1B5B"/>
    <w:rsid w:val="003E33E4"/>
    <w:rsid w:val="003E3AA2"/>
    <w:rsid w:val="00400E7C"/>
    <w:rsid w:val="00401FE5"/>
    <w:rsid w:val="00403C73"/>
    <w:rsid w:val="00404F4F"/>
    <w:rsid w:val="00405B7C"/>
    <w:rsid w:val="00406448"/>
    <w:rsid w:val="00406656"/>
    <w:rsid w:val="00410F7F"/>
    <w:rsid w:val="00412D50"/>
    <w:rsid w:val="00413C8F"/>
    <w:rsid w:val="0041405A"/>
    <w:rsid w:val="004147CC"/>
    <w:rsid w:val="00416057"/>
    <w:rsid w:val="004216B8"/>
    <w:rsid w:val="0042399D"/>
    <w:rsid w:val="004312C3"/>
    <w:rsid w:val="004320A2"/>
    <w:rsid w:val="00432940"/>
    <w:rsid w:val="00435807"/>
    <w:rsid w:val="00436175"/>
    <w:rsid w:val="00436EFA"/>
    <w:rsid w:val="0044160F"/>
    <w:rsid w:val="0044447D"/>
    <w:rsid w:val="0044732B"/>
    <w:rsid w:val="00447A65"/>
    <w:rsid w:val="00451E22"/>
    <w:rsid w:val="004558E5"/>
    <w:rsid w:val="00455DF3"/>
    <w:rsid w:val="004563D8"/>
    <w:rsid w:val="00457B51"/>
    <w:rsid w:val="00461476"/>
    <w:rsid w:val="00461B1D"/>
    <w:rsid w:val="00463577"/>
    <w:rsid w:val="0046420F"/>
    <w:rsid w:val="004648B8"/>
    <w:rsid w:val="00464D32"/>
    <w:rsid w:val="004655F7"/>
    <w:rsid w:val="00466186"/>
    <w:rsid w:val="00466357"/>
    <w:rsid w:val="00467199"/>
    <w:rsid w:val="00470CD5"/>
    <w:rsid w:val="00473651"/>
    <w:rsid w:val="00473A76"/>
    <w:rsid w:val="004742EB"/>
    <w:rsid w:val="0047442A"/>
    <w:rsid w:val="004761B0"/>
    <w:rsid w:val="00482858"/>
    <w:rsid w:val="004831A4"/>
    <w:rsid w:val="004878B3"/>
    <w:rsid w:val="00487ED1"/>
    <w:rsid w:val="00491344"/>
    <w:rsid w:val="00491F22"/>
    <w:rsid w:val="00492301"/>
    <w:rsid w:val="00493249"/>
    <w:rsid w:val="00496591"/>
    <w:rsid w:val="004A2BC3"/>
    <w:rsid w:val="004A6857"/>
    <w:rsid w:val="004B13A3"/>
    <w:rsid w:val="004B31FE"/>
    <w:rsid w:val="004B43B7"/>
    <w:rsid w:val="004B489A"/>
    <w:rsid w:val="004C03D8"/>
    <w:rsid w:val="004C2429"/>
    <w:rsid w:val="004C3910"/>
    <w:rsid w:val="004C7AC0"/>
    <w:rsid w:val="004D1494"/>
    <w:rsid w:val="004D1A6E"/>
    <w:rsid w:val="004D3E2D"/>
    <w:rsid w:val="004D4085"/>
    <w:rsid w:val="004D468A"/>
    <w:rsid w:val="004D4D63"/>
    <w:rsid w:val="004E6C8F"/>
    <w:rsid w:val="004E7D0F"/>
    <w:rsid w:val="004F0646"/>
    <w:rsid w:val="004F15EC"/>
    <w:rsid w:val="004F3C25"/>
    <w:rsid w:val="004F5596"/>
    <w:rsid w:val="004F743C"/>
    <w:rsid w:val="005003EF"/>
    <w:rsid w:val="0050226D"/>
    <w:rsid w:val="00504DB4"/>
    <w:rsid w:val="00505E21"/>
    <w:rsid w:val="00506FAE"/>
    <w:rsid w:val="005119C5"/>
    <w:rsid w:val="00513892"/>
    <w:rsid w:val="00513DB7"/>
    <w:rsid w:val="00515B4E"/>
    <w:rsid w:val="00516F04"/>
    <w:rsid w:val="00520013"/>
    <w:rsid w:val="00521E36"/>
    <w:rsid w:val="005224A2"/>
    <w:rsid w:val="005238D0"/>
    <w:rsid w:val="00523CE7"/>
    <w:rsid w:val="00527CC4"/>
    <w:rsid w:val="00531712"/>
    <w:rsid w:val="00532005"/>
    <w:rsid w:val="00532A87"/>
    <w:rsid w:val="00532AA8"/>
    <w:rsid w:val="00532F7B"/>
    <w:rsid w:val="00534CCB"/>
    <w:rsid w:val="0053696E"/>
    <w:rsid w:val="005373D4"/>
    <w:rsid w:val="005377DA"/>
    <w:rsid w:val="00541339"/>
    <w:rsid w:val="00542202"/>
    <w:rsid w:val="00543254"/>
    <w:rsid w:val="005432CF"/>
    <w:rsid w:val="0054575D"/>
    <w:rsid w:val="00546CA4"/>
    <w:rsid w:val="005508D9"/>
    <w:rsid w:val="00551C48"/>
    <w:rsid w:val="0055269E"/>
    <w:rsid w:val="00552850"/>
    <w:rsid w:val="0055331B"/>
    <w:rsid w:val="00553A86"/>
    <w:rsid w:val="00554551"/>
    <w:rsid w:val="005639C2"/>
    <w:rsid w:val="005649F5"/>
    <w:rsid w:val="00565AAA"/>
    <w:rsid w:val="00572317"/>
    <w:rsid w:val="00572331"/>
    <w:rsid w:val="00572D1F"/>
    <w:rsid w:val="00574231"/>
    <w:rsid w:val="005753F5"/>
    <w:rsid w:val="00575BB3"/>
    <w:rsid w:val="00576621"/>
    <w:rsid w:val="00583F17"/>
    <w:rsid w:val="005842AD"/>
    <w:rsid w:val="005874AA"/>
    <w:rsid w:val="005904EF"/>
    <w:rsid w:val="005943B5"/>
    <w:rsid w:val="00594AB9"/>
    <w:rsid w:val="00596F23"/>
    <w:rsid w:val="005A16DD"/>
    <w:rsid w:val="005A34F4"/>
    <w:rsid w:val="005A36F3"/>
    <w:rsid w:val="005A3BB5"/>
    <w:rsid w:val="005A5400"/>
    <w:rsid w:val="005A56EA"/>
    <w:rsid w:val="005B0011"/>
    <w:rsid w:val="005B1159"/>
    <w:rsid w:val="005B1B1E"/>
    <w:rsid w:val="005B2C9C"/>
    <w:rsid w:val="005B7DF9"/>
    <w:rsid w:val="005C1840"/>
    <w:rsid w:val="005C2E97"/>
    <w:rsid w:val="005C4870"/>
    <w:rsid w:val="005C50D6"/>
    <w:rsid w:val="005C5999"/>
    <w:rsid w:val="005D26A3"/>
    <w:rsid w:val="005D3C06"/>
    <w:rsid w:val="005D7E0F"/>
    <w:rsid w:val="005E1331"/>
    <w:rsid w:val="005E7E0B"/>
    <w:rsid w:val="005E7E52"/>
    <w:rsid w:val="005F5715"/>
    <w:rsid w:val="00600426"/>
    <w:rsid w:val="00602882"/>
    <w:rsid w:val="006033BA"/>
    <w:rsid w:val="006037C8"/>
    <w:rsid w:val="006039EA"/>
    <w:rsid w:val="00603C00"/>
    <w:rsid w:val="00604D62"/>
    <w:rsid w:val="006113E0"/>
    <w:rsid w:val="0061162A"/>
    <w:rsid w:val="00612B2B"/>
    <w:rsid w:val="006138D3"/>
    <w:rsid w:val="006153F3"/>
    <w:rsid w:val="006161B6"/>
    <w:rsid w:val="00621592"/>
    <w:rsid w:val="00622D01"/>
    <w:rsid w:val="0063340D"/>
    <w:rsid w:val="00636A34"/>
    <w:rsid w:val="00637513"/>
    <w:rsid w:val="00641BCC"/>
    <w:rsid w:val="00641F44"/>
    <w:rsid w:val="006425A8"/>
    <w:rsid w:val="0064582D"/>
    <w:rsid w:val="00646050"/>
    <w:rsid w:val="00646278"/>
    <w:rsid w:val="00647082"/>
    <w:rsid w:val="006519B8"/>
    <w:rsid w:val="0065308A"/>
    <w:rsid w:val="006531D2"/>
    <w:rsid w:val="006555E5"/>
    <w:rsid w:val="00655FE5"/>
    <w:rsid w:val="00656202"/>
    <w:rsid w:val="00656EA0"/>
    <w:rsid w:val="00657A3F"/>
    <w:rsid w:val="00661F79"/>
    <w:rsid w:val="006637F0"/>
    <w:rsid w:val="00664BDC"/>
    <w:rsid w:val="00674173"/>
    <w:rsid w:val="006814CC"/>
    <w:rsid w:val="00684050"/>
    <w:rsid w:val="00685F08"/>
    <w:rsid w:val="0068737F"/>
    <w:rsid w:val="006873DF"/>
    <w:rsid w:val="006903AD"/>
    <w:rsid w:val="006937E7"/>
    <w:rsid w:val="00696C2B"/>
    <w:rsid w:val="006A11FC"/>
    <w:rsid w:val="006A2871"/>
    <w:rsid w:val="006A4D67"/>
    <w:rsid w:val="006A4FAC"/>
    <w:rsid w:val="006A7F2A"/>
    <w:rsid w:val="006B26BF"/>
    <w:rsid w:val="006B3883"/>
    <w:rsid w:val="006C0912"/>
    <w:rsid w:val="006C4FD3"/>
    <w:rsid w:val="006C6857"/>
    <w:rsid w:val="006D0E9B"/>
    <w:rsid w:val="006D22AA"/>
    <w:rsid w:val="006D3A53"/>
    <w:rsid w:val="006D57BA"/>
    <w:rsid w:val="006E1A1C"/>
    <w:rsid w:val="006E1EBF"/>
    <w:rsid w:val="006E36E0"/>
    <w:rsid w:val="006E612C"/>
    <w:rsid w:val="006E7E45"/>
    <w:rsid w:val="006F05FE"/>
    <w:rsid w:val="006F0A87"/>
    <w:rsid w:val="006F10AA"/>
    <w:rsid w:val="006F1FD8"/>
    <w:rsid w:val="006F3876"/>
    <w:rsid w:val="006F3EBB"/>
    <w:rsid w:val="007012CC"/>
    <w:rsid w:val="007027A1"/>
    <w:rsid w:val="00703664"/>
    <w:rsid w:val="00703C45"/>
    <w:rsid w:val="00707ACD"/>
    <w:rsid w:val="00707C8E"/>
    <w:rsid w:val="007123E5"/>
    <w:rsid w:val="00715C7D"/>
    <w:rsid w:val="00716557"/>
    <w:rsid w:val="00716997"/>
    <w:rsid w:val="00717190"/>
    <w:rsid w:val="00727934"/>
    <w:rsid w:val="007306B6"/>
    <w:rsid w:val="007318AF"/>
    <w:rsid w:val="00732E51"/>
    <w:rsid w:val="00734F41"/>
    <w:rsid w:val="0074114C"/>
    <w:rsid w:val="00741216"/>
    <w:rsid w:val="0074225C"/>
    <w:rsid w:val="00742497"/>
    <w:rsid w:val="00744E6D"/>
    <w:rsid w:val="00745C92"/>
    <w:rsid w:val="00745E29"/>
    <w:rsid w:val="00747E5D"/>
    <w:rsid w:val="007518C2"/>
    <w:rsid w:val="00751A80"/>
    <w:rsid w:val="007554B1"/>
    <w:rsid w:val="00760C8B"/>
    <w:rsid w:val="00764285"/>
    <w:rsid w:val="00765BDB"/>
    <w:rsid w:val="00766F80"/>
    <w:rsid w:val="007714A9"/>
    <w:rsid w:val="0077385D"/>
    <w:rsid w:val="00775040"/>
    <w:rsid w:val="007753B8"/>
    <w:rsid w:val="007754CC"/>
    <w:rsid w:val="00775ABC"/>
    <w:rsid w:val="00780BD8"/>
    <w:rsid w:val="007823DF"/>
    <w:rsid w:val="00783E35"/>
    <w:rsid w:val="00786251"/>
    <w:rsid w:val="00786520"/>
    <w:rsid w:val="00787E34"/>
    <w:rsid w:val="007906B9"/>
    <w:rsid w:val="00793A03"/>
    <w:rsid w:val="007947B5"/>
    <w:rsid w:val="007A2291"/>
    <w:rsid w:val="007A54ED"/>
    <w:rsid w:val="007A7798"/>
    <w:rsid w:val="007B6547"/>
    <w:rsid w:val="007C05A5"/>
    <w:rsid w:val="007C0B8D"/>
    <w:rsid w:val="007C1C85"/>
    <w:rsid w:val="007C4157"/>
    <w:rsid w:val="007C4B76"/>
    <w:rsid w:val="007C5AEB"/>
    <w:rsid w:val="007C5C58"/>
    <w:rsid w:val="007D10ED"/>
    <w:rsid w:val="007D5AD6"/>
    <w:rsid w:val="007D6BEE"/>
    <w:rsid w:val="007D7569"/>
    <w:rsid w:val="007E4F9F"/>
    <w:rsid w:val="007E6696"/>
    <w:rsid w:val="007E7A91"/>
    <w:rsid w:val="007F0405"/>
    <w:rsid w:val="007F06B3"/>
    <w:rsid w:val="007F2A63"/>
    <w:rsid w:val="007F695F"/>
    <w:rsid w:val="007F75F1"/>
    <w:rsid w:val="00801900"/>
    <w:rsid w:val="00801F23"/>
    <w:rsid w:val="008053EA"/>
    <w:rsid w:val="008105DC"/>
    <w:rsid w:val="00810D1F"/>
    <w:rsid w:val="00812C79"/>
    <w:rsid w:val="0081339A"/>
    <w:rsid w:val="00815B68"/>
    <w:rsid w:val="00815CD8"/>
    <w:rsid w:val="00822A4E"/>
    <w:rsid w:val="008241C7"/>
    <w:rsid w:val="008252BC"/>
    <w:rsid w:val="00830BC5"/>
    <w:rsid w:val="0083253B"/>
    <w:rsid w:val="00836706"/>
    <w:rsid w:val="008368E1"/>
    <w:rsid w:val="008402AF"/>
    <w:rsid w:val="008408F9"/>
    <w:rsid w:val="00843BA1"/>
    <w:rsid w:val="008441F3"/>
    <w:rsid w:val="008447F4"/>
    <w:rsid w:val="00844B35"/>
    <w:rsid w:val="008451BC"/>
    <w:rsid w:val="00845402"/>
    <w:rsid w:val="00845F24"/>
    <w:rsid w:val="00846A00"/>
    <w:rsid w:val="00846F35"/>
    <w:rsid w:val="008508D2"/>
    <w:rsid w:val="00850DD6"/>
    <w:rsid w:val="0085117E"/>
    <w:rsid w:val="00856F02"/>
    <w:rsid w:val="008643BF"/>
    <w:rsid w:val="0086588B"/>
    <w:rsid w:val="00867736"/>
    <w:rsid w:val="008723EC"/>
    <w:rsid w:val="00877D1A"/>
    <w:rsid w:val="0088039F"/>
    <w:rsid w:val="00880E45"/>
    <w:rsid w:val="00881124"/>
    <w:rsid w:val="00882BE9"/>
    <w:rsid w:val="00885FBE"/>
    <w:rsid w:val="00890313"/>
    <w:rsid w:val="008914D7"/>
    <w:rsid w:val="00892565"/>
    <w:rsid w:val="00894809"/>
    <w:rsid w:val="00895F31"/>
    <w:rsid w:val="008960C3"/>
    <w:rsid w:val="008A0093"/>
    <w:rsid w:val="008A259D"/>
    <w:rsid w:val="008A3ADF"/>
    <w:rsid w:val="008A5ADB"/>
    <w:rsid w:val="008A6481"/>
    <w:rsid w:val="008A7159"/>
    <w:rsid w:val="008A724B"/>
    <w:rsid w:val="008A77E6"/>
    <w:rsid w:val="008A7F85"/>
    <w:rsid w:val="008B21A0"/>
    <w:rsid w:val="008B245B"/>
    <w:rsid w:val="008B3374"/>
    <w:rsid w:val="008B3585"/>
    <w:rsid w:val="008B4748"/>
    <w:rsid w:val="008B4E3E"/>
    <w:rsid w:val="008B4FE7"/>
    <w:rsid w:val="008B5AE0"/>
    <w:rsid w:val="008B5DB5"/>
    <w:rsid w:val="008B6F46"/>
    <w:rsid w:val="008B7390"/>
    <w:rsid w:val="008C3E5E"/>
    <w:rsid w:val="008C41E6"/>
    <w:rsid w:val="008C4984"/>
    <w:rsid w:val="008C5C59"/>
    <w:rsid w:val="008C5CB2"/>
    <w:rsid w:val="008C6018"/>
    <w:rsid w:val="008C7032"/>
    <w:rsid w:val="008D0187"/>
    <w:rsid w:val="008D0D5D"/>
    <w:rsid w:val="008D0D71"/>
    <w:rsid w:val="008D2DCE"/>
    <w:rsid w:val="008D3492"/>
    <w:rsid w:val="008D7DF2"/>
    <w:rsid w:val="008E042C"/>
    <w:rsid w:val="008E0900"/>
    <w:rsid w:val="008E0E0C"/>
    <w:rsid w:val="008E126E"/>
    <w:rsid w:val="008E2CA5"/>
    <w:rsid w:val="008E6E0D"/>
    <w:rsid w:val="008E7797"/>
    <w:rsid w:val="008F52BE"/>
    <w:rsid w:val="008F6071"/>
    <w:rsid w:val="008F736A"/>
    <w:rsid w:val="0090034F"/>
    <w:rsid w:val="00901924"/>
    <w:rsid w:val="00902D68"/>
    <w:rsid w:val="00904071"/>
    <w:rsid w:val="009065F6"/>
    <w:rsid w:val="00911D6F"/>
    <w:rsid w:val="00914D6A"/>
    <w:rsid w:val="00914E7F"/>
    <w:rsid w:val="009171E2"/>
    <w:rsid w:val="00917AB8"/>
    <w:rsid w:val="00917ED1"/>
    <w:rsid w:val="00920A96"/>
    <w:rsid w:val="009229AC"/>
    <w:rsid w:val="00923448"/>
    <w:rsid w:val="00923778"/>
    <w:rsid w:val="00923B63"/>
    <w:rsid w:val="00925FD3"/>
    <w:rsid w:val="00927FC8"/>
    <w:rsid w:val="0093425D"/>
    <w:rsid w:val="009365A2"/>
    <w:rsid w:val="009370D0"/>
    <w:rsid w:val="0094168A"/>
    <w:rsid w:val="00941BCC"/>
    <w:rsid w:val="00943D6F"/>
    <w:rsid w:val="009445F1"/>
    <w:rsid w:val="00946B45"/>
    <w:rsid w:val="00953F2A"/>
    <w:rsid w:val="00955B5E"/>
    <w:rsid w:val="0096034E"/>
    <w:rsid w:val="00960F0C"/>
    <w:rsid w:val="009614D5"/>
    <w:rsid w:val="0096481E"/>
    <w:rsid w:val="00970EB7"/>
    <w:rsid w:val="009736AC"/>
    <w:rsid w:val="0097383D"/>
    <w:rsid w:val="00975614"/>
    <w:rsid w:val="0098117D"/>
    <w:rsid w:val="009812C4"/>
    <w:rsid w:val="0098494F"/>
    <w:rsid w:val="00985157"/>
    <w:rsid w:val="0098588D"/>
    <w:rsid w:val="00985FD9"/>
    <w:rsid w:val="009867D7"/>
    <w:rsid w:val="00987801"/>
    <w:rsid w:val="00987998"/>
    <w:rsid w:val="00992507"/>
    <w:rsid w:val="00995F95"/>
    <w:rsid w:val="009A0634"/>
    <w:rsid w:val="009A446E"/>
    <w:rsid w:val="009A5B57"/>
    <w:rsid w:val="009A5CB3"/>
    <w:rsid w:val="009A6059"/>
    <w:rsid w:val="009B028B"/>
    <w:rsid w:val="009B1134"/>
    <w:rsid w:val="009B30F0"/>
    <w:rsid w:val="009B39A4"/>
    <w:rsid w:val="009B4657"/>
    <w:rsid w:val="009B4CED"/>
    <w:rsid w:val="009B7F7B"/>
    <w:rsid w:val="009C0910"/>
    <w:rsid w:val="009C2E3B"/>
    <w:rsid w:val="009C460A"/>
    <w:rsid w:val="009C5E14"/>
    <w:rsid w:val="009C7461"/>
    <w:rsid w:val="009C7BB8"/>
    <w:rsid w:val="009D0992"/>
    <w:rsid w:val="009D0D66"/>
    <w:rsid w:val="009D5950"/>
    <w:rsid w:val="009D5EA7"/>
    <w:rsid w:val="009E2275"/>
    <w:rsid w:val="009E3936"/>
    <w:rsid w:val="009E405B"/>
    <w:rsid w:val="009E5CAA"/>
    <w:rsid w:val="009F04C8"/>
    <w:rsid w:val="009F05B0"/>
    <w:rsid w:val="009F2BAF"/>
    <w:rsid w:val="009F411E"/>
    <w:rsid w:val="009F4AAE"/>
    <w:rsid w:val="009F6737"/>
    <w:rsid w:val="009F6A71"/>
    <w:rsid w:val="009F7AFC"/>
    <w:rsid w:val="00A00A2E"/>
    <w:rsid w:val="00A01891"/>
    <w:rsid w:val="00A11323"/>
    <w:rsid w:val="00A11DBD"/>
    <w:rsid w:val="00A12299"/>
    <w:rsid w:val="00A12C4F"/>
    <w:rsid w:val="00A201C4"/>
    <w:rsid w:val="00A22944"/>
    <w:rsid w:val="00A23AAA"/>
    <w:rsid w:val="00A23E55"/>
    <w:rsid w:val="00A24ED0"/>
    <w:rsid w:val="00A3022E"/>
    <w:rsid w:val="00A341CD"/>
    <w:rsid w:val="00A36C2F"/>
    <w:rsid w:val="00A374CD"/>
    <w:rsid w:val="00A411C1"/>
    <w:rsid w:val="00A4344F"/>
    <w:rsid w:val="00A456AA"/>
    <w:rsid w:val="00A462BE"/>
    <w:rsid w:val="00A47538"/>
    <w:rsid w:val="00A47834"/>
    <w:rsid w:val="00A50019"/>
    <w:rsid w:val="00A5061C"/>
    <w:rsid w:val="00A514FF"/>
    <w:rsid w:val="00A54071"/>
    <w:rsid w:val="00A5596D"/>
    <w:rsid w:val="00A6038D"/>
    <w:rsid w:val="00A61318"/>
    <w:rsid w:val="00A61F51"/>
    <w:rsid w:val="00A623DD"/>
    <w:rsid w:val="00A629D6"/>
    <w:rsid w:val="00A64F55"/>
    <w:rsid w:val="00A6685D"/>
    <w:rsid w:val="00A722E9"/>
    <w:rsid w:val="00A73073"/>
    <w:rsid w:val="00A74D67"/>
    <w:rsid w:val="00A751C4"/>
    <w:rsid w:val="00A76CDD"/>
    <w:rsid w:val="00A831EC"/>
    <w:rsid w:val="00A837CF"/>
    <w:rsid w:val="00A855A0"/>
    <w:rsid w:val="00A86B17"/>
    <w:rsid w:val="00A916ED"/>
    <w:rsid w:val="00AA3AF4"/>
    <w:rsid w:val="00AA4885"/>
    <w:rsid w:val="00AA546E"/>
    <w:rsid w:val="00AB2148"/>
    <w:rsid w:val="00AB2736"/>
    <w:rsid w:val="00AB3B77"/>
    <w:rsid w:val="00AB4998"/>
    <w:rsid w:val="00AB5F7E"/>
    <w:rsid w:val="00AB73C7"/>
    <w:rsid w:val="00AB7912"/>
    <w:rsid w:val="00AC0596"/>
    <w:rsid w:val="00AC0ED1"/>
    <w:rsid w:val="00AC5971"/>
    <w:rsid w:val="00AC5A2F"/>
    <w:rsid w:val="00AC736C"/>
    <w:rsid w:val="00AD0B86"/>
    <w:rsid w:val="00AD31DB"/>
    <w:rsid w:val="00AD46CE"/>
    <w:rsid w:val="00AD7E32"/>
    <w:rsid w:val="00AE0CE5"/>
    <w:rsid w:val="00AE385E"/>
    <w:rsid w:val="00AE401A"/>
    <w:rsid w:val="00AE710C"/>
    <w:rsid w:val="00AF046B"/>
    <w:rsid w:val="00AF0815"/>
    <w:rsid w:val="00AF6995"/>
    <w:rsid w:val="00B00F26"/>
    <w:rsid w:val="00B051C8"/>
    <w:rsid w:val="00B05E43"/>
    <w:rsid w:val="00B067E3"/>
    <w:rsid w:val="00B143B7"/>
    <w:rsid w:val="00B1595A"/>
    <w:rsid w:val="00B22846"/>
    <w:rsid w:val="00B22B98"/>
    <w:rsid w:val="00B230B4"/>
    <w:rsid w:val="00B265F8"/>
    <w:rsid w:val="00B303DE"/>
    <w:rsid w:val="00B30B77"/>
    <w:rsid w:val="00B33267"/>
    <w:rsid w:val="00B33BDC"/>
    <w:rsid w:val="00B340C4"/>
    <w:rsid w:val="00B34162"/>
    <w:rsid w:val="00B3647E"/>
    <w:rsid w:val="00B37551"/>
    <w:rsid w:val="00B432A5"/>
    <w:rsid w:val="00B45A2C"/>
    <w:rsid w:val="00B45FD7"/>
    <w:rsid w:val="00B47EB6"/>
    <w:rsid w:val="00B5134C"/>
    <w:rsid w:val="00B52C30"/>
    <w:rsid w:val="00B52D5D"/>
    <w:rsid w:val="00B541FB"/>
    <w:rsid w:val="00B55EA2"/>
    <w:rsid w:val="00B55EBF"/>
    <w:rsid w:val="00B57B54"/>
    <w:rsid w:val="00B63506"/>
    <w:rsid w:val="00B64F43"/>
    <w:rsid w:val="00B663D5"/>
    <w:rsid w:val="00B67C93"/>
    <w:rsid w:val="00B70523"/>
    <w:rsid w:val="00B814E8"/>
    <w:rsid w:val="00B81D33"/>
    <w:rsid w:val="00B82291"/>
    <w:rsid w:val="00B82AF2"/>
    <w:rsid w:val="00B83870"/>
    <w:rsid w:val="00B8447F"/>
    <w:rsid w:val="00B86B33"/>
    <w:rsid w:val="00B87775"/>
    <w:rsid w:val="00B8787F"/>
    <w:rsid w:val="00B9045A"/>
    <w:rsid w:val="00B92941"/>
    <w:rsid w:val="00B94A00"/>
    <w:rsid w:val="00B94C6C"/>
    <w:rsid w:val="00B9661F"/>
    <w:rsid w:val="00B96A41"/>
    <w:rsid w:val="00BA0A93"/>
    <w:rsid w:val="00BA0BB8"/>
    <w:rsid w:val="00BA1BFC"/>
    <w:rsid w:val="00BA2E90"/>
    <w:rsid w:val="00BA48CA"/>
    <w:rsid w:val="00BA4BBB"/>
    <w:rsid w:val="00BA653D"/>
    <w:rsid w:val="00BA6BBA"/>
    <w:rsid w:val="00BB0253"/>
    <w:rsid w:val="00BB0281"/>
    <w:rsid w:val="00BB0655"/>
    <w:rsid w:val="00BB19DE"/>
    <w:rsid w:val="00BB233A"/>
    <w:rsid w:val="00BB4820"/>
    <w:rsid w:val="00BC0C51"/>
    <w:rsid w:val="00BC12A5"/>
    <w:rsid w:val="00BC1964"/>
    <w:rsid w:val="00BC1A8C"/>
    <w:rsid w:val="00BC2864"/>
    <w:rsid w:val="00BC345A"/>
    <w:rsid w:val="00BC5CE2"/>
    <w:rsid w:val="00BC69BC"/>
    <w:rsid w:val="00BC7A71"/>
    <w:rsid w:val="00BC7ABD"/>
    <w:rsid w:val="00BD0AB0"/>
    <w:rsid w:val="00BD1EC1"/>
    <w:rsid w:val="00BD4124"/>
    <w:rsid w:val="00BD51C9"/>
    <w:rsid w:val="00BE34B2"/>
    <w:rsid w:val="00BE414A"/>
    <w:rsid w:val="00BF3E8D"/>
    <w:rsid w:val="00BF41E0"/>
    <w:rsid w:val="00BF4D69"/>
    <w:rsid w:val="00BF6AB9"/>
    <w:rsid w:val="00C01322"/>
    <w:rsid w:val="00C02535"/>
    <w:rsid w:val="00C10972"/>
    <w:rsid w:val="00C12292"/>
    <w:rsid w:val="00C12A6B"/>
    <w:rsid w:val="00C14B2A"/>
    <w:rsid w:val="00C16AD8"/>
    <w:rsid w:val="00C17F78"/>
    <w:rsid w:val="00C2085C"/>
    <w:rsid w:val="00C211A9"/>
    <w:rsid w:val="00C21911"/>
    <w:rsid w:val="00C21FEA"/>
    <w:rsid w:val="00C25723"/>
    <w:rsid w:val="00C25908"/>
    <w:rsid w:val="00C25FCC"/>
    <w:rsid w:val="00C30DD8"/>
    <w:rsid w:val="00C32573"/>
    <w:rsid w:val="00C34185"/>
    <w:rsid w:val="00C367AE"/>
    <w:rsid w:val="00C37367"/>
    <w:rsid w:val="00C374E9"/>
    <w:rsid w:val="00C378F5"/>
    <w:rsid w:val="00C42589"/>
    <w:rsid w:val="00C431EA"/>
    <w:rsid w:val="00C47D13"/>
    <w:rsid w:val="00C50121"/>
    <w:rsid w:val="00C519F5"/>
    <w:rsid w:val="00C52492"/>
    <w:rsid w:val="00C545F8"/>
    <w:rsid w:val="00C56D7A"/>
    <w:rsid w:val="00C6079D"/>
    <w:rsid w:val="00C64083"/>
    <w:rsid w:val="00C658A3"/>
    <w:rsid w:val="00C65D3A"/>
    <w:rsid w:val="00C66268"/>
    <w:rsid w:val="00C72603"/>
    <w:rsid w:val="00C72BB5"/>
    <w:rsid w:val="00C73DB9"/>
    <w:rsid w:val="00C77C55"/>
    <w:rsid w:val="00C826FF"/>
    <w:rsid w:val="00C83A9E"/>
    <w:rsid w:val="00C84386"/>
    <w:rsid w:val="00C850F7"/>
    <w:rsid w:val="00C854D4"/>
    <w:rsid w:val="00C9009C"/>
    <w:rsid w:val="00C91A1A"/>
    <w:rsid w:val="00C93FD3"/>
    <w:rsid w:val="00C9787D"/>
    <w:rsid w:val="00CA10D1"/>
    <w:rsid w:val="00CA11F1"/>
    <w:rsid w:val="00CA298F"/>
    <w:rsid w:val="00CA4E91"/>
    <w:rsid w:val="00CB009A"/>
    <w:rsid w:val="00CB3CE2"/>
    <w:rsid w:val="00CB3E0F"/>
    <w:rsid w:val="00CB4BD7"/>
    <w:rsid w:val="00CB5799"/>
    <w:rsid w:val="00CB5821"/>
    <w:rsid w:val="00CB6BDE"/>
    <w:rsid w:val="00CB756D"/>
    <w:rsid w:val="00CD24CD"/>
    <w:rsid w:val="00CD2855"/>
    <w:rsid w:val="00CD2F7F"/>
    <w:rsid w:val="00CD35C0"/>
    <w:rsid w:val="00CD435D"/>
    <w:rsid w:val="00CD5F4F"/>
    <w:rsid w:val="00CD65D4"/>
    <w:rsid w:val="00CE1FA0"/>
    <w:rsid w:val="00CE3926"/>
    <w:rsid w:val="00CE3CF1"/>
    <w:rsid w:val="00CE41CD"/>
    <w:rsid w:val="00CE4B14"/>
    <w:rsid w:val="00CE6675"/>
    <w:rsid w:val="00CF1269"/>
    <w:rsid w:val="00CF3296"/>
    <w:rsid w:val="00CF5EEB"/>
    <w:rsid w:val="00CF7B3C"/>
    <w:rsid w:val="00D028CA"/>
    <w:rsid w:val="00D02E7E"/>
    <w:rsid w:val="00D03538"/>
    <w:rsid w:val="00D04921"/>
    <w:rsid w:val="00D0755A"/>
    <w:rsid w:val="00D07AD4"/>
    <w:rsid w:val="00D10E4F"/>
    <w:rsid w:val="00D11ED5"/>
    <w:rsid w:val="00D141C7"/>
    <w:rsid w:val="00D170B0"/>
    <w:rsid w:val="00D21AB2"/>
    <w:rsid w:val="00D22778"/>
    <w:rsid w:val="00D23314"/>
    <w:rsid w:val="00D2414A"/>
    <w:rsid w:val="00D25218"/>
    <w:rsid w:val="00D25695"/>
    <w:rsid w:val="00D26EE1"/>
    <w:rsid w:val="00D32B3C"/>
    <w:rsid w:val="00D33D24"/>
    <w:rsid w:val="00D3400B"/>
    <w:rsid w:val="00D40CDD"/>
    <w:rsid w:val="00D43695"/>
    <w:rsid w:val="00D45B7A"/>
    <w:rsid w:val="00D5057A"/>
    <w:rsid w:val="00D50A0B"/>
    <w:rsid w:val="00D52718"/>
    <w:rsid w:val="00D55A3C"/>
    <w:rsid w:val="00D56A0C"/>
    <w:rsid w:val="00D57951"/>
    <w:rsid w:val="00D61475"/>
    <w:rsid w:val="00D61BE7"/>
    <w:rsid w:val="00D6312C"/>
    <w:rsid w:val="00D65236"/>
    <w:rsid w:val="00D670F9"/>
    <w:rsid w:val="00D6721F"/>
    <w:rsid w:val="00D67723"/>
    <w:rsid w:val="00D71081"/>
    <w:rsid w:val="00D71321"/>
    <w:rsid w:val="00D74938"/>
    <w:rsid w:val="00D77601"/>
    <w:rsid w:val="00D81708"/>
    <w:rsid w:val="00D90108"/>
    <w:rsid w:val="00D90DC2"/>
    <w:rsid w:val="00D9399A"/>
    <w:rsid w:val="00D94F1B"/>
    <w:rsid w:val="00D96AA6"/>
    <w:rsid w:val="00D974A4"/>
    <w:rsid w:val="00DA0A38"/>
    <w:rsid w:val="00DA1D97"/>
    <w:rsid w:val="00DA2942"/>
    <w:rsid w:val="00DA2C0E"/>
    <w:rsid w:val="00DA3DF5"/>
    <w:rsid w:val="00DA4661"/>
    <w:rsid w:val="00DB0704"/>
    <w:rsid w:val="00DB112B"/>
    <w:rsid w:val="00DB1B54"/>
    <w:rsid w:val="00DB284C"/>
    <w:rsid w:val="00DB2FE9"/>
    <w:rsid w:val="00DB33EA"/>
    <w:rsid w:val="00DB4291"/>
    <w:rsid w:val="00DB48A8"/>
    <w:rsid w:val="00DC00D9"/>
    <w:rsid w:val="00DC03F9"/>
    <w:rsid w:val="00DC334F"/>
    <w:rsid w:val="00DC6AA2"/>
    <w:rsid w:val="00DC7434"/>
    <w:rsid w:val="00DC7883"/>
    <w:rsid w:val="00DD3519"/>
    <w:rsid w:val="00DD3787"/>
    <w:rsid w:val="00DD6A3A"/>
    <w:rsid w:val="00DE001F"/>
    <w:rsid w:val="00DE160E"/>
    <w:rsid w:val="00DE2570"/>
    <w:rsid w:val="00DF1E7A"/>
    <w:rsid w:val="00DF299C"/>
    <w:rsid w:val="00DF29C2"/>
    <w:rsid w:val="00DF48F4"/>
    <w:rsid w:val="00DF5159"/>
    <w:rsid w:val="00DF5874"/>
    <w:rsid w:val="00DF6796"/>
    <w:rsid w:val="00E07F22"/>
    <w:rsid w:val="00E110AF"/>
    <w:rsid w:val="00E121A9"/>
    <w:rsid w:val="00E13EA0"/>
    <w:rsid w:val="00E14CA0"/>
    <w:rsid w:val="00E17CC5"/>
    <w:rsid w:val="00E21419"/>
    <w:rsid w:val="00E34037"/>
    <w:rsid w:val="00E34F01"/>
    <w:rsid w:val="00E45B0B"/>
    <w:rsid w:val="00E47A5A"/>
    <w:rsid w:val="00E54080"/>
    <w:rsid w:val="00E56E31"/>
    <w:rsid w:val="00E57EBB"/>
    <w:rsid w:val="00E62F00"/>
    <w:rsid w:val="00E65E2F"/>
    <w:rsid w:val="00E70F7C"/>
    <w:rsid w:val="00E7150C"/>
    <w:rsid w:val="00E71FB8"/>
    <w:rsid w:val="00E73C9F"/>
    <w:rsid w:val="00E74329"/>
    <w:rsid w:val="00E74748"/>
    <w:rsid w:val="00E74F27"/>
    <w:rsid w:val="00E75FAA"/>
    <w:rsid w:val="00E77CAE"/>
    <w:rsid w:val="00E8260F"/>
    <w:rsid w:val="00E837A4"/>
    <w:rsid w:val="00E86182"/>
    <w:rsid w:val="00E86E3D"/>
    <w:rsid w:val="00E91025"/>
    <w:rsid w:val="00E935B5"/>
    <w:rsid w:val="00E949DD"/>
    <w:rsid w:val="00E95B2C"/>
    <w:rsid w:val="00E964C4"/>
    <w:rsid w:val="00E97249"/>
    <w:rsid w:val="00E97ABE"/>
    <w:rsid w:val="00EA0299"/>
    <w:rsid w:val="00EA3DC8"/>
    <w:rsid w:val="00EA7C6D"/>
    <w:rsid w:val="00EB2700"/>
    <w:rsid w:val="00EB2EAC"/>
    <w:rsid w:val="00EB693A"/>
    <w:rsid w:val="00EB7C77"/>
    <w:rsid w:val="00EC1014"/>
    <w:rsid w:val="00EC1848"/>
    <w:rsid w:val="00EC2655"/>
    <w:rsid w:val="00EC622C"/>
    <w:rsid w:val="00EC65C3"/>
    <w:rsid w:val="00ED2C06"/>
    <w:rsid w:val="00ED3F9E"/>
    <w:rsid w:val="00ED4097"/>
    <w:rsid w:val="00EE0F6A"/>
    <w:rsid w:val="00EE1007"/>
    <w:rsid w:val="00EE141B"/>
    <w:rsid w:val="00EE3880"/>
    <w:rsid w:val="00EF0117"/>
    <w:rsid w:val="00EF09E3"/>
    <w:rsid w:val="00F07F8D"/>
    <w:rsid w:val="00F10214"/>
    <w:rsid w:val="00F120FD"/>
    <w:rsid w:val="00F14294"/>
    <w:rsid w:val="00F159E0"/>
    <w:rsid w:val="00F1682B"/>
    <w:rsid w:val="00F16F50"/>
    <w:rsid w:val="00F171DF"/>
    <w:rsid w:val="00F17E51"/>
    <w:rsid w:val="00F240D0"/>
    <w:rsid w:val="00F250EA"/>
    <w:rsid w:val="00F25F29"/>
    <w:rsid w:val="00F35514"/>
    <w:rsid w:val="00F4508C"/>
    <w:rsid w:val="00F470A6"/>
    <w:rsid w:val="00F50691"/>
    <w:rsid w:val="00F5137F"/>
    <w:rsid w:val="00F540F8"/>
    <w:rsid w:val="00F5460D"/>
    <w:rsid w:val="00F5554A"/>
    <w:rsid w:val="00F55EDA"/>
    <w:rsid w:val="00F5641B"/>
    <w:rsid w:val="00F564C4"/>
    <w:rsid w:val="00F659E4"/>
    <w:rsid w:val="00F675CC"/>
    <w:rsid w:val="00F67840"/>
    <w:rsid w:val="00F736C2"/>
    <w:rsid w:val="00F768E8"/>
    <w:rsid w:val="00F77C6C"/>
    <w:rsid w:val="00F824CA"/>
    <w:rsid w:val="00F83815"/>
    <w:rsid w:val="00F84195"/>
    <w:rsid w:val="00F90389"/>
    <w:rsid w:val="00F906DA"/>
    <w:rsid w:val="00F90E1F"/>
    <w:rsid w:val="00F91113"/>
    <w:rsid w:val="00F91698"/>
    <w:rsid w:val="00F9354B"/>
    <w:rsid w:val="00F94AB3"/>
    <w:rsid w:val="00F95887"/>
    <w:rsid w:val="00F9776E"/>
    <w:rsid w:val="00F9779D"/>
    <w:rsid w:val="00FA0CF7"/>
    <w:rsid w:val="00FA1E68"/>
    <w:rsid w:val="00FA3D4D"/>
    <w:rsid w:val="00FA448B"/>
    <w:rsid w:val="00FA6083"/>
    <w:rsid w:val="00FA634A"/>
    <w:rsid w:val="00FB072A"/>
    <w:rsid w:val="00FB1B95"/>
    <w:rsid w:val="00FB3BB3"/>
    <w:rsid w:val="00FB65C6"/>
    <w:rsid w:val="00FC2B3C"/>
    <w:rsid w:val="00FC7A49"/>
    <w:rsid w:val="00FD02B4"/>
    <w:rsid w:val="00FD0528"/>
    <w:rsid w:val="00FD0E62"/>
    <w:rsid w:val="00FD4C32"/>
    <w:rsid w:val="00FD5FA9"/>
    <w:rsid w:val="00FD7F13"/>
    <w:rsid w:val="00FE0B87"/>
    <w:rsid w:val="00FE4283"/>
    <w:rsid w:val="00FF3E46"/>
    <w:rsid w:val="00FF4832"/>
    <w:rsid w:val="00FF5357"/>
    <w:rsid w:val="00FF5379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ules v:ext="edit">
        <o:r id="V:Rule9" type="connector" idref="#_x0000_s1118"/>
        <o:r id="V:Rule10" type="connector" idref="#_x0000_s1120">
          <o:proxy start="" idref="#_x0000_s1112" connectloc="2"/>
          <o:proxy end="" idref="#_x0000_s1116" connectloc="0"/>
        </o:r>
        <o:r id="V:Rule11" type="connector" idref="#_x0000_s1119">
          <o:proxy start="" idref="#_x0000_s1112" connectloc="1"/>
        </o:r>
        <o:r id="V:Rule12" type="connector" idref="#_x0000_s1127">
          <o:proxy start="" idref="#_x0000_s1114" connectloc="2"/>
          <o:proxy end="" idref="#_x0000_s1126" connectloc="0"/>
        </o:r>
        <o:r id="V:Rule13" type="connector" idref="#_x0000_s1125"/>
        <o:r id="V:Rule14" type="connector" idref="#_x0000_s1121">
          <o:proxy start="" idref="#_x0000_s1112" connectloc="3"/>
        </o:r>
        <o:r id="V:Rule15" type="connector" idref="#_x0000_s1123">
          <o:proxy start="" idref="#_x0000_s1113" connectloc="2"/>
        </o:r>
        <o:r id="V:Rule16" type="connector" idref="#_x0000_s1129">
          <o:proxy start="" idref="#_x0000_s1128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E29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73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50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738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383D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315A2"/>
    <w:pPr>
      <w:bidi/>
      <w:spacing w:before="240" w:after="60"/>
      <w:outlineLvl w:val="4"/>
    </w:pPr>
    <w:rPr>
      <w:b/>
      <w:bCs/>
      <w:i/>
      <w:iCs/>
      <w:noProof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285"/>
    <w:rPr>
      <w:color w:val="0000FF"/>
      <w:u w:val="single"/>
    </w:rPr>
  </w:style>
  <w:style w:type="paragraph" w:styleId="Footer">
    <w:name w:val="footer"/>
    <w:basedOn w:val="Normal"/>
    <w:rsid w:val="00AE4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01A"/>
  </w:style>
  <w:style w:type="paragraph" w:styleId="Header">
    <w:name w:val="header"/>
    <w:basedOn w:val="Normal"/>
    <w:link w:val="HeaderChar"/>
    <w:rsid w:val="00732E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32E51"/>
    <w:rPr>
      <w:sz w:val="24"/>
      <w:szCs w:val="24"/>
    </w:rPr>
  </w:style>
  <w:style w:type="paragraph" w:customStyle="1" w:styleId="DecimalAligned">
    <w:name w:val="Decimal Aligned"/>
    <w:basedOn w:val="Normal"/>
    <w:qFormat/>
    <w:rsid w:val="003A38C5"/>
    <w:pPr>
      <w:tabs>
        <w:tab w:val="decimal" w:pos="360"/>
      </w:tabs>
      <w:spacing w:after="200" w:line="276" w:lineRule="auto"/>
    </w:pPr>
    <w:rPr>
      <w:rFonts w:ascii="Calibri" w:hAnsi="Calibri" w:cs="Arial"/>
      <w:sz w:val="22"/>
      <w:szCs w:val="22"/>
    </w:rPr>
  </w:style>
  <w:style w:type="character" w:styleId="SubtleEmphasis">
    <w:name w:val="Subtle Emphasis"/>
    <w:uiPriority w:val="19"/>
    <w:qFormat/>
    <w:rsid w:val="003A38C5"/>
    <w:rPr>
      <w:rFonts w:eastAsia="Times New Roman" w:cs="Arial"/>
      <w:bCs w:val="0"/>
      <w:i/>
      <w:iCs/>
      <w:color w:val="808080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97383D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97383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7383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7383D"/>
    <w:pPr>
      <w:spacing w:before="100" w:beforeAutospacing="1" w:after="100" w:afterAutospacing="1"/>
    </w:pPr>
  </w:style>
  <w:style w:type="character" w:customStyle="1" w:styleId="googqs-tidbit1">
    <w:name w:val="goog_qs-tidbit1"/>
    <w:rsid w:val="0097383D"/>
    <w:rPr>
      <w:vanish w:val="0"/>
      <w:webHidden w:val="0"/>
      <w:specVanish w:val="0"/>
    </w:rPr>
  </w:style>
  <w:style w:type="character" w:customStyle="1" w:styleId="ui-ncbitoggler-master-text">
    <w:name w:val="ui-ncbitoggler-master-text"/>
    <w:basedOn w:val="DefaultParagraphFont"/>
    <w:rsid w:val="0097383D"/>
  </w:style>
  <w:style w:type="character" w:customStyle="1" w:styleId="Heading5Char">
    <w:name w:val="Heading 5 Char"/>
    <w:link w:val="Heading5"/>
    <w:rsid w:val="002315A2"/>
    <w:rPr>
      <w:rFonts w:cs="Traditional Arabic"/>
      <w:b/>
      <w:bCs/>
      <w:i/>
      <w:iCs/>
      <w:noProof/>
      <w:sz w:val="26"/>
      <w:szCs w:val="26"/>
      <w:lang w:eastAsia="ar-SA"/>
    </w:rPr>
  </w:style>
  <w:style w:type="table" w:styleId="TableGrid">
    <w:name w:val="Table Grid"/>
    <w:basedOn w:val="TableNormal"/>
    <w:rsid w:val="002315A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A2871"/>
    <w:rPr>
      <w:i/>
      <w:iCs/>
    </w:rPr>
  </w:style>
  <w:style w:type="character" w:customStyle="1" w:styleId="Heading2Char">
    <w:name w:val="Heading 2 Char"/>
    <w:link w:val="Heading2"/>
    <w:semiHidden/>
    <w:rsid w:val="00F450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ditsection">
    <w:name w:val="editsection"/>
    <w:basedOn w:val="DefaultParagraphFont"/>
    <w:rsid w:val="00F4508C"/>
  </w:style>
  <w:style w:type="character" w:customStyle="1" w:styleId="mw-headline">
    <w:name w:val="mw-headline"/>
    <w:basedOn w:val="DefaultParagraphFont"/>
    <w:rsid w:val="00F4508C"/>
  </w:style>
  <w:style w:type="character" w:customStyle="1" w:styleId="apple-converted-space">
    <w:name w:val="apple-converted-space"/>
    <w:basedOn w:val="DefaultParagraphFont"/>
    <w:rsid w:val="00F4508C"/>
  </w:style>
  <w:style w:type="character" w:customStyle="1" w:styleId="superscript">
    <w:name w:val="superscript"/>
    <w:basedOn w:val="DefaultParagraphFont"/>
    <w:rsid w:val="00546CA4"/>
  </w:style>
  <w:style w:type="character" w:customStyle="1" w:styleId="label">
    <w:name w:val="label"/>
    <w:basedOn w:val="DefaultParagraphFont"/>
    <w:rsid w:val="00FD5FA9"/>
  </w:style>
  <w:style w:type="character" w:customStyle="1" w:styleId="citation">
    <w:name w:val="citation"/>
    <w:basedOn w:val="DefaultParagraphFont"/>
    <w:rsid w:val="00FD5FA9"/>
  </w:style>
  <w:style w:type="character" w:customStyle="1" w:styleId="text">
    <w:name w:val="text"/>
    <w:basedOn w:val="DefaultParagraphFont"/>
    <w:rsid w:val="0041405A"/>
  </w:style>
  <w:style w:type="paragraph" w:styleId="NoSpacing">
    <w:name w:val="No Spacing"/>
    <w:basedOn w:val="Normal"/>
    <w:link w:val="NoSpacingChar"/>
    <w:qFormat/>
    <w:rsid w:val="006903AD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6903AD"/>
    <w:rPr>
      <w:rFonts w:ascii="Calibri" w:eastAsia="Calibri" w:hAnsi="Calibri" w:cs="Arial"/>
      <w:sz w:val="22"/>
      <w:szCs w:val="22"/>
    </w:rPr>
  </w:style>
  <w:style w:type="character" w:customStyle="1" w:styleId="msonormal0">
    <w:name w:val="msonormal0"/>
    <w:rsid w:val="006903AD"/>
  </w:style>
  <w:style w:type="character" w:customStyle="1" w:styleId="Absatz-Standardschriftart">
    <w:name w:val="Absatz-Standardschriftart"/>
    <w:rsid w:val="006903AD"/>
  </w:style>
  <w:style w:type="character" w:styleId="CommentReference">
    <w:name w:val="annotation reference"/>
    <w:rsid w:val="004147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7CC"/>
  </w:style>
  <w:style w:type="paragraph" w:styleId="CommentSubject">
    <w:name w:val="annotation subject"/>
    <w:basedOn w:val="CommentText"/>
    <w:next w:val="CommentText"/>
    <w:link w:val="CommentSubjectChar"/>
    <w:rsid w:val="004147CC"/>
    <w:rPr>
      <w:b/>
      <w:bCs/>
    </w:rPr>
  </w:style>
  <w:style w:type="character" w:customStyle="1" w:styleId="CommentSubjectChar">
    <w:name w:val="Comment Subject Char"/>
    <w:link w:val="CommentSubject"/>
    <w:rsid w:val="004147CC"/>
    <w:rPr>
      <w:b/>
      <w:bCs/>
    </w:rPr>
  </w:style>
  <w:style w:type="paragraph" w:styleId="BalloonText">
    <w:name w:val="Balloon Text"/>
    <w:basedOn w:val="Normal"/>
    <w:link w:val="BalloonTextChar"/>
    <w:rsid w:val="004147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1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377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362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9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6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3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7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7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56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7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7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6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d_alaa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x.doi.org/10.7537/marscbj050415.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7D49-ED79-4000-B557-96A8345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3075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Obstetrics &amp; Gynaecology</Company>
  <LinksUpToDate>false</LinksUpToDate>
  <CharactersWithSpaces>20767</CharactersWithSpaces>
  <SharedDoc>false</SharedDoc>
  <HLinks>
    <vt:vector size="18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mailto:fayed_alaa@yahoo.com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Farooq Ahmed</dc:creator>
  <cp:lastModifiedBy>Administrator</cp:lastModifiedBy>
  <cp:revision>8</cp:revision>
  <cp:lastPrinted>2015-12-08T01:12:00Z</cp:lastPrinted>
  <dcterms:created xsi:type="dcterms:W3CDTF">2015-12-07T10:03:00Z</dcterms:created>
  <dcterms:modified xsi:type="dcterms:W3CDTF">2015-12-08T02:09:00Z</dcterms:modified>
</cp:coreProperties>
</file>